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Def.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8A208" w14:textId="77777777" w:rsidR="00C13482" w:rsidRPr="009A1B6B" w:rsidRDefault="00C13482" w:rsidP="00C13482">
      <w:pPr>
        <w:widowControl w:val="0"/>
        <w:autoSpaceDE w:val="0"/>
        <w:autoSpaceDN w:val="0"/>
        <w:spacing w:after="0" w:line="240" w:lineRule="auto"/>
        <w:ind w:left="402"/>
        <w:jc w:val="both"/>
        <w:rPr>
          <w:rFonts w:ascii="Times New Roman" w:eastAsia="Times New Roman" w:hAnsi="Times New Roman" w:cs="Times New Roman"/>
          <w:b/>
          <w:sz w:val="48"/>
          <w:szCs w:val="48"/>
          <w:lang w:eastAsia="es-PE" w:bidi="es-PE"/>
        </w:rPr>
      </w:pPr>
      <w:r>
        <w:rPr>
          <w:rFonts w:ascii="Times New Roman" w:eastAsia="Times New Roman" w:hAnsi="Times New Roman" w:cs="Times New Roman"/>
          <w:b/>
          <w:noProof/>
          <w:sz w:val="48"/>
          <w:szCs w:val="48"/>
          <w:lang w:eastAsia="es-PE" w:bidi="es-PE"/>
        </w:rPr>
        <w:drawing>
          <wp:anchor distT="0" distB="0" distL="114300" distR="114300" simplePos="0" relativeHeight="251659264" behindDoc="0" locked="0" layoutInCell="1" allowOverlap="1" wp14:anchorId="1228446A" wp14:editId="4ABB6FC9">
            <wp:simplePos x="0" y="0"/>
            <wp:positionH relativeFrom="column">
              <wp:posOffset>488315</wp:posOffset>
            </wp:positionH>
            <wp:positionV relativeFrom="paragraph">
              <wp:posOffset>90805</wp:posOffset>
            </wp:positionV>
            <wp:extent cx="1237615" cy="1200785"/>
            <wp:effectExtent l="0" t="0" r="635" b="0"/>
            <wp:wrapNone/>
            <wp:docPr id="2046160855" name="Picture 2"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0855" name="Picture 2" descr="A logo with a person in the back&#10;&#10;Description automatically generated with medium confidenc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p>
    <w:p w14:paraId="552CE5C5" w14:textId="79C240E4" w:rsidR="00C13482" w:rsidRPr="009A1B6B" w:rsidRDefault="00C13482" w:rsidP="00C13482">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UNIVERSIDAD MARIANO</w:t>
      </w:r>
      <w:r>
        <w:rPr>
          <w:rFonts w:ascii="Times New Roman" w:eastAsia="Times New Roman" w:hAnsi="Times New Roman" w:cs="Times New Roman"/>
          <w:b/>
          <w:sz w:val="48"/>
          <w:szCs w:val="48"/>
          <w:lang w:eastAsia="es-PE" w:bidi="es-PE"/>
        </w:rPr>
        <w:t xml:space="preserve"> </w:t>
      </w:r>
      <w:r>
        <w:rPr>
          <w:rFonts w:ascii="Times New Roman" w:eastAsia="Times New Roman" w:hAnsi="Times New Roman" w:cs="Times New Roman"/>
          <w:b/>
          <w:sz w:val="48"/>
          <w:szCs w:val="48"/>
          <w:lang w:eastAsia="es-PE" w:bidi="es-PE"/>
        </w:rPr>
        <w:tab/>
      </w:r>
    </w:p>
    <w:p w14:paraId="3677A0BE" w14:textId="2C406D6E" w:rsidR="00C13482" w:rsidRPr="009A1B6B" w:rsidRDefault="00C13482" w:rsidP="00C13482">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sidRPr="009A1B6B">
        <w:rPr>
          <w:rFonts w:ascii="Times New Roman" w:eastAsia="Times New Roman" w:hAnsi="Times New Roman" w:cs="Times New Roman"/>
          <w:b/>
          <w:sz w:val="48"/>
          <w:szCs w:val="48"/>
          <w:lang w:eastAsia="es-PE" w:bidi="es-PE"/>
        </w:rPr>
        <w:t>GÁLVEZ DE GUATEMALA</w:t>
      </w:r>
      <w:r>
        <w:rPr>
          <w:rFonts w:ascii="Times New Roman" w:eastAsia="Times New Roman" w:hAnsi="Times New Roman" w:cs="Times New Roman"/>
          <w:b/>
          <w:sz w:val="48"/>
          <w:szCs w:val="48"/>
          <w:lang w:eastAsia="es-PE" w:bidi="es-PE"/>
        </w:rPr>
        <w:tab/>
      </w:r>
    </w:p>
    <w:p w14:paraId="265E5B43" w14:textId="77777777" w:rsidR="00C13482" w:rsidRPr="00A0471F" w:rsidRDefault="00C13482" w:rsidP="00C13482">
      <w:pPr>
        <w:widowControl w:val="0"/>
        <w:autoSpaceDE w:val="0"/>
        <w:autoSpaceDN w:val="0"/>
        <w:spacing w:after="0" w:line="360" w:lineRule="auto"/>
        <w:jc w:val="both"/>
        <w:rPr>
          <w:rFonts w:ascii="Times New Roman" w:eastAsia="Times New Roman" w:hAnsi="Times New Roman" w:cs="Times New Roman"/>
          <w:b/>
          <w:sz w:val="24"/>
          <w:lang w:eastAsia="es-PE" w:bidi="es-PE"/>
        </w:rPr>
      </w:pPr>
    </w:p>
    <w:p w14:paraId="040899D7" w14:textId="77777777" w:rsidR="00C13482" w:rsidRPr="00A0471F" w:rsidRDefault="00C13482" w:rsidP="00C13482">
      <w:pPr>
        <w:spacing w:after="0"/>
        <w:ind w:left="10" w:right="39" w:hanging="10"/>
        <w:jc w:val="center"/>
        <w:rPr>
          <w:rFonts w:ascii="Times New Roman" w:eastAsia="Times New Roman" w:hAnsi="Times New Roman" w:cs="Times New Roman"/>
          <w:b/>
          <w:color w:val="000000"/>
          <w:sz w:val="36"/>
          <w:szCs w:val="36"/>
          <w:lang w:eastAsia="es-PE"/>
        </w:rPr>
      </w:pPr>
    </w:p>
    <w:p w14:paraId="5902720B" w14:textId="77777777" w:rsidR="00C13482" w:rsidRDefault="00C13482" w:rsidP="00C13482">
      <w:pPr>
        <w:spacing w:after="0"/>
        <w:ind w:left="10" w:right="39" w:hanging="10"/>
        <w:jc w:val="center"/>
        <w:rPr>
          <w:rFonts w:ascii="Times New Roman" w:eastAsia="Times New Roman" w:hAnsi="Times New Roman" w:cs="Times New Roman"/>
          <w:b/>
          <w:color w:val="000000"/>
          <w:sz w:val="36"/>
          <w:szCs w:val="36"/>
          <w:lang w:eastAsia="es-PE"/>
        </w:rPr>
      </w:pPr>
      <w:r w:rsidRPr="00A0471F">
        <w:rPr>
          <w:rFonts w:ascii="Times New Roman" w:eastAsia="Times New Roman" w:hAnsi="Times New Roman" w:cs="Times New Roman"/>
          <w:b/>
          <w:color w:val="000000"/>
          <w:sz w:val="36"/>
          <w:szCs w:val="36"/>
          <w:lang w:eastAsia="es-PE"/>
        </w:rPr>
        <w:t>FACULTAD DE</w:t>
      </w:r>
      <w:r>
        <w:rPr>
          <w:rFonts w:ascii="Times New Roman" w:eastAsia="Times New Roman" w:hAnsi="Times New Roman" w:cs="Times New Roman"/>
          <w:b/>
          <w:color w:val="000000"/>
          <w:sz w:val="36"/>
          <w:szCs w:val="36"/>
          <w:lang w:eastAsia="es-PE"/>
        </w:rPr>
        <w:t xml:space="preserve"> INGENIERÍA EN SISTEMAS DE INFORMACIÓN</w:t>
      </w:r>
    </w:p>
    <w:p w14:paraId="58884413" w14:textId="77777777" w:rsidR="00C13482" w:rsidRPr="00A0471F" w:rsidRDefault="00C13482" w:rsidP="00C13482">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7EA85F2C" w14:textId="77777777" w:rsidR="00C13482" w:rsidRPr="00A0471F" w:rsidRDefault="00C13482" w:rsidP="00C13482">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PROGRAMA DE POSGRADOS</w:t>
      </w:r>
    </w:p>
    <w:p w14:paraId="77E1B72B" w14:textId="77777777" w:rsidR="00C13482" w:rsidRPr="00A0471F" w:rsidRDefault="00C13482" w:rsidP="00C13482">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293CE8B4" w14:textId="77777777" w:rsidR="00C13482" w:rsidRPr="00A0471F" w:rsidRDefault="00C13482" w:rsidP="00C13482">
      <w:pPr>
        <w:spacing w:after="0"/>
        <w:rPr>
          <w:rFonts w:ascii="Times New Roman" w:eastAsia="Times New Roman" w:hAnsi="Times New Roman" w:cs="Times New Roman"/>
          <w:color w:val="000000"/>
          <w:sz w:val="24"/>
          <w:lang w:eastAsia="es-PE"/>
        </w:rPr>
      </w:pPr>
    </w:p>
    <w:p w14:paraId="20B81370" w14:textId="77777777" w:rsidR="00C13482" w:rsidRPr="00A0471F" w:rsidRDefault="00C13482" w:rsidP="00C13482">
      <w:pPr>
        <w:spacing w:after="5" w:line="248"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TRABAJO FINAL /</w:t>
      </w:r>
      <w:r w:rsidRPr="00A0471F">
        <w:rPr>
          <w:rFonts w:ascii="Times New Roman" w:eastAsia="Times New Roman" w:hAnsi="Times New Roman" w:cs="Times New Roman"/>
          <w:b/>
          <w:color w:val="000000"/>
          <w:sz w:val="32"/>
          <w:szCs w:val="32"/>
          <w:lang w:eastAsia="es-PE"/>
        </w:rPr>
        <w:t>PROYECTO DE INVESTIGACIÓN</w:t>
      </w:r>
    </w:p>
    <w:p w14:paraId="1DE67892" w14:textId="77777777" w:rsidR="00C13482" w:rsidRPr="00A0471F" w:rsidRDefault="00C13482" w:rsidP="00C13482">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2DAC46AB" w14:textId="77777777" w:rsidR="00C13482" w:rsidRPr="00A0471F" w:rsidRDefault="00C13482" w:rsidP="00C13482">
      <w:pPr>
        <w:spacing w:after="0"/>
        <w:rPr>
          <w:rFonts w:ascii="Times New Roman" w:eastAsia="Times New Roman" w:hAnsi="Times New Roman" w:cs="Times New Roman"/>
          <w:color w:val="000000"/>
          <w:sz w:val="24"/>
          <w:lang w:eastAsia="es-PE"/>
        </w:rPr>
      </w:pPr>
    </w:p>
    <w:p w14:paraId="451FC87E" w14:textId="77777777" w:rsidR="00C13482" w:rsidRPr="00A0471F" w:rsidRDefault="00C13482" w:rsidP="00C13482">
      <w:pPr>
        <w:spacing w:after="0"/>
        <w:ind w:left="10" w:right="41" w:hanging="10"/>
        <w:jc w:val="center"/>
        <w:rPr>
          <w:rFonts w:ascii="Times New Roman" w:eastAsia="Times New Roman" w:hAnsi="Times New Roman" w:cs="Times New Roman"/>
          <w:b/>
          <w:color w:val="000000"/>
          <w:sz w:val="36"/>
          <w:szCs w:val="36"/>
          <w:lang w:eastAsia="es-PE"/>
        </w:rPr>
      </w:pPr>
      <w:r w:rsidRPr="00A0471F">
        <w:rPr>
          <w:rFonts w:ascii="Times New Roman" w:eastAsia="Times New Roman" w:hAnsi="Times New Roman" w:cs="Times New Roman"/>
          <w:b/>
          <w:color w:val="000000"/>
          <w:sz w:val="36"/>
          <w:szCs w:val="36"/>
          <w:lang w:eastAsia="es-PE"/>
        </w:rPr>
        <w:t xml:space="preserve">TALLER PRÁCTICO: CONSTRUCCIÓN DE LA MATRIZ DE CONSISTENCIA</w:t>
      </w:r>
    </w:p>
    <w:p w14:paraId="1D2690F2" w14:textId="77777777" w:rsidR="00C13482" w:rsidRPr="00A0471F" w:rsidRDefault="00C13482" w:rsidP="00C13482">
      <w:pPr>
        <w:spacing w:after="26"/>
        <w:rPr>
          <w:rFonts w:ascii="Times New Roman" w:eastAsia="Times New Roman" w:hAnsi="Times New Roman" w:cs="Times New Roman"/>
          <w:color w:val="000000"/>
          <w:sz w:val="24"/>
          <w:lang w:eastAsia="es-PE"/>
        </w:rPr>
      </w:pPr>
    </w:p>
    <w:p w14:paraId="6B935E51" w14:textId="77777777" w:rsidR="00C13482" w:rsidRPr="00A0471F" w:rsidRDefault="00C13482" w:rsidP="00C13482">
      <w:pPr>
        <w:spacing w:after="0"/>
        <w:ind w:left="10" w:right="38" w:hanging="10"/>
        <w:jc w:val="center"/>
        <w:rPr>
          <w:rFonts w:ascii="Times New Roman" w:eastAsia="Times New Roman" w:hAnsi="Times New Roman" w:cs="Times New Roman"/>
          <w:b/>
          <w:color w:val="000000"/>
          <w:sz w:val="34"/>
          <w:szCs w:val="34"/>
          <w:lang w:eastAsia="es-PE"/>
        </w:rPr>
      </w:pPr>
      <w:r w:rsidRPr="00A0471F">
        <w:rPr>
          <w:rFonts w:ascii="Times New Roman" w:eastAsia="Times New Roman" w:hAnsi="Times New Roman" w:cs="Times New Roman"/>
          <w:b/>
          <w:color w:val="000000"/>
          <w:sz w:val="34"/>
          <w:szCs w:val="34"/>
          <w:lang w:eastAsia="es-PE"/>
        </w:rPr>
        <w:t xml:space="preserve">Autor (es): </w:t>
      </w:r>
    </w:p>
    <w:p w14:paraId="0F96316E" w14:textId="77777777" w:rsidR="00C13482" w:rsidRPr="00BF2264" w:rsidRDefault="00C13482" w:rsidP="00C13482">
      <w:pPr>
        <w:spacing w:after="0"/>
        <w:ind w:left="10" w:right="38" w:hanging="10"/>
        <w:jc w:val="center"/>
        <w:rPr>
          <w:rFonts w:ascii="Times New Roman" w:eastAsia="Times New Roman" w:hAnsi="Times New Roman" w:cs="Times New Roman"/>
          <w:b/>
          <w:color w:val="000000"/>
          <w:sz w:val="28"/>
          <w:szCs w:val="28"/>
          <w:lang w:eastAsia="es-PE"/>
        </w:rPr>
      </w:pPr>
      <w:r w:rsidRPr="00BF2264">
        <w:rPr>
          <w:rFonts w:ascii="Times New Roman" w:eastAsia="Times New Roman" w:hAnsi="Times New Roman" w:cs="Times New Roman"/>
          <w:b/>
          <w:color w:val="000000"/>
          <w:sz w:val="28"/>
          <w:szCs w:val="28"/>
          <w:lang w:eastAsia="es-PE"/>
        </w:rPr>
        <w:t xml:space="preserve">García Loaiza, Gerbert David - ggarcial17@miumg.edu.gt</w:t>
      </w:r>
    </w:p>
    <w:p w14:paraId="78779E99" w14:textId="073265DF" w:rsidR="00C13482" w:rsidRPr="00A0471F" w:rsidRDefault="00C13482" w:rsidP="00C13482">
      <w:pPr>
        <w:spacing w:after="0"/>
        <w:ind w:left="10" w:right="34" w:hanging="10"/>
        <w:jc w:val="center"/>
        <w:rPr>
          <w:rFonts w:ascii="Times New Roman" w:eastAsia="Times New Roman" w:hAnsi="Times New Roman" w:cs="Times New Roman"/>
          <w:b/>
          <w:color w:val="000000"/>
          <w:sz w:val="34"/>
          <w:szCs w:val="34"/>
          <w:lang w:eastAsia="es-PE"/>
        </w:rPr>
      </w:pPr>
      <w:r>
        <w:rPr>
          <w:rFonts w:ascii="Times New Roman" w:eastAsia="Times New Roman" w:hAnsi="Times New Roman" w:cs="Times New Roman"/>
          <w:b/>
          <w:color w:val="000000"/>
          <w:sz w:val="34"/>
          <w:szCs w:val="34"/>
          <w:lang w:eastAsia="es-PE"/>
        </w:rPr>
        <w:t>Profesor</w:t>
      </w:r>
      <w:r w:rsidRPr="00A0471F">
        <w:rPr>
          <w:rFonts w:ascii="Times New Roman" w:eastAsia="Times New Roman" w:hAnsi="Times New Roman" w:cs="Times New Roman"/>
          <w:b/>
          <w:color w:val="000000"/>
          <w:sz w:val="34"/>
          <w:szCs w:val="34"/>
          <w:lang w:eastAsia="es-PE"/>
        </w:rPr>
        <w:t xml:space="preserve"> </w:t>
      </w:r>
    </w:p>
    <w:p w14:paraId="200C4241" w14:textId="77777777" w:rsidR="00C13482" w:rsidRPr="00A0471F" w:rsidRDefault="00C13482" w:rsidP="00C13482">
      <w:pPr>
        <w:spacing w:after="0"/>
        <w:ind w:left="10" w:right="33" w:hanging="10"/>
        <w:jc w:val="center"/>
        <w:rPr>
          <w:rFonts w:ascii="Times New Roman" w:eastAsia="Times New Roman" w:hAnsi="Times New Roman" w:cs="Times New Roman"/>
          <w:b/>
          <w:color w:val="000000"/>
          <w:sz w:val="34"/>
          <w:szCs w:val="34"/>
          <w:lang w:eastAsia="es-PE"/>
        </w:rPr>
      </w:pPr>
      <w:r w:rsidRPr="00A0471F">
        <w:rPr>
          <w:rFonts w:ascii="Times New Roman" w:eastAsia="Times New Roman" w:hAnsi="Times New Roman" w:cs="Times New Roman"/>
          <w:b/>
          <w:color w:val="000000"/>
          <w:sz w:val="34"/>
          <w:szCs w:val="34"/>
          <w:lang w:eastAsia="es-PE"/>
        </w:rPr>
        <w:t xml:space="preserve">Ing. Buratti Aldana, Albino Cesare</w:t>
      </w:r>
    </w:p>
    <w:p w14:paraId="3CFAD025" w14:textId="77777777" w:rsidR="00C13482" w:rsidRPr="00A0471F" w:rsidRDefault="00C13482" w:rsidP="00C13482">
      <w:pPr>
        <w:spacing w:after="0"/>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7D1000F7" w14:textId="77777777" w:rsidR="00C13482" w:rsidRPr="00A0471F" w:rsidRDefault="00C13482" w:rsidP="00C13482">
      <w:pPr>
        <w:spacing w:after="0"/>
        <w:ind w:left="21"/>
        <w:jc w:val="center"/>
        <w:rPr>
          <w:rFonts w:ascii="Times New Roman" w:eastAsia="Times New Roman" w:hAnsi="Times New Roman" w:cs="Times New Roman"/>
          <w:color w:val="000000"/>
          <w:sz w:val="24"/>
          <w:lang w:eastAsia="es-PE"/>
        </w:rPr>
      </w:pPr>
    </w:p>
    <w:p w14:paraId="6A0208A7" w14:textId="071A5C26" w:rsidR="00C13482" w:rsidRPr="00A0471F" w:rsidRDefault="00C13482" w:rsidP="00C13482">
      <w:pPr>
        <w:spacing w:after="0"/>
        <w:ind w:left="10" w:right="38"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Curso</w:t>
      </w:r>
    </w:p>
    <w:p w14:paraId="6B12D17F" w14:textId="4AA41849" w:rsidR="00C13482" w:rsidRPr="00A0471F" w:rsidRDefault="00C13482" w:rsidP="00C13482">
      <w:pPr>
        <w:spacing w:after="5" w:line="248" w:lineRule="auto"/>
        <w:ind w:right="30" w:hanging="10"/>
        <w:jc w:val="center"/>
        <w:rPr>
          <w:rFonts w:ascii="Times New Roman" w:eastAsia="Times New Roman" w:hAnsi="Times New Roman" w:cs="Times New Roman"/>
          <w:b/>
          <w:color w:val="000000"/>
          <w:sz w:val="32"/>
          <w:szCs w:val="32"/>
          <w:lang w:eastAsia="es-PE"/>
        </w:rPr>
      </w:pPr>
      <w:r w:rsidRPr="00A0471F">
        <w:rPr>
          <w:rFonts w:ascii="Times New Roman" w:eastAsia="Times New Roman" w:hAnsi="Times New Roman" w:cs="Times New Roman"/>
          <w:b/>
          <w:color w:val="000000"/>
          <w:sz w:val="32"/>
          <w:szCs w:val="32"/>
          <w:lang w:eastAsia="es-PE"/>
        </w:rPr>
        <w:t xml:space="preserve">Proyecto de Investigación I - 2026</w:t>
      </w:r>
    </w:p>
    <w:p w14:paraId="199B97FA" w14:textId="77777777" w:rsidR="00C13482" w:rsidRPr="00A0471F" w:rsidRDefault="00C13482" w:rsidP="00C13482">
      <w:pPr>
        <w:spacing w:after="0"/>
        <w:ind w:left="21"/>
        <w:jc w:val="center"/>
        <w:rPr>
          <w:rFonts w:ascii="Times New Roman" w:eastAsia="Times New Roman" w:hAnsi="Times New Roman" w:cs="Times New Roman"/>
          <w:color w:val="000000"/>
          <w:sz w:val="24"/>
          <w:lang w:eastAsia="es-PE"/>
        </w:rPr>
      </w:pPr>
      <w:r w:rsidRPr="00A0471F">
        <w:rPr>
          <w:rFonts w:ascii="Times New Roman" w:eastAsia="Times New Roman" w:hAnsi="Times New Roman" w:cs="Times New Roman"/>
          <w:color w:val="000000"/>
          <w:sz w:val="24"/>
          <w:lang w:eastAsia="es-PE"/>
        </w:rPr>
        <w:t xml:space="preserve"> </w:t>
      </w:r>
    </w:p>
    <w:p w14:paraId="01220E37" w14:textId="77777777" w:rsidR="00C13482" w:rsidRPr="00A0471F" w:rsidRDefault="00C13482" w:rsidP="00C13482">
      <w:pPr>
        <w:spacing w:after="0"/>
        <w:rPr>
          <w:rFonts w:ascii="Times New Roman" w:eastAsia="Times New Roman" w:hAnsi="Times New Roman" w:cs="Times New Roman"/>
          <w:color w:val="000000"/>
          <w:sz w:val="24"/>
          <w:lang w:eastAsia="es-PE"/>
        </w:rPr>
      </w:pPr>
    </w:p>
    <w:p w14:paraId="128816E5" w14:textId="77777777" w:rsidR="00C13482" w:rsidRPr="00A0471F" w:rsidRDefault="00C13482" w:rsidP="00C13482">
      <w:pPr>
        <w:spacing w:after="0"/>
        <w:ind w:left="10" w:right="37"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 xml:space="preserve">Guatemala, octubre de 2026</w:t>
      </w:r>
    </w:p>
    <w:p>
      <w:pPr>
        <w:sectPr>
          <w:pgSz w:w="12240" w:h="15840"/>
          <w:pgMar w:top="1417" w:right="1417" w:bottom="1417" w:left="1984" w:header="720" w:footer="720" w:gutter="0"/>
          <w:cols w:space="720"/>
          <w:docGrid w:linePitch="360"/>
        </w:sectPr>
      </w:pPr>
    </w:p>
    <w:p>
      <w:pPr>
        <w:spacing w:before="0" w:after="0" w:line="360" w:lineRule="auto"/>
        <w:jc w:val="center"/>
        <w:rPr>
          <w:rFonts w:ascii="Arial" w:hAnsi="Arial" w:cs="Arial"/>
          <w:lang w:val="es-GT"/>
        </w:rPr>
      </w:pPr>
      <w:r>
        <w:rPr>
          <w:rFonts w:ascii="Arial" w:hAnsi="Arial" w:cs="Arial"/>
          <w:b/>
          <w:sz w:val="24"/>
          <w:szCs w:val="24"/>
          <w:lang w:val="es-GT"/>
        </w:rPr>
        <w:t xml:space="preserve">Tabla de contenido</w:t>
      </w:r>
    </w:p>
    <w:p>
      <w:pPr>
        <w:tabs>
          <w:tab w:val="right" w:leader="dot" w:pos="8830"/>
        </w:tabs>
        <w:spacing w:before="0" w:after="60" w:line="276" w:lineRule="auto"/>
        <w:jc w:val="left"/>
      </w:pPr>
      <w:r>
        <w:fldChar w:fldCharType="begin"/>
      </w:r>
      <w:r>
        <w:instrText xml:space="preserve">TOC \o "1-2" \h \z \u</w:instrText>
      </w:r>
      <w:r>
        <w:fldChar w:fldCharType="separate"/>
      </w:r>
      <w:hyperlink w:anchor="_Toc800201" w:history="1">
        <w:r>
          <w:rPr>
            <w:rFonts w:ascii="Arial" w:hAnsi="Arial" w:cs="Arial"/>
            <w:b/>
            <w:sz w:val="24"/>
            <w:szCs w:val="24"/>
            <w:lang w:val="es-GT"/>
          </w:rPr>
          <w:t xml:space="preserve">RESUMEN</w:t>
        </w:r>
        <w:r>
          <w:rPr>
            <w:rFonts w:ascii="Arial" w:hAnsi="Arial" w:cs="Arial"/>
            <w:b/>
            <w:sz w:val="24"/>
            <w:szCs w:val="24"/>
            <w:lang w:val="es-GT"/>
          </w:rPr>
          <w:tab/>
        </w:r>
        <w:r>
          <w:rPr>
            <w:rFonts w:ascii="Arial" w:hAnsi="Arial" w:cs="Arial"/>
            <w:b/>
            <w:sz w:val="24"/>
            <w:szCs w:val="24"/>
            <w:lang w:val="es-GT"/>
          </w:rPr>
          <w:fldChar w:fldCharType="begin"/>
        </w:r>
        <w:r>
          <w:rPr>
            <w:rFonts w:ascii="Arial" w:hAnsi="Arial" w:cs="Arial"/>
            <w:b/>
            <w:sz w:val="24"/>
            <w:szCs w:val="24"/>
            <w:lang w:val="es-GT"/>
          </w:rPr>
          <w:instrText xml:space="preserve"> PAGEREF _Toc800201 \h </w:instrText>
        </w:r>
        <w:r>
          <w:rPr>
            <w:rFonts w:ascii="Arial" w:hAnsi="Arial" w:cs="Arial"/>
            <w:b/>
            <w:sz w:val="24"/>
            <w:szCs w:val="24"/>
            <w:lang w:val="es-GT"/>
          </w:rPr>
          <w:fldChar w:fldCharType="separate"/>
        </w:r>
        <w:r>
          <w:rPr>
            <w:rFonts w:ascii="Arial" w:hAnsi="Arial" w:cs="Arial"/>
            <w:b/>
            <w:sz w:val="24"/>
            <w:szCs w:val="24"/>
            <w:lang w:val="es-GT"/>
          </w:rPr>
          <w:t>1</w:t>
        </w:r>
        <w:r>
          <w:rPr>
            <w:rFonts w:ascii="Arial" w:hAnsi="Arial" w:cs="Arial"/>
            <w:b/>
            <w:sz w:val="24"/>
            <w:szCs w:val="24"/>
            <w:lang w:val="es-GT"/>
          </w:rPr>
          <w:fldChar w:fldCharType="end"/>
        </w:r>
      </w:hyperlink>
    </w:p>
    <w:p>
      <w:pPr>
        <w:tabs>
          <w:tab w:val="right" w:leader="dot" w:pos="8830"/>
        </w:tabs>
        <w:spacing w:before="0" w:after="60" w:line="276" w:lineRule="auto"/>
        <w:jc w:val="left"/>
      </w:pPr>
      <w:hyperlink w:anchor="_Toc800202" w:history="1">
        <w:r>
          <w:rPr>
            <w:rFonts w:ascii="Arial" w:hAnsi="Arial" w:cs="Arial"/>
            <w:b/>
            <w:sz w:val="24"/>
            <w:szCs w:val="24"/>
            <w:lang w:val="es-GT"/>
          </w:rPr>
          <w:t xml:space="preserve">INTRODUCCIÓN</w:t>
        </w:r>
        <w:r>
          <w:rPr>
            <w:rFonts w:ascii="Arial" w:hAnsi="Arial" w:cs="Arial"/>
            <w:b/>
            <w:sz w:val="24"/>
            <w:szCs w:val="24"/>
            <w:lang w:val="es-GT"/>
          </w:rPr>
          <w:tab/>
        </w:r>
        <w:r>
          <w:rPr>
            <w:rFonts w:ascii="Arial" w:hAnsi="Arial" w:cs="Arial"/>
            <w:b/>
            <w:sz w:val="24"/>
            <w:szCs w:val="24"/>
            <w:lang w:val="es-GT"/>
          </w:rPr>
          <w:fldChar w:fldCharType="begin"/>
        </w:r>
        <w:r>
          <w:rPr>
            <w:rFonts w:ascii="Arial" w:hAnsi="Arial" w:cs="Arial"/>
            <w:b/>
            <w:sz w:val="24"/>
            <w:szCs w:val="24"/>
            <w:lang w:val="es-GT"/>
          </w:rPr>
          <w:instrText xml:space="preserve"> PAGEREF _Toc800202 \h </w:instrText>
        </w:r>
        <w:r>
          <w:rPr>
            <w:rFonts w:ascii="Arial" w:hAnsi="Arial" w:cs="Arial"/>
            <w:b/>
            <w:sz w:val="24"/>
            <w:szCs w:val="24"/>
            <w:lang w:val="es-GT"/>
          </w:rPr>
          <w:fldChar w:fldCharType="separate"/>
        </w:r>
        <w:r>
          <w:rPr>
            <w:rFonts w:ascii="Arial" w:hAnsi="Arial" w:cs="Arial"/>
            <w:b/>
            <w:sz w:val="24"/>
            <w:szCs w:val="24"/>
            <w:lang w:val="es-GT"/>
          </w:rPr>
          <w:t>1</w:t>
        </w:r>
        <w:r>
          <w:rPr>
            <w:rFonts w:ascii="Arial" w:hAnsi="Arial" w:cs="Arial"/>
            <w:b/>
            <w:sz w:val="24"/>
            <w:szCs w:val="24"/>
            <w:lang w:val="es-GT"/>
          </w:rPr>
          <w:fldChar w:fldCharType="end"/>
        </w:r>
      </w:hyperlink>
    </w:p>
    <w:p>
      <w:pPr>
        <w:tabs>
          <w:tab w:val="right" w:leader="dot" w:pos="8830"/>
        </w:tabs>
        <w:spacing w:before="0" w:after="60" w:line="276" w:lineRule="auto"/>
        <w:jc w:val="left"/>
      </w:pPr>
      <w:hyperlink w:anchor="_Toc800203" w:history="1">
        <w:r>
          <w:rPr>
            <w:rFonts w:ascii="Arial" w:hAnsi="Arial" w:cs="Arial"/>
            <w:b/>
            <w:sz w:val="24"/>
            <w:szCs w:val="24"/>
            <w:lang w:val="es-GT"/>
          </w:rPr>
          <w:t xml:space="preserve">JUSTIFICACIÓN</w:t>
        </w:r>
        <w:r>
          <w:rPr>
            <w:rFonts w:ascii="Arial" w:hAnsi="Arial" w:cs="Arial"/>
            <w:b/>
            <w:sz w:val="24"/>
            <w:szCs w:val="24"/>
            <w:lang w:val="es-GT"/>
          </w:rPr>
          <w:tab/>
        </w:r>
        <w:r>
          <w:rPr>
            <w:rFonts w:ascii="Arial" w:hAnsi="Arial" w:cs="Arial"/>
            <w:b/>
            <w:sz w:val="24"/>
            <w:szCs w:val="24"/>
            <w:lang w:val="es-GT"/>
          </w:rPr>
          <w:fldChar w:fldCharType="begin"/>
        </w:r>
        <w:r>
          <w:rPr>
            <w:rFonts w:ascii="Arial" w:hAnsi="Arial" w:cs="Arial"/>
            <w:b/>
            <w:sz w:val="24"/>
            <w:szCs w:val="24"/>
            <w:lang w:val="es-GT"/>
          </w:rPr>
          <w:instrText xml:space="preserve"> PAGEREF _Toc800203 \h </w:instrText>
        </w:r>
        <w:r>
          <w:rPr>
            <w:rFonts w:ascii="Arial" w:hAnsi="Arial" w:cs="Arial"/>
            <w:b/>
            <w:sz w:val="24"/>
            <w:szCs w:val="24"/>
            <w:lang w:val="es-GT"/>
          </w:rPr>
          <w:fldChar w:fldCharType="separate"/>
        </w:r>
        <w:r>
          <w:rPr>
            <w:rFonts w:ascii="Arial" w:hAnsi="Arial" w:cs="Arial"/>
            <w:b/>
            <w:sz w:val="24"/>
            <w:szCs w:val="24"/>
            <w:lang w:val="es-GT"/>
          </w:rPr>
          <w:t>1</w:t>
        </w:r>
        <w:r>
          <w:rPr>
            <w:rFonts w:ascii="Arial" w:hAnsi="Arial" w:cs="Arial"/>
            <w:b/>
            <w:sz w:val="24"/>
            <w:szCs w:val="24"/>
            <w:lang w:val="es-GT"/>
          </w:rPr>
          <w:fldChar w:fldCharType="end"/>
        </w:r>
      </w:hyperlink>
    </w:p>
    <w:p>
      <w:pPr>
        <w:tabs>
          <w:tab w:val="right" w:leader="dot" w:pos="8830"/>
        </w:tabs>
        <w:spacing w:before="0" w:after="60" w:line="276" w:lineRule="auto"/>
        <w:jc w:val="left"/>
      </w:pPr>
      <w:hyperlink w:anchor="_Toc800204" w:history="1">
        <w:r>
          <w:rPr>
            <w:rFonts w:ascii="Arial" w:hAnsi="Arial" w:cs="Arial"/>
            <w:b/>
            <w:sz w:val="24"/>
            <w:szCs w:val="24"/>
            <w:lang w:val="es-GT"/>
          </w:rPr>
          <w:t xml:space="preserve">MARCO TEÓRICO</w:t>
        </w:r>
        <w:r>
          <w:rPr>
            <w:rFonts w:ascii="Arial" w:hAnsi="Arial" w:cs="Arial"/>
            <w:b/>
            <w:sz w:val="24"/>
            <w:szCs w:val="24"/>
            <w:lang w:val="es-GT"/>
          </w:rPr>
          <w:tab/>
        </w:r>
        <w:r>
          <w:rPr>
            <w:rFonts w:ascii="Arial" w:hAnsi="Arial" w:cs="Arial"/>
            <w:b/>
            <w:sz w:val="24"/>
            <w:szCs w:val="24"/>
            <w:lang w:val="es-GT"/>
          </w:rPr>
          <w:fldChar w:fldCharType="begin"/>
        </w:r>
        <w:r>
          <w:rPr>
            <w:rFonts w:ascii="Arial" w:hAnsi="Arial" w:cs="Arial"/>
            <w:b/>
            <w:sz w:val="24"/>
            <w:szCs w:val="24"/>
            <w:lang w:val="es-GT"/>
          </w:rPr>
          <w:instrText xml:space="preserve"> PAGEREF _Toc800204 \h </w:instrText>
        </w:r>
        <w:r>
          <w:rPr>
            <w:rFonts w:ascii="Arial" w:hAnsi="Arial" w:cs="Arial"/>
            <w:b/>
            <w:sz w:val="24"/>
            <w:szCs w:val="24"/>
            <w:lang w:val="es-GT"/>
          </w:rPr>
          <w:fldChar w:fldCharType="separate"/>
        </w:r>
        <w:r>
          <w:rPr>
            <w:rFonts w:ascii="Arial" w:hAnsi="Arial" w:cs="Arial"/>
            <w:b/>
            <w:sz w:val="24"/>
            <w:szCs w:val="24"/>
            <w:lang w:val="es-GT"/>
          </w:rPr>
          <w:t>2</w:t>
        </w:r>
        <w:r>
          <w:rPr>
            <w:rFonts w:ascii="Arial" w:hAnsi="Arial" w:cs="Arial"/>
            <w:b/>
            <w:sz w:val="24"/>
            <w:szCs w:val="24"/>
            <w:lang w:val="es-GT"/>
          </w:rPr>
          <w:fldChar w:fldCharType="end"/>
        </w:r>
      </w:hyperlink>
    </w:p>
    <w:p>
      <w:pPr>
        <w:tabs>
          <w:tab w:val="right" w:leader="dot" w:pos="8830"/>
        </w:tabs>
        <w:spacing w:before="0" w:after="60" w:line="276" w:lineRule="auto"/>
        <w:jc w:val="left"/>
      </w:pPr>
      <w:hyperlink w:anchor="_Toc800205" w:history="1">
        <w:r>
          <w:rPr>
            <w:rFonts w:ascii="Arial" w:hAnsi="Arial" w:cs="Arial"/>
            <w:b/>
            <w:sz w:val="24"/>
            <w:szCs w:val="24"/>
            <w:lang w:val="es-GT"/>
          </w:rPr>
          <w:t xml:space="preserve">CONTENIDO DE LA TAREA</w:t>
        </w:r>
        <w:r>
          <w:rPr>
            <w:rFonts w:ascii="Arial" w:hAnsi="Arial" w:cs="Arial"/>
            <w:b/>
            <w:sz w:val="24"/>
            <w:szCs w:val="24"/>
            <w:lang w:val="es-GT"/>
          </w:rPr>
          <w:tab/>
        </w:r>
        <w:r>
          <w:rPr>
            <w:rFonts w:ascii="Arial" w:hAnsi="Arial" w:cs="Arial"/>
            <w:b/>
            <w:sz w:val="24"/>
            <w:szCs w:val="24"/>
            <w:lang w:val="es-GT"/>
          </w:rPr>
          <w:fldChar w:fldCharType="begin"/>
        </w:r>
        <w:r>
          <w:rPr>
            <w:rFonts w:ascii="Arial" w:hAnsi="Arial" w:cs="Arial"/>
            <w:b/>
            <w:sz w:val="24"/>
            <w:szCs w:val="24"/>
            <w:lang w:val="es-GT"/>
          </w:rPr>
          <w:instrText xml:space="preserve"> PAGEREF _Toc800205 \h </w:instrText>
        </w:r>
        <w:r>
          <w:rPr>
            <w:rFonts w:ascii="Arial" w:hAnsi="Arial" w:cs="Arial"/>
            <w:b/>
            <w:sz w:val="24"/>
            <w:szCs w:val="24"/>
            <w:lang w:val="es-GT"/>
          </w:rPr>
          <w:fldChar w:fldCharType="separate"/>
        </w:r>
        <w:r>
          <w:rPr>
            <w:rFonts w:ascii="Arial" w:hAnsi="Arial" w:cs="Arial"/>
            <w:b/>
            <w:sz w:val="24"/>
            <w:szCs w:val="24"/>
            <w:lang w:val="es-GT"/>
          </w:rPr>
          <w:t>2</w:t>
        </w:r>
        <w:r>
          <w:rPr>
            <w:rFonts w:ascii="Arial" w:hAnsi="Arial" w:cs="Arial"/>
            <w:b/>
            <w:sz w:val="24"/>
            <w:szCs w:val="24"/>
            <w:lang w:val="es-GT"/>
          </w:rPr>
          <w:fldChar w:fldCharType="end"/>
        </w:r>
      </w:hyperlink>
    </w:p>
    <w:p>
      <w:pPr>
        <w:tabs>
          <w:tab w:val="right" w:leader="dot" w:pos="8830"/>
        </w:tabs>
        <w:spacing w:before="0" w:after="60" w:line="276" w:lineRule="auto"/>
        <w:ind w:left="440"/>
        <w:jc w:val="left"/>
      </w:pPr>
      <w:hyperlink w:anchor="_Toc800206" w:history="1">
        <w:r>
          <w:rPr>
            <w:rFonts w:ascii="Arial" w:hAnsi="Arial" w:cs="Arial"/>
            <w:sz w:val="24"/>
            <w:szCs w:val="24"/>
            <w:lang w:val="es-GT"/>
          </w:rPr>
          <w:t xml:space="preserve">Parte 1. Desarrollo del tema de investigación</w:t>
        </w:r>
        <w:r>
          <w:rPr>
            <w:rFonts w:ascii="Arial" w:hAnsi="Arial" w:cs="Arial"/>
            <w:sz w:val="24"/>
            <w:szCs w:val="24"/>
            <w:lang w:val="es-GT"/>
          </w:rPr>
          <w:tab/>
        </w:r>
        <w:r>
          <w:rPr>
            <w:rFonts w:ascii="Arial" w:hAnsi="Arial" w:cs="Arial"/>
            <w:sz w:val="24"/>
            <w:szCs w:val="24"/>
            <w:lang w:val="es-GT"/>
          </w:rPr>
          <w:fldChar w:fldCharType="begin"/>
        </w:r>
        <w:r>
          <w:rPr>
            <w:rFonts w:ascii="Arial" w:hAnsi="Arial" w:cs="Arial"/>
            <w:sz w:val="24"/>
            <w:szCs w:val="24"/>
            <w:lang w:val="es-GT"/>
          </w:rPr>
          <w:instrText xml:space="preserve"> PAGEREF _Toc800206 \h </w:instrText>
        </w:r>
        <w:r>
          <w:rPr>
            <w:rFonts w:ascii="Arial" w:hAnsi="Arial" w:cs="Arial"/>
            <w:sz w:val="24"/>
            <w:szCs w:val="24"/>
            <w:lang w:val="es-GT"/>
          </w:rPr>
          <w:fldChar w:fldCharType="separate"/>
        </w:r>
        <w:r>
          <w:rPr>
            <w:rFonts w:ascii="Arial" w:hAnsi="Arial" w:cs="Arial"/>
            <w:sz w:val="24"/>
            <w:szCs w:val="24"/>
            <w:lang w:val="es-GT"/>
          </w:rPr>
          <w:t>2</w:t>
        </w:r>
        <w:r>
          <w:rPr>
            <w:rFonts w:ascii="Arial" w:hAnsi="Arial" w:cs="Arial"/>
            <w:sz w:val="24"/>
            <w:szCs w:val="24"/>
            <w:lang w:val="es-GT"/>
          </w:rPr>
          <w:fldChar w:fldCharType="end"/>
        </w:r>
      </w:hyperlink>
    </w:p>
    <w:p>
      <w:pPr>
        <w:tabs>
          <w:tab w:val="right" w:leader="dot" w:pos="8830"/>
        </w:tabs>
        <w:spacing w:before="0" w:after="60" w:line="276" w:lineRule="auto"/>
        <w:ind w:left="440"/>
        <w:jc w:val="left"/>
      </w:pPr>
      <w:hyperlink w:anchor="_Toc800207" w:history="1">
        <w:r>
          <w:rPr>
            <w:rFonts w:ascii="Arial" w:hAnsi="Arial" w:cs="Arial"/>
            <w:sz w:val="24"/>
            <w:szCs w:val="24"/>
            <w:lang w:val="es-GT"/>
          </w:rPr>
          <w:t xml:space="preserve">Parte 2. Hipótesis de investigación</w:t>
        </w:r>
        <w:r>
          <w:rPr>
            <w:rFonts w:ascii="Arial" w:hAnsi="Arial" w:cs="Arial"/>
            <w:sz w:val="24"/>
            <w:szCs w:val="24"/>
            <w:lang w:val="es-GT"/>
          </w:rPr>
          <w:tab/>
        </w:r>
        <w:r>
          <w:rPr>
            <w:rFonts w:ascii="Arial" w:hAnsi="Arial" w:cs="Arial"/>
            <w:sz w:val="24"/>
            <w:szCs w:val="24"/>
            <w:lang w:val="es-GT"/>
          </w:rPr>
          <w:fldChar w:fldCharType="begin"/>
        </w:r>
        <w:r>
          <w:rPr>
            <w:rFonts w:ascii="Arial" w:hAnsi="Arial" w:cs="Arial"/>
            <w:sz w:val="24"/>
            <w:szCs w:val="24"/>
            <w:lang w:val="es-GT"/>
          </w:rPr>
          <w:instrText xml:space="preserve"> PAGEREF _Toc800207 \h </w:instrText>
        </w:r>
        <w:r>
          <w:rPr>
            <w:rFonts w:ascii="Arial" w:hAnsi="Arial" w:cs="Arial"/>
            <w:sz w:val="24"/>
            <w:szCs w:val="24"/>
            <w:lang w:val="es-GT"/>
          </w:rPr>
          <w:fldChar w:fldCharType="separate"/>
        </w:r>
        <w:r>
          <w:rPr>
            <w:rFonts w:ascii="Arial" w:hAnsi="Arial" w:cs="Arial"/>
            <w:sz w:val="24"/>
            <w:szCs w:val="24"/>
            <w:lang w:val="es-GT"/>
          </w:rPr>
          <w:t>3</w:t>
        </w:r>
        <w:r>
          <w:rPr>
            <w:rFonts w:ascii="Arial" w:hAnsi="Arial" w:cs="Arial"/>
            <w:sz w:val="24"/>
            <w:szCs w:val="24"/>
            <w:lang w:val="es-GT"/>
          </w:rPr>
          <w:fldChar w:fldCharType="end"/>
        </w:r>
      </w:hyperlink>
    </w:p>
    <w:p>
      <w:pPr>
        <w:tabs>
          <w:tab w:val="right" w:leader="dot" w:pos="8830"/>
        </w:tabs>
        <w:spacing w:before="0" w:after="60" w:line="276" w:lineRule="auto"/>
        <w:ind w:left="440"/>
        <w:jc w:val="left"/>
      </w:pPr>
      <w:hyperlink w:anchor="_Toc800208" w:history="1">
        <w:r>
          <w:rPr>
            <w:rFonts w:ascii="Arial" w:hAnsi="Arial" w:cs="Arial"/>
            <w:sz w:val="24"/>
            <w:szCs w:val="24"/>
            <w:lang w:val="es-GT"/>
          </w:rPr>
          <w:t xml:space="preserve">Parte 3. Operacionalización de las variables</w:t>
        </w:r>
        <w:r>
          <w:rPr>
            <w:rFonts w:ascii="Arial" w:hAnsi="Arial" w:cs="Arial"/>
            <w:sz w:val="24"/>
            <w:szCs w:val="24"/>
            <w:lang w:val="es-GT"/>
          </w:rPr>
          <w:tab/>
        </w:r>
        <w:r>
          <w:rPr>
            <w:rFonts w:ascii="Arial" w:hAnsi="Arial" w:cs="Arial"/>
            <w:sz w:val="24"/>
            <w:szCs w:val="24"/>
            <w:lang w:val="es-GT"/>
          </w:rPr>
          <w:fldChar w:fldCharType="begin"/>
        </w:r>
        <w:r>
          <w:rPr>
            <w:rFonts w:ascii="Arial" w:hAnsi="Arial" w:cs="Arial"/>
            <w:sz w:val="24"/>
            <w:szCs w:val="24"/>
            <w:lang w:val="es-GT"/>
          </w:rPr>
          <w:instrText xml:space="preserve"> PAGEREF _Toc800208 \h </w:instrText>
        </w:r>
        <w:r>
          <w:rPr>
            <w:rFonts w:ascii="Arial" w:hAnsi="Arial" w:cs="Arial"/>
            <w:sz w:val="24"/>
            <w:szCs w:val="24"/>
            <w:lang w:val="es-GT"/>
          </w:rPr>
          <w:fldChar w:fldCharType="separate"/>
        </w:r>
        <w:r>
          <w:rPr>
            <w:rFonts w:ascii="Arial" w:hAnsi="Arial" w:cs="Arial"/>
            <w:sz w:val="24"/>
            <w:szCs w:val="24"/>
            <w:lang w:val="es-GT"/>
          </w:rPr>
          <w:t>4</w:t>
        </w:r>
        <w:r>
          <w:rPr>
            <w:rFonts w:ascii="Arial" w:hAnsi="Arial" w:cs="Arial"/>
            <w:sz w:val="24"/>
            <w:szCs w:val="24"/>
            <w:lang w:val="es-GT"/>
          </w:rPr>
          <w:fldChar w:fldCharType="end"/>
        </w:r>
      </w:hyperlink>
    </w:p>
    <w:p>
      <w:pPr>
        <w:tabs>
          <w:tab w:val="right" w:leader="dot" w:pos="8830"/>
        </w:tabs>
        <w:spacing w:before="0" w:after="60" w:line="276" w:lineRule="auto"/>
        <w:ind w:left="440"/>
        <w:jc w:val="left"/>
      </w:pPr>
      <w:hyperlink w:anchor="_Toc800209" w:history="1">
        <w:r>
          <w:rPr>
            <w:rFonts w:ascii="Arial" w:hAnsi="Arial" w:cs="Arial"/>
            <w:sz w:val="24"/>
            <w:szCs w:val="24"/>
            <w:lang w:val="es-GT"/>
          </w:rPr>
          <w:t xml:space="preserve">Parte 4. Matriz de consistencia</w:t>
        </w:r>
        <w:r>
          <w:rPr>
            <w:rFonts w:ascii="Arial" w:hAnsi="Arial" w:cs="Arial"/>
            <w:sz w:val="24"/>
            <w:szCs w:val="24"/>
            <w:lang w:val="es-GT"/>
          </w:rPr>
          <w:tab/>
        </w:r>
        <w:r>
          <w:rPr>
            <w:rFonts w:ascii="Arial" w:hAnsi="Arial" w:cs="Arial"/>
            <w:sz w:val="24"/>
            <w:szCs w:val="24"/>
            <w:lang w:val="es-GT"/>
          </w:rPr>
          <w:fldChar w:fldCharType="begin"/>
        </w:r>
        <w:r>
          <w:rPr>
            <w:rFonts w:ascii="Arial" w:hAnsi="Arial" w:cs="Arial"/>
            <w:sz w:val="24"/>
            <w:szCs w:val="24"/>
            <w:lang w:val="es-GT"/>
          </w:rPr>
          <w:instrText xml:space="preserve"> PAGEREF _Toc800209 \h </w:instrText>
        </w:r>
        <w:r>
          <w:rPr>
            <w:rFonts w:ascii="Arial" w:hAnsi="Arial" w:cs="Arial"/>
            <w:sz w:val="24"/>
            <w:szCs w:val="24"/>
            <w:lang w:val="es-GT"/>
          </w:rPr>
          <w:fldChar w:fldCharType="separate"/>
        </w:r>
        <w:r>
          <w:rPr>
            <w:rFonts w:ascii="Arial" w:hAnsi="Arial" w:cs="Arial"/>
            <w:sz w:val="24"/>
            <w:szCs w:val="24"/>
            <w:lang w:val="es-GT"/>
          </w:rPr>
          <w:t>5</w:t>
        </w:r>
        <w:r>
          <w:rPr>
            <w:rFonts w:ascii="Arial" w:hAnsi="Arial" w:cs="Arial"/>
            <w:sz w:val="24"/>
            <w:szCs w:val="24"/>
            <w:lang w:val="es-GT"/>
          </w:rPr>
          <w:fldChar w:fldCharType="end"/>
        </w:r>
      </w:hyperlink>
    </w:p>
    <w:p>
      <w:pPr>
        <w:tabs>
          <w:tab w:val="right" w:leader="dot" w:pos="8830"/>
        </w:tabs>
        <w:spacing w:before="0" w:after="60" w:line="276" w:lineRule="auto"/>
        <w:jc w:val="left"/>
      </w:pPr>
      <w:hyperlink w:anchor="_Toc800210" w:history="1">
        <w:r>
          <w:rPr>
            <w:rFonts w:ascii="Arial" w:hAnsi="Arial" w:cs="Arial"/>
            <w:b/>
            <w:sz w:val="24"/>
            <w:szCs w:val="24"/>
            <w:lang w:val="es-GT"/>
          </w:rPr>
          <w:t xml:space="preserve">CONCLUSIONES</w:t>
        </w:r>
        <w:r>
          <w:rPr>
            <w:rFonts w:ascii="Arial" w:hAnsi="Arial" w:cs="Arial"/>
            <w:b/>
            <w:sz w:val="24"/>
            <w:szCs w:val="24"/>
            <w:lang w:val="es-GT"/>
          </w:rPr>
          <w:tab/>
        </w:r>
        <w:r>
          <w:rPr>
            <w:rFonts w:ascii="Arial" w:hAnsi="Arial" w:cs="Arial"/>
            <w:b/>
            <w:sz w:val="24"/>
            <w:szCs w:val="24"/>
            <w:lang w:val="es-GT"/>
          </w:rPr>
          <w:fldChar w:fldCharType="begin"/>
        </w:r>
        <w:r>
          <w:rPr>
            <w:rFonts w:ascii="Arial" w:hAnsi="Arial" w:cs="Arial"/>
            <w:b/>
            <w:sz w:val="24"/>
            <w:szCs w:val="24"/>
            <w:lang w:val="es-GT"/>
          </w:rPr>
          <w:instrText xml:space="preserve"> PAGEREF _Toc800210 \h </w:instrText>
        </w:r>
        <w:r>
          <w:rPr>
            <w:rFonts w:ascii="Arial" w:hAnsi="Arial" w:cs="Arial"/>
            <w:b/>
            <w:sz w:val="24"/>
            <w:szCs w:val="24"/>
            <w:lang w:val="es-GT"/>
          </w:rPr>
          <w:fldChar w:fldCharType="separate"/>
        </w:r>
        <w:r>
          <w:rPr>
            <w:rFonts w:ascii="Arial" w:hAnsi="Arial" w:cs="Arial"/>
            <w:b/>
            <w:sz w:val="24"/>
            <w:szCs w:val="24"/>
            <w:lang w:val="es-GT"/>
          </w:rPr>
          <w:t>6</w:t>
        </w:r>
        <w:r>
          <w:rPr>
            <w:rFonts w:ascii="Arial" w:hAnsi="Arial" w:cs="Arial"/>
            <w:b/>
            <w:sz w:val="24"/>
            <w:szCs w:val="24"/>
            <w:lang w:val="es-GT"/>
          </w:rPr>
          <w:fldChar w:fldCharType="end"/>
        </w:r>
      </w:hyperlink>
    </w:p>
    <w:p>
      <w:pPr>
        <w:tabs>
          <w:tab w:val="right" w:leader="dot" w:pos="8830"/>
        </w:tabs>
        <w:spacing w:before="0" w:after="60" w:line="276" w:lineRule="auto"/>
        <w:jc w:val="left"/>
      </w:pPr>
      <w:hyperlink w:anchor="_Toc800211" w:history="1">
        <w:r>
          <w:rPr>
            <w:rFonts w:ascii="Arial" w:hAnsi="Arial" w:cs="Arial"/>
            <w:b/>
            <w:sz w:val="24"/>
            <w:szCs w:val="24"/>
            <w:lang w:val="es-GT"/>
          </w:rPr>
          <w:t xml:space="preserve">RECOMENDACIONES</w:t>
        </w:r>
        <w:r>
          <w:rPr>
            <w:rFonts w:ascii="Arial" w:hAnsi="Arial" w:cs="Arial"/>
            <w:b/>
            <w:sz w:val="24"/>
            <w:szCs w:val="24"/>
            <w:lang w:val="es-GT"/>
          </w:rPr>
          <w:tab/>
        </w:r>
        <w:r>
          <w:rPr>
            <w:rFonts w:ascii="Arial" w:hAnsi="Arial" w:cs="Arial"/>
            <w:b/>
            <w:sz w:val="24"/>
            <w:szCs w:val="24"/>
            <w:lang w:val="es-GT"/>
          </w:rPr>
          <w:fldChar w:fldCharType="begin"/>
        </w:r>
        <w:r>
          <w:rPr>
            <w:rFonts w:ascii="Arial" w:hAnsi="Arial" w:cs="Arial"/>
            <w:b/>
            <w:sz w:val="24"/>
            <w:szCs w:val="24"/>
            <w:lang w:val="es-GT"/>
          </w:rPr>
          <w:instrText xml:space="preserve"> PAGEREF _Toc800211 \h </w:instrText>
        </w:r>
        <w:r>
          <w:rPr>
            <w:rFonts w:ascii="Arial" w:hAnsi="Arial" w:cs="Arial"/>
            <w:b/>
            <w:sz w:val="24"/>
            <w:szCs w:val="24"/>
            <w:lang w:val="es-GT"/>
          </w:rPr>
          <w:fldChar w:fldCharType="separate"/>
        </w:r>
        <w:r>
          <w:rPr>
            <w:rFonts w:ascii="Arial" w:hAnsi="Arial" w:cs="Arial"/>
            <w:b/>
            <w:sz w:val="24"/>
            <w:szCs w:val="24"/>
            <w:lang w:val="es-GT"/>
          </w:rPr>
          <w:t>6</w:t>
        </w:r>
        <w:r>
          <w:rPr>
            <w:rFonts w:ascii="Arial" w:hAnsi="Arial" w:cs="Arial"/>
            <w:b/>
            <w:sz w:val="24"/>
            <w:szCs w:val="24"/>
            <w:lang w:val="es-GT"/>
          </w:rPr>
          <w:fldChar w:fldCharType="end"/>
        </w:r>
      </w:hyperlink>
    </w:p>
    <w:p>
      <w:pPr>
        <w:tabs>
          <w:tab w:val="right" w:leader="dot" w:pos="8830"/>
        </w:tabs>
        <w:spacing w:before="0" w:after="60" w:line="276" w:lineRule="auto"/>
        <w:jc w:val="left"/>
      </w:pPr>
      <w:hyperlink w:anchor="_Toc800212" w:history="1">
        <w:r>
          <w:rPr>
            <w:rFonts w:ascii="Arial" w:hAnsi="Arial" w:cs="Arial"/>
            <w:b/>
            <w:sz w:val="24"/>
            <w:szCs w:val="24"/>
            <w:lang w:val="es-GT"/>
          </w:rPr>
          <w:t xml:space="preserve">REFERENCIAS</w:t>
        </w:r>
        <w:r>
          <w:rPr>
            <w:rFonts w:ascii="Arial" w:hAnsi="Arial" w:cs="Arial"/>
            <w:b/>
            <w:sz w:val="24"/>
            <w:szCs w:val="24"/>
            <w:lang w:val="es-GT"/>
          </w:rPr>
          <w:tab/>
        </w:r>
        <w:r>
          <w:rPr>
            <w:rFonts w:ascii="Arial" w:hAnsi="Arial" w:cs="Arial"/>
            <w:b/>
            <w:sz w:val="24"/>
            <w:szCs w:val="24"/>
            <w:lang w:val="es-GT"/>
          </w:rPr>
          <w:fldChar w:fldCharType="begin"/>
        </w:r>
        <w:r>
          <w:rPr>
            <w:rFonts w:ascii="Arial" w:hAnsi="Arial" w:cs="Arial"/>
            <w:b/>
            <w:sz w:val="24"/>
            <w:szCs w:val="24"/>
            <w:lang w:val="es-GT"/>
          </w:rPr>
          <w:instrText xml:space="preserve"> PAGEREF _Toc800212 \h </w:instrText>
        </w:r>
        <w:r>
          <w:rPr>
            <w:rFonts w:ascii="Arial" w:hAnsi="Arial" w:cs="Arial"/>
            <w:b/>
            <w:sz w:val="24"/>
            <w:szCs w:val="24"/>
            <w:lang w:val="es-GT"/>
          </w:rPr>
          <w:fldChar w:fldCharType="separate"/>
        </w:r>
        <w:r>
          <w:rPr>
            <w:rFonts w:ascii="Arial" w:hAnsi="Arial" w:cs="Arial"/>
            <w:b/>
            <w:sz w:val="24"/>
            <w:szCs w:val="24"/>
            <w:lang w:val="es-GT"/>
          </w:rPr>
          <w:t>8</w:t>
        </w:r>
        <w:r>
          <w:rPr>
            <w:rFonts w:ascii="Arial" w:hAnsi="Arial" w:cs="Arial"/>
            <w:b/>
            <w:sz w:val="24"/>
            <w:szCs w:val="24"/>
            <w:lang w:val="es-GT"/>
          </w:rPr>
          <w:fldChar w:fldCharType="end"/>
        </w:r>
      </w:hyperlink>
      <w:r>
        <w:fldChar w:fldCharType="end"/>
      </w:r>
    </w:p>
    <w:p>
      <w:pPr>
        <w:sectPr>
          <w:pgSz w:w="12240" w:h="15840"/>
          <w:pgMar w:top="1417" w:right="1417" w:bottom="1417" w:left="1984" w:header="720" w:footer="720" w:gutter="0"/>
          <w:cols w:space="720"/>
          <w:docGrid w:linePitch="360"/>
        </w:sectPr>
      </w:pPr>
    </w:p>
    <w:p>
      <w:pPr>
        <w:keepNext/>
        <w:spacing w:before="240" w:after="0" w:line="360" w:lineRule="auto"/>
        <w:jc w:val="center"/>
        <w:outlineLvl w:val="0"/>
        <w:rPr>
          <w:rFonts w:ascii="Arial" w:hAnsi="Arial" w:cs="Arial"/>
          <w:lang w:val="es-GT"/>
        </w:rPr>
      </w:pPr>
      <w:bookmarkStart w:id="201" w:name="_Toc800201"/>
      <w:r>
        <w:rPr>
          <w:rFonts w:ascii="Arial" w:hAnsi="Arial" w:cs="Arial"/>
          <w:b/>
          <w:sz w:val="28"/>
          <w:szCs w:val="28"/>
          <w:lang w:val="es-GT"/>
        </w:rPr>
        <w:t xml:space="preserve">RESUMEN</w:t>
      </w:r>
      <w:bookmarkEnd w:id="201"/>
    </w:p>
    <w:p>
      <w:pPr>
        <w:spacing w:before="0" w:after="0" w:line="360" w:lineRule="auto"/>
        <w:ind w:firstLine="340"/>
        <w:jc w:val="both"/>
        <w:rPr>
          <w:rFonts w:ascii="Arial" w:hAnsi="Arial" w:cs="Arial"/>
          <w:lang w:val="es-GT"/>
        </w:rPr>
      </w:pPr>
      <w:r>
        <w:rPr>
          <w:rFonts w:ascii="Arial" w:hAnsi="Arial" w:cs="Arial"/>
          <w:sz w:val="24"/>
          <w:szCs w:val="24"/>
          <w:lang w:val="es-GT"/>
        </w:rPr>
        <w:t xml:space="preserve">Este taller construye el diseño de una investigación cuantitativa sobre el fraude interno en el desembolso de microcréditos digitales. A partir de un caso real ocurrido en una institución microfinanciera de Guatemala, en el que un promotor desvió aproximadamente Q100,000 y afectó a cerca de 100 clientes, se formulan la pregunta central, el objetivo general y los específicos, la hipótesis general y la hipótesis nula. Se definen y operacionalizan las dos variables principales, los controles de verificación al cliente y la discrepancia entre el monto autorizado y el monto recibido, y se sintetiza todo en una matriz de consistencia. El diseño propuesto es cuasi-experimental, con mediciones antes y después de implementar los controles en una agencia durante 2027.</w:t>
      </w:r>
    </w:p>
    <w:p>
      <w:pPr>
        <w:spacing w:before="0" w:after="0" w:line="360" w:lineRule="auto"/>
        <w:ind w:firstLine="340"/>
        <w:jc w:val="both"/>
        <w:rPr>
          <w:rFonts w:ascii="Arial" w:hAnsi="Arial" w:cs="Arial"/>
          <w:lang w:val="es-GT"/>
        </w:rPr>
      </w:pPr>
      <w:r>
        <w:rPr>
          <w:rFonts w:ascii="Arial" w:hAnsi="Arial" w:cs="Arial"/>
          <w:b/>
          <w:sz w:val="24"/>
          <w:szCs w:val="24"/>
          <w:lang w:val="es-GT"/>
        </w:rPr>
        <w:t xml:space="preserve">Palabras clave: </w:t>
      </w:r>
      <w:r>
        <w:rPr>
          <w:rFonts w:ascii="Arial" w:hAnsi="Arial" w:cs="Arial"/>
          <w:sz w:val="24"/>
          <w:szCs w:val="24"/>
          <w:lang w:val="es-GT"/>
        </w:rPr>
        <w:t xml:space="preserve">fraude interno, microcréditos digitales, controles de verificación, hipótesis, operacionalización</w:t>
      </w:r>
    </w:p>
    <w:p>
      <w:pPr>
        <w:keepNext/>
        <w:spacing w:before="240" w:after="0" w:line="360" w:lineRule="auto"/>
        <w:jc w:val="center"/>
        <w:outlineLvl w:val="0"/>
        <w:rPr>
          <w:rFonts w:ascii="Arial" w:hAnsi="Arial" w:cs="Arial"/>
          <w:lang w:val="es-GT"/>
        </w:rPr>
      </w:pPr>
      <w:bookmarkStart w:id="202" w:name="_Toc800202"/>
      <w:r>
        <w:rPr>
          <w:rFonts w:ascii="Arial" w:hAnsi="Arial" w:cs="Arial"/>
          <w:b/>
          <w:sz w:val="28"/>
          <w:szCs w:val="28"/>
          <w:lang w:val="es-GT"/>
        </w:rPr>
        <w:t xml:space="preserve">INTRODUCCIÓN</w:t>
      </w:r>
      <w:bookmarkEnd w:id="202"/>
    </w:p>
    <w:p>
      <w:pPr>
        <w:spacing w:before="0" w:after="0" w:line="360" w:lineRule="auto"/>
        <w:ind w:firstLine="340"/>
        <w:jc w:val="both"/>
        <w:rPr>
          <w:rFonts w:ascii="Arial" w:hAnsi="Arial" w:cs="Arial"/>
          <w:lang w:val="es-GT"/>
        </w:rPr>
      </w:pPr>
      <w:r>
        <w:rPr>
          <w:rFonts w:ascii="Arial" w:hAnsi="Arial" w:cs="Arial"/>
          <w:sz w:val="24"/>
          <w:szCs w:val="24"/>
          <w:lang w:val="es-GT"/>
        </w:rPr>
        <w:t xml:space="preserve">El fraude cometido por personal de las propias organizaciones es una de las principales formas de pérdida económica. La Asociación de Examinadores de Fraude Certificados (ACFE, 2024) estima que una organización típica pierde alrededor del 5 % de sus ingresos anuales por fraude ocupacional, y que la apropiación indebida de activos aparece en el 89 % de los casos estudiados. En las microfinancieras, donde los clientes son personas con ingresos bajos y poca información financiera, el efecto de un fraude recae directamente sobre quienes menos pueden absorberlo.</w:t>
      </w:r>
    </w:p>
    <w:p>
      <w:pPr>
        <w:spacing w:before="0" w:after="0" w:line="360" w:lineRule="auto"/>
        <w:ind w:firstLine="340"/>
        <w:jc w:val="both"/>
        <w:rPr>
          <w:rFonts w:ascii="Arial" w:hAnsi="Arial" w:cs="Arial"/>
          <w:lang w:val="es-GT"/>
        </w:rPr>
      </w:pPr>
      <w:r>
        <w:rPr>
          <w:rFonts w:ascii="Arial" w:hAnsi="Arial" w:cs="Arial"/>
          <w:sz w:val="24"/>
          <w:szCs w:val="24"/>
          <w:lang w:val="es-GT"/>
        </w:rPr>
        <w:t xml:space="preserve">Este documento desarrolla las tres tareas del taller para un caso concreto: la formulación de la hipótesis general y la hipótesis nula, la operacionalización de dos variables principales y la síntesis en la matriz de consistencia. La institución se mantiene en el anonimato, y los datos del caso fueron proporcionados por un supervisor de la entidad y están pendientes de formalizar con la autorización correspondiente.</w:t>
      </w:r>
    </w:p>
    <w:p>
      <w:pPr>
        <w:keepNext/>
        <w:spacing w:before="240" w:after="0" w:line="360" w:lineRule="auto"/>
        <w:jc w:val="center"/>
        <w:outlineLvl w:val="0"/>
        <w:rPr>
          <w:rFonts w:ascii="Arial" w:hAnsi="Arial" w:cs="Arial"/>
          <w:lang w:val="es-GT"/>
        </w:rPr>
      </w:pPr>
      <w:bookmarkStart w:id="203" w:name="_Toc800203"/>
      <w:r>
        <w:rPr>
          <w:rFonts w:ascii="Arial" w:hAnsi="Arial" w:cs="Arial"/>
          <w:b/>
          <w:sz w:val="28"/>
          <w:szCs w:val="28"/>
          <w:lang w:val="es-GT"/>
        </w:rPr>
        <w:t xml:space="preserve">JUSTIFICACIÓN</w:t>
      </w:r>
      <w:bookmarkEnd w:id="203"/>
    </w:p>
    <w:p>
      <w:pPr>
        <w:spacing w:before="0" w:after="0" w:line="360" w:lineRule="auto"/>
        <w:ind w:firstLine="340"/>
        <w:jc w:val="both"/>
        <w:rPr>
          <w:rFonts w:ascii="Arial" w:hAnsi="Arial" w:cs="Arial"/>
          <w:lang w:val="es-GT"/>
        </w:rPr>
      </w:pPr>
      <w:r>
        <w:rPr>
          <w:rFonts w:ascii="Arial" w:hAnsi="Arial" w:cs="Arial"/>
          <w:sz w:val="24"/>
          <w:szCs w:val="24"/>
          <w:lang w:val="es-GT"/>
        </w:rPr>
        <w:t xml:space="preserve">Desde la perspectiva teórica, la literatura describe el fraude ocupacional y sus factores (ACFE, 2024; Cressey, 1953), pero en la búsqueda preliminar realizada no se localizó evidencia cuantitativa sobre el efecto de controles de verificación al cliente en el desembolso digital de microcréditos en Guatemala. El estudio aportaría datos sobre ese vacío.</w:t>
      </w:r>
    </w:p>
    <w:p>
      <w:pPr>
        <w:spacing w:before="0" w:after="0" w:line="360" w:lineRule="auto"/>
        <w:ind w:firstLine="340"/>
        <w:jc w:val="both"/>
        <w:rPr>
          <w:rFonts w:ascii="Arial" w:hAnsi="Arial" w:cs="Arial"/>
          <w:lang w:val="es-GT"/>
        </w:rPr>
      </w:pPr>
      <w:r>
        <w:rPr>
          <w:rFonts w:ascii="Arial" w:hAnsi="Arial" w:cs="Arial"/>
          <w:sz w:val="24"/>
          <w:szCs w:val="24"/>
          <w:lang w:val="es-GT"/>
        </w:rPr>
        <w:t xml:space="preserve">Desde la perspectiva metodológica, el diseño propone un procedimiento replicable: una verificación telefónica con guion fijo, aplicada a una muestra de desembolsos antes y después de implementar los controles, bajo un diseño cuasi-experimental (Campbell &amp; Stanley, 1966). Desde la perspectiva práctica, los resultados permitirían a la institución decidir con cifras qué controles conviene extender a otras agencias, para proteger a sus clientes y reducir pérdidas como la del caso que originó el estudio.</w:t>
      </w:r>
    </w:p>
    <w:p>
      <w:pPr>
        <w:keepNext/>
        <w:spacing w:before="240" w:after="0" w:line="360" w:lineRule="auto"/>
        <w:jc w:val="center"/>
        <w:outlineLvl w:val="0"/>
        <w:rPr>
          <w:rFonts w:ascii="Arial" w:hAnsi="Arial" w:cs="Arial"/>
          <w:lang w:val="es-GT"/>
        </w:rPr>
      </w:pPr>
      <w:bookmarkStart w:id="204" w:name="_Toc800204"/>
      <w:r>
        <w:rPr>
          <w:rFonts w:ascii="Arial" w:hAnsi="Arial" w:cs="Arial"/>
          <w:b/>
          <w:sz w:val="28"/>
          <w:szCs w:val="28"/>
          <w:lang w:val="es-GT"/>
        </w:rPr>
        <w:t xml:space="preserve">MARCO TEÓRICO</w:t>
      </w:r>
      <w:bookmarkEnd w:id="204"/>
    </w:p>
    <w:p>
      <w:pPr>
        <w:spacing w:before="0" w:after="0" w:line="360" w:lineRule="auto"/>
        <w:ind w:firstLine="340"/>
        <w:jc w:val="both"/>
        <w:rPr>
          <w:rFonts w:ascii="Arial" w:hAnsi="Arial" w:cs="Arial"/>
          <w:lang w:val="es-GT"/>
        </w:rPr>
      </w:pPr>
      <w:r>
        <w:rPr>
          <w:rFonts w:ascii="Arial" w:hAnsi="Arial" w:cs="Arial"/>
          <w:sz w:val="24"/>
          <w:szCs w:val="24"/>
          <w:lang w:val="es-GT"/>
        </w:rPr>
        <w:t xml:space="preserve">El fraude interno se entiende como el uso del puesto para obtener un beneficio personal mediante el mal uso de los recursos de la organización (ACFE, 2024). Cressey (1953) explicó que este tipo de conducta ocurre cuando coinciden una presión financiera, una oportunidad percibida y una racionalización. Los controles de verificación al cliente actúan sobre la oportunidad: si el cliente conoce el monto que le autorizaron y puede contrastarlo con lo que recibe, el desvío se vuelve visible.</w:t>
      </w:r>
    </w:p>
    <w:p>
      <w:pPr>
        <w:spacing w:before="0" w:after="0" w:line="360" w:lineRule="auto"/>
        <w:ind w:firstLine="340"/>
        <w:jc w:val="both"/>
        <w:rPr>
          <w:rFonts w:ascii="Arial" w:hAnsi="Arial" w:cs="Arial"/>
          <w:lang w:val="es-GT"/>
        </w:rPr>
      </w:pPr>
      <w:r>
        <w:rPr>
          <w:rFonts w:ascii="Arial" w:hAnsi="Arial" w:cs="Arial"/>
          <w:sz w:val="24"/>
          <w:szCs w:val="24"/>
          <w:lang w:val="es-GT"/>
        </w:rPr>
        <w:t xml:space="preserve">La ACFE (2024) reporta que las denuncias son el método de detección más frecuente, con el 43 % de los casos. Una llamada de verificación al cliente funciona, en ese sentido, como una denuncia solicitada de forma activa por la institución. En el plano técnico, el estándar OWASP ASVS 5.0.0 recoge requisitos afines, como los límites de la lógica de negocio (V2.3.2), la notificación al usuario ante cambios en sus datos de autenticación (V6.3.7) y el registro de los eventos de seguridad (V16.3.3) (OWASP Foundation, 2025).</w:t>
      </w:r>
    </w:p>
    <w:p>
      <w:pPr>
        <w:spacing w:before="0" w:after="0" w:line="360" w:lineRule="auto"/>
        <w:ind w:firstLine="340"/>
        <w:jc w:val="both"/>
        <w:rPr>
          <w:rFonts w:ascii="Arial" w:hAnsi="Arial" w:cs="Arial"/>
          <w:lang w:val="es-GT"/>
        </w:rPr>
      </w:pPr>
      <w:r>
        <w:rPr>
          <w:rFonts w:ascii="Arial" w:hAnsi="Arial" w:cs="Arial"/>
          <w:sz w:val="24"/>
          <w:szCs w:val="24"/>
          <w:lang w:val="es-GT"/>
        </w:rPr>
        <w:t xml:space="preserve">Para medir el efecto de los controles se propone un diseño cuasi-experimental con mediciones antes y después de la intervención. Este diseño compara una misma unidad en dos momentos y exige discutir las amenazas a la validez, como los cambios de conducta por saberse observado o la variación estacional (Campbell &amp; Stanley, 1966; Hernández-Sampieri &amp; Mendoza, 2018).</w:t>
      </w:r>
    </w:p>
    <w:p>
      <w:pPr>
        <w:keepNext/>
        <w:spacing w:before="240" w:after="0" w:line="360" w:lineRule="auto"/>
        <w:jc w:val="center"/>
        <w:outlineLvl w:val="0"/>
        <w:rPr>
          <w:rFonts w:ascii="Arial" w:hAnsi="Arial" w:cs="Arial"/>
          <w:lang w:val="es-GT"/>
        </w:rPr>
      </w:pPr>
      <w:bookmarkStart w:id="205" w:name="_Toc800205"/>
      <w:r>
        <w:rPr>
          <w:rFonts w:ascii="Arial" w:hAnsi="Arial" w:cs="Arial"/>
          <w:b/>
          <w:sz w:val="28"/>
          <w:szCs w:val="28"/>
          <w:lang w:val="es-GT"/>
        </w:rPr>
        <w:t xml:space="preserve">CONTENIDO DE LA TAREA</w:t>
      </w:r>
      <w:bookmarkEnd w:id="205"/>
    </w:p>
    <w:p>
      <w:pPr>
        <w:keepNext/>
        <w:spacing w:before="120" w:after="0" w:line="360" w:lineRule="auto"/>
        <w:jc w:val="left"/>
        <w:outlineLvl w:val="1"/>
        <w:rPr>
          <w:rFonts w:ascii="Arial" w:hAnsi="Arial" w:cs="Arial"/>
          <w:lang w:val="es-GT"/>
        </w:rPr>
      </w:pPr>
      <w:bookmarkStart w:id="206" w:name="_Toc800206"/>
      <w:r>
        <w:rPr>
          <w:rFonts w:ascii="Arial" w:hAnsi="Arial" w:cs="Arial"/>
          <w:b/>
          <w:sz w:val="24"/>
          <w:szCs w:val="24"/>
          <w:lang w:val="es-GT"/>
        </w:rPr>
        <w:t xml:space="preserve">Parte 1. Desarrollo del tema de investigación</w:t>
      </w:r>
      <w:bookmarkEnd w:id="206"/>
    </w:p>
    <w:p>
      <w:pPr>
        <w:spacing w:before="0" w:after="0" w:line="360" w:lineRule="auto"/>
        <w:ind w:firstLine="340"/>
        <w:jc w:val="both"/>
        <w:rPr>
          <w:rFonts w:ascii="Arial" w:hAnsi="Arial" w:cs="Arial"/>
          <w:lang w:val="es-GT"/>
        </w:rPr>
      </w:pPr>
      <w:r>
        <w:rPr>
          <w:rFonts w:ascii="Arial" w:hAnsi="Arial" w:cs="Arial"/>
          <w:b/>
          <w:sz w:val="24"/>
          <w:szCs w:val="24"/>
          <w:lang w:val="es-GT"/>
        </w:rPr>
        <w:t xml:space="preserve">Título. </w:t>
      </w:r>
      <w:r>
        <w:rPr>
          <w:rFonts w:ascii="Arial" w:hAnsi="Arial" w:cs="Arial"/>
          <w:sz w:val="24"/>
          <w:szCs w:val="24"/>
          <w:lang w:val="es-GT"/>
        </w:rPr>
        <w:t xml:space="preserve">Efecto de los controles de verificación al cliente sobre la discrepancia entre el monto autorizado y el monto recibido en los desembolsos digitales de una institución microfinanciera de Guatemala, 2027</w:t>
      </w:r>
    </w:p>
    <w:p>
      <w:pPr>
        <w:spacing w:before="0" w:after="0" w:line="360" w:lineRule="auto"/>
        <w:ind w:firstLine="340"/>
        <w:jc w:val="both"/>
        <w:rPr>
          <w:rFonts w:ascii="Arial" w:hAnsi="Arial" w:cs="Arial"/>
          <w:lang w:val="es-GT"/>
        </w:rPr>
      </w:pPr>
      <w:r>
        <w:rPr>
          <w:rFonts w:ascii="Arial" w:hAnsi="Arial" w:cs="Arial"/>
          <w:sz w:val="24"/>
          <w:szCs w:val="24"/>
          <w:lang w:val="es-GT"/>
        </w:rPr>
        <w:t xml:space="preserve">La institución ofrece microcréditos digitales a vendedores de mercado, de hasta Q2,000 y plazos de hasta 30 días, que se desembolsan en una billetera digital. El promotor registra la solicitud, el gerente de agencia la autoriza y el cliente retira el efectivo en una caja con su número de teléfono, el monto y un PIN. Cada promotor atiende entre 100 y 120 clientes, y algunas cajas se encuentran lejos de los mercados.</w:t>
      </w:r>
    </w:p>
    <w:p>
      <w:pPr>
        <w:spacing w:before="0" w:after="0" w:line="360" w:lineRule="auto"/>
        <w:ind w:firstLine="340"/>
        <w:jc w:val="both"/>
        <w:rPr>
          <w:rFonts w:ascii="Arial" w:hAnsi="Arial" w:cs="Arial"/>
          <w:lang w:val="es-GT"/>
        </w:rPr>
      </w:pPr>
      <w:r>
        <w:rPr>
          <w:rFonts w:ascii="Arial" w:hAnsi="Arial" w:cs="Arial"/>
          <w:sz w:val="24"/>
          <w:szCs w:val="24"/>
          <w:lang w:val="es-GT"/>
        </w:rPr>
        <w:t xml:space="preserve">En el caso que origina el estudio, un promotor operó la solicitud desde el teléfono del cliente, retiró el monto completo autorizado y le informó una cantidad menor, de modo que utilizó la diferencia como capital propio. El fraude afectó a cerca de 100 clientes y alcanzó aproximadamente Q100,000. Los controles actuales (autorización del gerente, vínculo de la cuenta con un solo dispositivo y un reporte de transferencias de clientes a promotores) no detectan este esquema, que se descubrió por la supervisión y por las conversaciones con los clientes.</w:t>
      </w:r>
    </w:p>
    <w:p>
      <w:pPr>
        <w:spacing w:before="0" w:after="0" w:line="360" w:lineRule="auto"/>
        <w:ind w:firstLine="340"/>
        <w:jc w:val="both"/>
        <w:rPr>
          <w:rFonts w:ascii="Arial" w:hAnsi="Arial" w:cs="Arial"/>
          <w:lang w:val="es-GT"/>
        </w:rPr>
      </w:pPr>
      <w:r>
        <w:rPr>
          <w:rFonts w:ascii="Arial" w:hAnsi="Arial" w:cs="Arial"/>
          <w:b/>
          <w:sz w:val="24"/>
          <w:szCs w:val="24"/>
          <w:lang w:val="es-GT"/>
        </w:rPr>
        <w:t xml:space="preserve">Pregunta central. </w:t>
      </w:r>
      <w:r>
        <w:rPr>
          <w:rFonts w:ascii="Arial" w:hAnsi="Arial" w:cs="Arial"/>
          <w:sz w:val="24"/>
          <w:szCs w:val="24"/>
          <w:lang w:val="es-GT"/>
        </w:rPr>
        <w:t xml:space="preserve">¿En qué medida los controles de verificación al cliente reducen la tasa de discrepancia entre el monto autorizado y el monto recibido en los desembolsos digitales de una agencia de una institución microfinanciera de Guatemala durante 2027?</w:t>
      </w:r>
    </w:p>
    <w:p>
      <w:pPr>
        <w:spacing w:before="0" w:after="0" w:line="360" w:lineRule="auto"/>
        <w:ind w:firstLine="340"/>
        <w:jc w:val="both"/>
        <w:rPr>
          <w:rFonts w:ascii="Arial" w:hAnsi="Arial" w:cs="Arial"/>
          <w:lang w:val="es-GT"/>
        </w:rPr>
      </w:pPr>
      <w:r>
        <w:rPr>
          <w:rFonts w:ascii="Arial" w:hAnsi="Arial" w:cs="Arial"/>
          <w:b/>
          <w:sz w:val="24"/>
          <w:szCs w:val="24"/>
          <w:lang w:val="es-GT"/>
        </w:rPr>
        <w:t xml:space="preserve">Objetivo general. </w:t>
      </w:r>
      <w:r>
        <w:rPr>
          <w:rFonts w:ascii="Arial" w:hAnsi="Arial" w:cs="Arial"/>
          <w:sz w:val="24"/>
          <w:szCs w:val="24"/>
          <w:lang w:val="es-GT"/>
        </w:rPr>
        <w:t xml:space="preserve">Determinar el efecto de los controles de verificación al cliente sobre la tasa de discrepancia entre el monto autorizado y el monto recibido en los desembolsos digitales de una agencia de una institución microfinanciera de Guatemala durante 2027.</w:t>
      </w:r>
    </w:p>
    <w:p>
      <w:pPr>
        <w:spacing w:before="0" w:after="0" w:line="360" w:lineRule="auto"/>
        <w:jc w:val="left"/>
        <w:rPr>
          <w:rFonts w:ascii="Arial" w:hAnsi="Arial" w:cs="Arial"/>
          <w:lang w:val="es-GT"/>
        </w:rPr>
      </w:pPr>
      <w:r>
        <w:rPr>
          <w:rFonts w:ascii="Arial" w:hAnsi="Arial" w:cs="Arial"/>
          <w:b/>
          <w:sz w:val="24"/>
          <w:szCs w:val="24"/>
          <w:lang w:val="es-GT"/>
        </w:rPr>
        <w:t xml:space="preserve">Objetivos específicos</w:t>
      </w:r>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1. </w:t>
      </w:r>
      <w:r>
        <w:rPr>
          <w:rFonts w:ascii="Arial" w:hAnsi="Arial" w:cs="Arial"/>
          <w:sz w:val="24"/>
          <w:szCs w:val="24"/>
          <w:lang w:val="es-GT"/>
        </w:rPr>
        <w:t xml:space="preserve">Establecer la línea base de la tasa de discrepancia entre el monto autorizado y el monto recibido antes de implementar los controles y compararla con la tasa que detectan los controles actuales.</w:t>
      </w:r>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2. </w:t>
      </w:r>
      <w:r>
        <w:rPr>
          <w:rFonts w:ascii="Arial" w:hAnsi="Arial" w:cs="Arial"/>
          <w:sz w:val="24"/>
          <w:szCs w:val="24"/>
          <w:lang w:val="es-GT"/>
        </w:rPr>
        <w:t xml:space="preserve">Comparar el número de casos de discrepancia que identifican las reglas de alerta frente a los que identifica el reporte actual de transferencias de clientes a promotores.</w:t>
      </w:r>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3. </w:t>
      </w:r>
      <w:r>
        <w:rPr>
          <w:rFonts w:ascii="Arial" w:hAnsi="Arial" w:cs="Arial"/>
          <w:sz w:val="24"/>
          <w:szCs w:val="24"/>
          <w:lang w:val="es-GT"/>
        </w:rPr>
        <w:t xml:space="preserve">Comparar la tasa de discrepancia antes y después de implementar los controles de verificación.</w:t>
      </w:r>
    </w:p>
    <w:p>
      <w:pPr>
        <w:spacing w:before="0" w:after="0" w:line="360" w:lineRule="auto"/>
        <w:ind w:firstLine="340"/>
        <w:jc w:val="both"/>
        <w:rPr>
          <w:rFonts w:ascii="Arial" w:hAnsi="Arial" w:cs="Arial"/>
          <w:lang w:val="es-GT"/>
        </w:rPr>
      </w:pPr>
      <w:r>
        <w:rPr>
          <w:rFonts w:ascii="Arial" w:hAnsi="Arial" w:cs="Arial"/>
          <w:b/>
          <w:sz w:val="24"/>
          <w:szCs w:val="24"/>
          <w:lang w:val="es-GT"/>
        </w:rPr>
        <w:t xml:space="preserve">Delimitación. </w:t>
      </w:r>
      <w:r>
        <w:rPr>
          <w:rFonts w:ascii="Arial" w:hAnsi="Arial" w:cs="Arial"/>
          <w:sz w:val="24"/>
          <w:szCs w:val="24"/>
          <w:lang w:val="es-GT"/>
        </w:rPr>
        <w:t xml:space="preserve">El estudio se limita a una agencia de la institución, a los desembolsos digitales de microcréditos entre el 15 de abril y el 15 de agosto de 2027 y a la discrepancia de montos como manifestación del fraude. No incluye otros esquemas, como los créditos a terceros ficticios, que se registran como casos aparte.</w:t>
      </w:r>
    </w:p>
    <w:p>
      <w:pPr>
        <w:keepNext/>
        <w:spacing w:before="120" w:after="0" w:line="360" w:lineRule="auto"/>
        <w:jc w:val="left"/>
        <w:outlineLvl w:val="1"/>
        <w:rPr>
          <w:rFonts w:ascii="Arial" w:hAnsi="Arial" w:cs="Arial"/>
          <w:lang w:val="es-GT"/>
        </w:rPr>
      </w:pPr>
      <w:bookmarkStart w:id="207" w:name="_Toc800207"/>
      <w:r>
        <w:rPr>
          <w:rFonts w:ascii="Arial" w:hAnsi="Arial" w:cs="Arial"/>
          <w:b/>
          <w:sz w:val="24"/>
          <w:szCs w:val="24"/>
          <w:lang w:val="es-GT"/>
        </w:rPr>
        <w:t xml:space="preserve">Parte 2. Hipótesis de investigación</w:t>
      </w:r>
      <w:bookmarkEnd w:id="207"/>
    </w:p>
    <w:p>
      <w:pPr>
        <w:spacing w:before="0" w:after="0" w:line="360" w:lineRule="auto"/>
        <w:ind w:firstLine="340"/>
        <w:jc w:val="both"/>
        <w:rPr>
          <w:rFonts w:ascii="Arial" w:hAnsi="Arial" w:cs="Arial"/>
          <w:lang w:val="es-GT"/>
        </w:rPr>
      </w:pPr>
      <w:r>
        <w:rPr>
          <w:rFonts w:ascii="Arial" w:hAnsi="Arial" w:cs="Arial"/>
          <w:sz w:val="24"/>
          <w:szCs w:val="24"/>
          <w:lang w:val="es-GT"/>
        </w:rPr>
        <w:t xml:space="preserve">El estudio es de alcance explicativo, por lo que requiere hipótesis. Se formulan la hipótesis de investigación, la nula, la alternativa y las estadísticas, además de una hipótesis específica por cada problema específico, de modo que problema, objetivo e hipótesis usen las mismas variables y términos (Hernández-Sampieri &amp; Mendoza, 2018).</w:t>
      </w:r>
    </w:p>
    <w:p>
      <w:pPr>
        <w:spacing w:before="0" w:after="0" w:line="360" w:lineRule="auto"/>
        <w:ind w:firstLine="340"/>
        <w:jc w:val="both"/>
        <w:rPr>
          <w:rFonts w:ascii="Arial" w:hAnsi="Arial" w:cs="Arial"/>
          <w:lang w:val="es-GT"/>
        </w:rPr>
      </w:pPr>
      <w:r>
        <w:rPr>
          <w:rFonts w:ascii="Arial" w:hAnsi="Arial" w:cs="Arial"/>
          <w:b/>
          <w:sz w:val="24"/>
          <w:szCs w:val="24"/>
          <w:lang w:val="es-GT"/>
        </w:rPr>
        <w:t xml:space="preserve">Hipótesis de investigación general (H1). </w:t>
      </w:r>
      <w:r>
        <w:rPr>
          <w:rFonts w:ascii="Arial" w:hAnsi="Arial" w:cs="Arial"/>
          <w:sz w:val="24"/>
          <w:szCs w:val="24"/>
          <w:lang w:val="es-GT"/>
        </w:rPr>
        <w:t xml:space="preserve">La implementación de los controles de verificación al cliente reduce la tasa de discrepancia entre el monto autorizado y el monto recibido en los desembolsos digitales de la agencia.</w:t>
      </w:r>
    </w:p>
    <w:p>
      <w:pPr>
        <w:spacing w:before="0" w:after="0" w:line="360" w:lineRule="auto"/>
        <w:ind w:firstLine="340"/>
        <w:jc w:val="both"/>
        <w:rPr>
          <w:rFonts w:ascii="Arial" w:hAnsi="Arial" w:cs="Arial"/>
          <w:lang w:val="es-GT"/>
        </w:rPr>
      </w:pPr>
      <w:r>
        <w:rPr>
          <w:rFonts w:ascii="Arial" w:hAnsi="Arial" w:cs="Arial"/>
          <w:b/>
          <w:sz w:val="24"/>
          <w:szCs w:val="24"/>
          <w:lang w:val="es-GT"/>
        </w:rPr>
        <w:t xml:space="preserve">Hipótesis nula (H0). </w:t>
      </w:r>
      <w:r>
        <w:rPr>
          <w:rFonts w:ascii="Arial" w:hAnsi="Arial" w:cs="Arial"/>
          <w:sz w:val="24"/>
          <w:szCs w:val="24"/>
          <w:lang w:val="es-GT"/>
        </w:rPr>
        <w:t xml:space="preserve">La implementación de los controles de verificación al cliente no reduce la tasa de discrepancia entre el monto autorizado y el monto recibido en los desembolsos digitales de la agencia.</w:t>
      </w:r>
    </w:p>
    <w:p>
      <w:pPr>
        <w:spacing w:before="0" w:after="0" w:line="360" w:lineRule="auto"/>
        <w:ind w:firstLine="340"/>
        <w:jc w:val="both"/>
        <w:rPr>
          <w:rFonts w:ascii="Arial" w:hAnsi="Arial" w:cs="Arial"/>
          <w:lang w:val="es-GT"/>
        </w:rPr>
      </w:pPr>
      <w:r>
        <w:rPr>
          <w:rFonts w:ascii="Arial" w:hAnsi="Arial" w:cs="Arial"/>
          <w:b/>
          <w:sz w:val="24"/>
          <w:szCs w:val="24"/>
          <w:lang w:val="es-GT"/>
        </w:rPr>
        <w:t xml:space="preserve">Hipótesis alternativa (Ha). </w:t>
      </w:r>
      <w:r>
        <w:rPr>
          <w:rFonts w:ascii="Arial" w:hAnsi="Arial" w:cs="Arial"/>
          <w:sz w:val="24"/>
          <w:szCs w:val="24"/>
          <w:lang w:val="es-GT"/>
        </w:rPr>
        <w:t xml:space="preserve">La tasa de discrepancia no disminuye porque los promotores migran a modalidades de fraude que los controles no cubren, como los créditos a terceros ficticios.</w:t>
      </w:r>
    </w:p>
    <w:p>
      <w:pPr>
        <w:spacing w:before="0" w:after="0" w:line="360" w:lineRule="auto"/>
        <w:ind w:firstLine="340"/>
        <w:jc w:val="both"/>
        <w:rPr>
          <w:rFonts w:ascii="Arial" w:hAnsi="Arial" w:cs="Arial"/>
          <w:lang w:val="es-GT"/>
        </w:rPr>
      </w:pPr>
      <w:r>
        <w:rPr>
          <w:rFonts w:ascii="Arial" w:hAnsi="Arial" w:cs="Arial"/>
          <w:b/>
          <w:sz w:val="24"/>
          <w:szCs w:val="24"/>
          <w:lang w:val="es-GT"/>
        </w:rPr>
        <w:t xml:space="preserve">Hipótesis estadísticas. </w:t>
      </w:r>
      <w:r>
        <w:rPr>
          <w:rFonts w:ascii="Arial" w:hAnsi="Arial" w:cs="Arial"/>
          <w:sz w:val="24"/>
          <w:szCs w:val="24"/>
          <w:lang w:val="es-GT"/>
        </w:rPr>
        <w:t xml:space="preserve">H0: P posterior ≥ P previa. H1: P posterior &lt; P previa, donde P es la proporción de desembolsos verificados con discrepancia, con un nivel de significancia de 0.05.</w:t>
      </w:r>
    </w:p>
    <w:p>
      <w:pPr>
        <w:spacing w:before="0" w:after="0" w:line="360" w:lineRule="auto"/>
        <w:jc w:val="left"/>
        <w:rPr>
          <w:rFonts w:ascii="Arial" w:hAnsi="Arial" w:cs="Arial"/>
          <w:lang w:val="es-GT"/>
        </w:rPr>
      </w:pPr>
      <w:r>
        <w:rPr>
          <w:rFonts w:ascii="Arial" w:hAnsi="Arial" w:cs="Arial"/>
          <w:b/>
          <w:sz w:val="24"/>
          <w:szCs w:val="24"/>
          <w:lang w:val="es-GT"/>
        </w:rPr>
        <w:t xml:space="preserve">Hipótesis específicas</w:t>
      </w:r>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1. </w:t>
      </w:r>
      <w:r>
        <w:rPr>
          <w:rFonts w:ascii="Arial" w:hAnsi="Arial" w:cs="Arial"/>
          <w:sz w:val="24"/>
          <w:szCs w:val="24"/>
          <w:lang w:val="es-GT"/>
        </w:rPr>
        <w:t xml:space="preserve">La tasa de discrepancia de la línea base es mayor que la tasa de casos que detectan los controles actuales.</w:t>
      </w:r>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2. </w:t>
      </w:r>
      <w:r>
        <w:rPr>
          <w:rFonts w:ascii="Arial" w:hAnsi="Arial" w:cs="Arial"/>
          <w:sz w:val="24"/>
          <w:szCs w:val="24"/>
          <w:lang w:val="es-GT"/>
        </w:rPr>
        <w:t xml:space="preserve">Las reglas de alerta identifican más casos de discrepancia que el reporte actual de transferencias de clientes a promotores.</w:t>
      </w:r>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3. </w:t>
      </w:r>
      <w:r>
        <w:rPr>
          <w:rFonts w:ascii="Arial" w:hAnsi="Arial" w:cs="Arial"/>
          <w:sz w:val="24"/>
          <w:szCs w:val="24"/>
          <w:lang w:val="es-GT"/>
        </w:rPr>
        <w:t xml:space="preserve">La tasa de discrepancia de la fase posterior a la intervención es menor que la de la línea base.</w:t>
      </w:r>
    </w:p>
    <w:p>
      <w:pPr>
        <w:spacing w:before="0" w:after="0" w:line="360" w:lineRule="auto"/>
        <w:ind w:firstLine="340"/>
        <w:jc w:val="both"/>
        <w:rPr>
          <w:rFonts w:ascii="Arial" w:hAnsi="Arial" w:cs="Arial"/>
          <w:lang w:val="es-GT"/>
        </w:rPr>
      </w:pPr>
      <w:r>
        <w:rPr>
          <w:rFonts w:ascii="Arial" w:hAnsi="Arial" w:cs="Arial"/>
          <w:sz w:val="24"/>
          <w:szCs w:val="24"/>
          <w:lang w:val="es-GT"/>
        </w:rPr>
        <w:t xml:space="preserve">El contraste de la hipótesis general y de la tercera hipótesis específica se hará con una prueba z de dos proporciones. La primera hipótesis específica se contrastará con una prueba z de una proporción y la segunda, con la prueba de McNemar sobre los mismos desembolsos, porque cada desembolso puede ser señalado por ambos mecanismos.</w:t>
      </w:r>
    </w:p>
    <w:p>
      <w:pPr>
        <w:keepNext/>
        <w:spacing w:before="120" w:after="0" w:line="360" w:lineRule="auto"/>
        <w:jc w:val="left"/>
        <w:outlineLvl w:val="1"/>
        <w:rPr>
          <w:rFonts w:ascii="Arial" w:hAnsi="Arial" w:cs="Arial"/>
          <w:lang w:val="es-GT"/>
        </w:rPr>
      </w:pPr>
      <w:bookmarkStart w:id="208" w:name="_Toc800208"/>
      <w:r>
        <w:rPr>
          <w:rFonts w:ascii="Arial" w:hAnsi="Arial" w:cs="Arial"/>
          <w:b/>
          <w:sz w:val="24"/>
          <w:szCs w:val="24"/>
          <w:lang w:val="es-GT"/>
        </w:rPr>
        <w:t xml:space="preserve">Parte 3. Operacionalización de las variables</w:t>
      </w:r>
      <w:bookmarkEnd w:id="208"/>
    </w:p>
    <w:p>
      <w:pPr>
        <w:spacing w:before="0" w:after="0" w:line="360" w:lineRule="auto"/>
        <w:ind w:firstLine="340"/>
        <w:jc w:val="both"/>
        <w:rPr>
          <w:rFonts w:ascii="Arial" w:hAnsi="Arial" w:cs="Arial"/>
          <w:lang w:val="es-GT"/>
        </w:rPr>
      </w:pPr>
      <w:r>
        <w:rPr>
          <w:rFonts w:ascii="Arial" w:hAnsi="Arial" w:cs="Arial"/>
          <w:sz w:val="24"/>
          <w:szCs w:val="24"/>
          <w:lang w:val="es-GT"/>
        </w:rPr>
        <w:t xml:space="preserve">La Tabla 1 define conceptual y operacionalmente las dos variables principales, con sus dimensiones, indicadores, escalas e instrumentos. La variable independiente es el paquete de controles de verificación y la variable dependiente es la discrepancia entre el monto autorizado y el monto recibido. Como la discrepancia solo se conoce por lo que el cliente confirma, se triangula la llamada de verificación con el comprobante firmado y el registro del sistema.</w:t>
      </w:r>
    </w:p>
    <w:p>
      <w:pPr>
        <w:keepNext/>
        <w:spacing w:before="200" w:after="0" w:line="240" w:lineRule="auto"/>
        <w:jc w:val="left"/>
        <w:rPr>
          <w:rFonts w:ascii="Arial" w:hAnsi="Arial" w:cs="Arial"/>
          <w:lang w:val="es-GT"/>
        </w:rPr>
      </w:pPr>
      <w:r>
        <w:rPr>
          <w:rFonts w:ascii="Arial" w:hAnsi="Arial" w:cs="Arial"/>
          <w:b/>
          <w:sz w:val="22"/>
          <w:szCs w:val="22"/>
          <w:lang w:val="es-GT"/>
        </w:rPr>
        <w:t xml:space="preserve">Tabla 1</w:t>
      </w:r>
    </w:p>
    <w:p>
      <w:pPr>
        <w:keepNext/>
        <w:spacing w:before="0" w:after="60" w:line="240" w:lineRule="auto"/>
        <w:jc w:val="left"/>
        <w:rPr>
          <w:rFonts w:ascii="Arial" w:hAnsi="Arial" w:cs="Arial"/>
          <w:lang w:val="es-GT"/>
        </w:rPr>
      </w:pPr>
      <w:r>
        <w:rPr>
          <w:rFonts w:ascii="Arial" w:hAnsi="Arial" w:cs="Arial"/>
          <w:i/>
          <w:sz w:val="22"/>
          <w:szCs w:val="22"/>
          <w:lang w:val="es-GT"/>
        </w:rPr>
        <w:t xml:space="preserve">Operacionalización de las variables principales</w:t>
      </w:r>
    </w:p>
    <w:tbl>
      <w:tblPr>
        <w:tblW w:w="8839" w:type="dxa"/>
        <w:tblLayout w:type="fixed"/>
        <w:tblLook w:val="04A0" w:firstRow="1" w:lastRow="0" w:firstColumn="1" w:lastColumn="0" w:noHBand="0" w:noVBand="1"/>
      </w:tblPr>
      <w:tblGrid>
        <w:gridCol w:w="1000"/>
        <w:gridCol w:w="1400"/>
        <w:gridCol w:w="1800"/>
        <w:gridCol w:w="900"/>
        <w:gridCol w:w="2000"/>
        <w:gridCol w:w="1739"/>
      </w:tblGrid>
      <w:tr>
        <w:trPr>
          <w:cantSplit/>
          <w:tblHeader/>
        </w:trPr>
        <w:tc>
          <w:tcPr>
            <w:tcW w:w="1000" w:type="dxa"/>
            <w:tcBorders>
              <w:top w:val="single" w:sz="6" w:space="0" w:color="000000"/>
              <w:bottom w:val="single" w:sz="6" w:space="0" w:color="000000"/>
            </w:tcBorders>
          </w:tcPr>
          <w:p>
            <w:pPr>
              <w:spacing w:before="40" w:after="40" w:line="240" w:lineRule="auto"/>
              <w:jc w:val="left"/>
              <w:rPr>
                <w:rFonts w:ascii="Arial" w:hAnsi="Arial" w:cs="Arial"/>
                <w:lang w:val="es-GT"/>
              </w:rPr>
            </w:pPr>
            <w:r>
              <w:rPr>
                <w:rFonts w:ascii="Arial" w:hAnsi="Arial" w:cs="Arial"/>
                <w:b/>
                <w:sz w:val="16"/>
                <w:szCs w:val="16"/>
                <w:lang w:val="es-GT"/>
              </w:rPr>
              <w:t xml:space="preserve">Variable</w:t>
            </w:r>
          </w:p>
        </w:tc>
        <w:tc>
          <w:tcPr>
            <w:tcW w:w="1400" w:type="dxa"/>
            <w:tcBorders>
              <w:top w:val="single" w:sz="6" w:space="0" w:color="000000"/>
              <w:bottom w:val="single" w:sz="6" w:space="0" w:color="000000"/>
            </w:tcBorders>
          </w:tcPr>
          <w:p>
            <w:pPr>
              <w:spacing w:before="40" w:after="40" w:line="240" w:lineRule="auto"/>
              <w:jc w:val="left"/>
              <w:rPr>
                <w:rFonts w:ascii="Arial" w:hAnsi="Arial" w:cs="Arial"/>
                <w:lang w:val="es-GT"/>
              </w:rPr>
            </w:pPr>
            <w:r>
              <w:rPr>
                <w:rFonts w:ascii="Arial" w:hAnsi="Arial" w:cs="Arial"/>
                <w:b/>
                <w:sz w:val="16"/>
                <w:szCs w:val="16"/>
                <w:lang w:val="es-GT"/>
              </w:rPr>
              <w:t xml:space="preserve">Definición conceptual</w:t>
            </w:r>
          </w:p>
        </w:tc>
        <w:tc>
          <w:tcPr>
            <w:tcW w:w="1800" w:type="dxa"/>
            <w:tcBorders>
              <w:top w:val="single" w:sz="6" w:space="0" w:color="000000"/>
              <w:bottom w:val="single" w:sz="6" w:space="0" w:color="000000"/>
            </w:tcBorders>
          </w:tcPr>
          <w:p>
            <w:pPr>
              <w:spacing w:before="40" w:after="40" w:line="240" w:lineRule="auto"/>
              <w:jc w:val="left"/>
              <w:rPr>
                <w:rFonts w:ascii="Arial" w:hAnsi="Arial" w:cs="Arial"/>
                <w:lang w:val="es-GT"/>
              </w:rPr>
            </w:pPr>
            <w:r>
              <w:rPr>
                <w:rFonts w:ascii="Arial" w:hAnsi="Arial" w:cs="Arial"/>
                <w:b/>
                <w:sz w:val="16"/>
                <w:szCs w:val="16"/>
                <w:lang w:val="es-GT"/>
              </w:rPr>
              <w:t xml:space="preserve">Definición operacional</w:t>
            </w:r>
          </w:p>
        </w:tc>
        <w:tc>
          <w:tcPr>
            <w:tcW w:w="900" w:type="dxa"/>
            <w:tcBorders>
              <w:top w:val="single" w:sz="6" w:space="0" w:color="000000"/>
              <w:bottom w:val="single" w:sz="6" w:space="0" w:color="000000"/>
            </w:tcBorders>
          </w:tcPr>
          <w:p>
            <w:pPr>
              <w:spacing w:before="40" w:after="40" w:line="240" w:lineRule="auto"/>
              <w:jc w:val="left"/>
              <w:rPr>
                <w:rFonts w:ascii="Arial" w:hAnsi="Arial" w:cs="Arial"/>
                <w:lang w:val="es-GT"/>
              </w:rPr>
            </w:pPr>
            <w:r>
              <w:rPr>
                <w:rFonts w:ascii="Arial" w:hAnsi="Arial" w:cs="Arial"/>
                <w:b/>
                <w:sz w:val="16"/>
                <w:szCs w:val="16"/>
                <w:lang w:val="es-GT"/>
              </w:rPr>
              <w:t xml:space="preserve">Dimensiones</w:t>
            </w:r>
          </w:p>
        </w:tc>
        <w:tc>
          <w:tcPr>
            <w:tcW w:w="2000" w:type="dxa"/>
            <w:tcBorders>
              <w:top w:val="single" w:sz="6" w:space="0" w:color="000000"/>
              <w:bottom w:val="single" w:sz="6" w:space="0" w:color="000000"/>
            </w:tcBorders>
          </w:tcPr>
          <w:p>
            <w:pPr>
              <w:spacing w:before="40" w:after="40" w:line="240" w:lineRule="auto"/>
              <w:jc w:val="left"/>
              <w:rPr>
                <w:rFonts w:ascii="Arial" w:hAnsi="Arial" w:cs="Arial"/>
                <w:lang w:val="es-GT"/>
              </w:rPr>
            </w:pPr>
            <w:r>
              <w:rPr>
                <w:rFonts w:ascii="Arial" w:hAnsi="Arial" w:cs="Arial"/>
                <w:b/>
                <w:sz w:val="16"/>
                <w:szCs w:val="16"/>
                <w:lang w:val="es-GT"/>
              </w:rPr>
              <w:t xml:space="preserve">Indicadores</w:t>
            </w:r>
          </w:p>
        </w:tc>
        <w:tc>
          <w:tcPr>
            <w:tcW w:w="1739" w:type="dxa"/>
            <w:tcBorders>
              <w:top w:val="single" w:sz="6" w:space="0" w:color="000000"/>
              <w:bottom w:val="single" w:sz="6" w:space="0" w:color="000000"/>
            </w:tcBorders>
          </w:tcPr>
          <w:p>
            <w:pPr>
              <w:spacing w:before="40" w:after="40" w:line="240" w:lineRule="auto"/>
              <w:jc w:val="left"/>
              <w:rPr>
                <w:rFonts w:ascii="Arial" w:hAnsi="Arial" w:cs="Arial"/>
                <w:lang w:val="es-GT"/>
              </w:rPr>
            </w:pPr>
            <w:r>
              <w:rPr>
                <w:rFonts w:ascii="Arial" w:hAnsi="Arial" w:cs="Arial"/>
                <w:b/>
                <w:sz w:val="16"/>
                <w:szCs w:val="16"/>
                <w:lang w:val="es-GT"/>
              </w:rPr>
              <w:t xml:space="preserve">Escala e instrumento</w:t>
            </w:r>
          </w:p>
        </w:tc>
      </w:tr>
      <w:tr>
        <w:trPr>
          <w:cantSplit/>
        </w:trPr>
        <w:tc>
          <w:tcPr>
            <w:tcW w:w="1000" w:type="dxa"/>
          </w:tcPr>
          <w:p>
            <w:pPr>
              <w:spacing w:before="40" w:after="40" w:line="240" w:lineRule="auto"/>
              <w:jc w:val="left"/>
              <w:rPr>
                <w:rFonts w:ascii="Arial" w:hAnsi="Arial" w:cs="Arial"/>
                <w:lang w:val="es-GT"/>
              </w:rPr>
            </w:pPr>
            <w:r>
              <w:rPr>
                <w:rFonts w:ascii="Arial" w:hAnsi="Arial" w:cs="Arial"/>
                <w:sz w:val="16"/>
                <w:szCs w:val="16"/>
                <w:lang w:val="es-GT"/>
              </w:rPr>
              <w:t xml:space="preserve">Controles de verificación al cliente (independiente)</w:t>
            </w:r>
          </w:p>
        </w:tc>
        <w:tc>
          <w:tcPr>
            <w:tcW w:w="1400" w:type="dxa"/>
          </w:tcPr>
          <w:p>
            <w:pPr>
              <w:spacing w:before="40" w:after="40" w:line="240" w:lineRule="auto"/>
              <w:jc w:val="left"/>
              <w:rPr>
                <w:rFonts w:ascii="Arial" w:hAnsi="Arial" w:cs="Arial"/>
                <w:lang w:val="es-GT"/>
              </w:rPr>
            </w:pPr>
            <w:r>
              <w:rPr>
                <w:rFonts w:ascii="Arial" w:hAnsi="Arial" w:cs="Arial"/>
                <w:sz w:val="16"/>
                <w:szCs w:val="16"/>
                <w:lang w:val="es-GT"/>
              </w:rPr>
              <w:t xml:space="preserve">Conjunto de medidas preventivas y detectivas que permiten comprobar que el cliente conoce y acepta las condiciones de su crédito y que recibe el monto autorizado.</w:t>
            </w:r>
          </w:p>
        </w:tc>
        <w:tc>
          <w:tcPr>
            <w:tcW w:w="1800" w:type="dxa"/>
          </w:tcPr>
          <w:p>
            <w:pPr>
              <w:spacing w:before="40" w:after="40" w:line="240" w:lineRule="auto"/>
              <w:jc w:val="left"/>
              <w:rPr>
                <w:rFonts w:ascii="Arial" w:hAnsi="Arial" w:cs="Arial"/>
                <w:lang w:val="es-GT"/>
              </w:rPr>
            </w:pPr>
            <w:r>
              <w:rPr>
                <w:rFonts w:ascii="Arial" w:hAnsi="Arial" w:cs="Arial"/>
                <w:sz w:val="16"/>
                <w:szCs w:val="16"/>
                <w:lang w:val="es-GT"/>
              </w:rPr>
              <w:t xml:space="preserve">Presencia del paquete de cuatro controles en la agencia: comprobante firmado con monto autorizado, monto recibido y fecha de pago; llamada de verificación a una muestra de clientes; reglas de alerta de comportamiento; y mensaje a los clientes en el mercado.</w:t>
            </w:r>
          </w:p>
        </w:tc>
        <w:tc>
          <w:tcPr>
            <w:tcW w:w="900" w:type="dxa"/>
          </w:tcPr>
          <w:p>
            <w:pPr>
              <w:spacing w:before="40" w:after="40" w:line="240" w:lineRule="auto"/>
              <w:jc w:val="left"/>
              <w:rPr>
                <w:rFonts w:ascii="Arial" w:hAnsi="Arial" w:cs="Arial"/>
                <w:lang w:val="es-GT"/>
              </w:rPr>
            </w:pPr>
            <w:r>
              <w:rPr>
                <w:rFonts w:ascii="Arial" w:hAnsi="Arial" w:cs="Arial"/>
                <w:sz w:val="16"/>
                <w:szCs w:val="16"/>
                <w:lang w:val="es-GT"/>
              </w:rPr>
              <w:t xml:space="preserve">Informativa.</w:t>
            </w:r>
          </w:p>
          <w:p>
            <w:pPr>
              <w:spacing w:before="40" w:after="40" w:line="240" w:lineRule="auto"/>
              <w:jc w:val="left"/>
              <w:rPr>
                <w:rFonts w:ascii="Arial" w:hAnsi="Arial" w:cs="Arial"/>
                <w:lang w:val="es-GT"/>
              </w:rPr>
            </w:pPr>
            <w:r>
              <w:rPr>
                <w:rFonts w:ascii="Arial" w:hAnsi="Arial" w:cs="Arial"/>
                <w:sz w:val="16"/>
                <w:szCs w:val="16"/>
                <w:lang w:val="es-GT"/>
              </w:rPr>
              <w:t xml:space="preserve">Verificación.</w:t>
            </w:r>
          </w:p>
          <w:p>
            <w:pPr>
              <w:spacing w:before="40" w:after="40" w:line="240" w:lineRule="auto"/>
              <w:jc w:val="left"/>
              <w:rPr>
                <w:rFonts w:ascii="Arial" w:hAnsi="Arial" w:cs="Arial"/>
                <w:lang w:val="es-GT"/>
              </w:rPr>
            </w:pPr>
            <w:r>
              <w:rPr>
                <w:rFonts w:ascii="Arial" w:hAnsi="Arial" w:cs="Arial"/>
                <w:sz w:val="16"/>
                <w:szCs w:val="16"/>
                <w:lang w:val="es-GT"/>
              </w:rPr>
              <w:t xml:space="preserve">Detección.</w:t>
            </w:r>
          </w:p>
        </w:tc>
        <w:tc>
          <w:tcPr>
            <w:tcW w:w="2000" w:type="dxa"/>
          </w:tcPr>
          <w:p>
            <w:pPr>
              <w:spacing w:before="40" w:after="40" w:line="240" w:lineRule="auto"/>
              <w:jc w:val="left"/>
              <w:rPr>
                <w:rFonts w:ascii="Arial" w:hAnsi="Arial" w:cs="Arial"/>
                <w:lang w:val="es-GT"/>
              </w:rPr>
            </w:pPr>
            <w:r>
              <w:rPr>
                <w:rFonts w:ascii="Arial" w:hAnsi="Arial" w:cs="Arial"/>
                <w:sz w:val="16"/>
                <w:szCs w:val="16"/>
                <w:lang w:val="es-GT"/>
              </w:rPr>
              <w:t xml:space="preserve">Porcentaje de desembolsos con comprobante firmado.</w:t>
            </w:r>
          </w:p>
          <w:p>
            <w:pPr>
              <w:spacing w:before="40" w:after="40" w:line="240" w:lineRule="auto"/>
              <w:jc w:val="left"/>
              <w:rPr>
                <w:rFonts w:ascii="Arial" w:hAnsi="Arial" w:cs="Arial"/>
                <w:lang w:val="es-GT"/>
              </w:rPr>
            </w:pPr>
            <w:r>
              <w:rPr>
                <w:rFonts w:ascii="Arial" w:hAnsi="Arial" w:cs="Arial"/>
                <w:sz w:val="16"/>
                <w:szCs w:val="16"/>
                <w:lang w:val="es-GT"/>
              </w:rPr>
              <w:t xml:space="preserve">Porcentaje de llamadas completadas sobre las programadas.</w:t>
            </w:r>
          </w:p>
          <w:p>
            <w:pPr>
              <w:spacing w:before="40" w:after="40" w:line="240" w:lineRule="auto"/>
              <w:jc w:val="left"/>
              <w:rPr>
                <w:rFonts w:ascii="Arial" w:hAnsi="Arial" w:cs="Arial"/>
                <w:lang w:val="es-GT"/>
              </w:rPr>
            </w:pPr>
            <w:r>
              <w:rPr>
                <w:rFonts w:ascii="Arial" w:hAnsi="Arial" w:cs="Arial"/>
                <w:sz w:val="16"/>
                <w:szCs w:val="16"/>
                <w:lang w:val="es-GT"/>
              </w:rPr>
              <w:t xml:space="preserve">Número de alertas generadas y atendidas.</w:t>
            </w:r>
          </w:p>
        </w:tc>
        <w:tc>
          <w:tcPr>
            <w:tcW w:w="1739" w:type="dxa"/>
          </w:tcPr>
          <w:p>
            <w:pPr>
              <w:spacing w:before="40" w:after="40" w:line="240" w:lineRule="auto"/>
              <w:jc w:val="left"/>
              <w:rPr>
                <w:rFonts w:ascii="Arial" w:hAnsi="Arial" w:cs="Arial"/>
                <w:lang w:val="es-GT"/>
              </w:rPr>
            </w:pPr>
            <w:r>
              <w:rPr>
                <w:rFonts w:ascii="Arial" w:hAnsi="Arial" w:cs="Arial"/>
                <w:sz w:val="16"/>
                <w:szCs w:val="16"/>
                <w:lang w:val="es-GT"/>
              </w:rPr>
              <w:t xml:space="preserve">Razón (porcentaje).</w:t>
            </w:r>
          </w:p>
          <w:p>
            <w:pPr>
              <w:spacing w:before="40" w:after="40" w:line="240" w:lineRule="auto"/>
              <w:jc w:val="left"/>
              <w:rPr>
                <w:rFonts w:ascii="Arial" w:hAnsi="Arial" w:cs="Arial"/>
                <w:lang w:val="es-GT"/>
              </w:rPr>
            </w:pPr>
            <w:r>
              <w:rPr>
                <w:rFonts w:ascii="Arial" w:hAnsi="Arial" w:cs="Arial"/>
                <w:sz w:val="16"/>
                <w:szCs w:val="16"/>
                <w:lang w:val="es-GT"/>
              </w:rPr>
              <w:t xml:space="preserve">Lista de cotejo y bitácora de implementación.</w:t>
            </w:r>
          </w:p>
          <w:p>
            <w:pPr>
              <w:spacing w:before="40" w:after="40" w:line="240" w:lineRule="auto"/>
              <w:jc w:val="left"/>
              <w:rPr>
                <w:rFonts w:ascii="Arial" w:hAnsi="Arial" w:cs="Arial"/>
                <w:lang w:val="es-GT"/>
              </w:rPr>
            </w:pPr>
            <w:r>
              <w:rPr>
                <w:rFonts w:ascii="Arial" w:hAnsi="Arial" w:cs="Arial"/>
                <w:sz w:val="16"/>
                <w:szCs w:val="16"/>
                <w:lang w:val="es-GT"/>
              </w:rPr>
              <w:t xml:space="preserve">Nominal dicotómica para antes y después.</w:t>
            </w:r>
          </w:p>
        </w:tc>
      </w:tr>
      <w:tr>
        <w:trPr>
          <w:cantSplit/>
        </w:trPr>
        <w:tc>
          <w:tcPr>
            <w:tcW w:w="1000" w:type="dxa"/>
            <w:tcBorders>
              <w:bottom w:val="single" w:sz="6" w:space="0" w:color="000000"/>
            </w:tcBorders>
          </w:tcPr>
          <w:p>
            <w:pPr>
              <w:spacing w:before="40" w:after="40" w:line="240" w:lineRule="auto"/>
              <w:jc w:val="left"/>
              <w:rPr>
                <w:rFonts w:ascii="Arial" w:hAnsi="Arial" w:cs="Arial"/>
                <w:lang w:val="es-GT"/>
              </w:rPr>
            </w:pPr>
            <w:r>
              <w:rPr>
                <w:rFonts w:ascii="Arial" w:hAnsi="Arial" w:cs="Arial"/>
                <w:sz w:val="16"/>
                <w:szCs w:val="16"/>
                <w:lang w:val="es-GT"/>
              </w:rPr>
              <w:t xml:space="preserve">Discrepancia entre el monto autorizado y el monto recibido (dependiente)</w:t>
            </w:r>
          </w:p>
        </w:tc>
        <w:tc>
          <w:tcPr>
            <w:tcW w:w="1400" w:type="dxa"/>
            <w:tcBorders>
              <w:bottom w:val="single" w:sz="6" w:space="0" w:color="000000"/>
            </w:tcBorders>
          </w:tcPr>
          <w:p>
            <w:pPr>
              <w:spacing w:before="40" w:after="40" w:line="240" w:lineRule="auto"/>
              <w:jc w:val="left"/>
              <w:rPr>
                <w:rFonts w:ascii="Arial" w:hAnsi="Arial" w:cs="Arial"/>
                <w:lang w:val="es-GT"/>
              </w:rPr>
            </w:pPr>
            <w:r>
              <w:rPr>
                <w:rFonts w:ascii="Arial" w:hAnsi="Arial" w:cs="Arial"/>
                <w:sz w:val="16"/>
                <w:szCs w:val="16"/>
                <w:lang w:val="es-GT"/>
              </w:rPr>
              <w:t xml:space="preserve">Diferencia entre el monto que la institución autoriza al cliente y el monto que este recibe de forma efectiva, que indica una posible apropiación indebida de recursos.</w:t>
            </w:r>
          </w:p>
        </w:tc>
        <w:tc>
          <w:tcPr>
            <w:tcW w:w="1800" w:type="dxa"/>
            <w:tcBorders>
              <w:bottom w:val="single" w:sz="6" w:space="0" w:color="000000"/>
            </w:tcBorders>
          </w:tcPr>
          <w:p>
            <w:pPr>
              <w:spacing w:before="40" w:after="40" w:line="240" w:lineRule="auto"/>
              <w:jc w:val="left"/>
              <w:rPr>
                <w:rFonts w:ascii="Arial" w:hAnsi="Arial" w:cs="Arial"/>
                <w:lang w:val="es-GT"/>
              </w:rPr>
            </w:pPr>
            <w:r>
              <w:rPr>
                <w:rFonts w:ascii="Arial" w:hAnsi="Arial" w:cs="Arial"/>
                <w:sz w:val="16"/>
                <w:szCs w:val="16"/>
                <w:lang w:val="es-GT"/>
              </w:rPr>
              <w:t xml:space="preserve">Porcentaje de desembolsos verificados en los que el monto que el cliente declara haber recibido es menor que el monto autorizado en el sistema.</w:t>
            </w:r>
          </w:p>
        </w:tc>
        <w:tc>
          <w:tcPr>
            <w:tcW w:w="900" w:type="dxa"/>
            <w:tcBorders>
              <w:bottom w:val="single" w:sz="6" w:space="0" w:color="000000"/>
            </w:tcBorders>
          </w:tcPr>
          <w:p>
            <w:pPr>
              <w:spacing w:before="40" w:after="40" w:line="240" w:lineRule="auto"/>
              <w:jc w:val="left"/>
              <w:rPr>
                <w:rFonts w:ascii="Arial" w:hAnsi="Arial" w:cs="Arial"/>
                <w:lang w:val="es-GT"/>
              </w:rPr>
            </w:pPr>
            <w:r>
              <w:rPr>
                <w:rFonts w:ascii="Arial" w:hAnsi="Arial" w:cs="Arial"/>
                <w:sz w:val="16"/>
                <w:szCs w:val="16"/>
                <w:lang w:val="es-GT"/>
              </w:rPr>
              <w:t xml:space="preserve">Frecuencia.</w:t>
            </w:r>
          </w:p>
          <w:p>
            <w:pPr>
              <w:spacing w:before="40" w:after="40" w:line="240" w:lineRule="auto"/>
              <w:jc w:val="left"/>
              <w:rPr>
                <w:rFonts w:ascii="Arial" w:hAnsi="Arial" w:cs="Arial"/>
                <w:lang w:val="es-GT"/>
              </w:rPr>
            </w:pPr>
            <w:r>
              <w:rPr>
                <w:rFonts w:ascii="Arial" w:hAnsi="Arial" w:cs="Arial"/>
                <w:sz w:val="16"/>
                <w:szCs w:val="16"/>
                <w:lang w:val="es-GT"/>
              </w:rPr>
              <w:t xml:space="preserve">Magnitud.</w:t>
            </w:r>
          </w:p>
          <w:p>
            <w:pPr>
              <w:spacing w:before="40" w:after="40" w:line="240" w:lineRule="auto"/>
              <w:jc w:val="left"/>
              <w:rPr>
                <w:rFonts w:ascii="Arial" w:hAnsi="Arial" w:cs="Arial"/>
                <w:lang w:val="es-GT"/>
              </w:rPr>
            </w:pPr>
            <w:r>
              <w:rPr>
                <w:rFonts w:ascii="Arial" w:hAnsi="Arial" w:cs="Arial"/>
                <w:sz w:val="16"/>
                <w:szCs w:val="16"/>
                <w:lang w:val="es-GT"/>
              </w:rPr>
              <w:t xml:space="preserve">Concentración.</w:t>
            </w:r>
          </w:p>
        </w:tc>
        <w:tc>
          <w:tcPr>
            <w:tcW w:w="2000" w:type="dxa"/>
            <w:tcBorders>
              <w:bottom w:val="single" w:sz="6" w:space="0" w:color="000000"/>
            </w:tcBorders>
          </w:tcPr>
          <w:p>
            <w:pPr>
              <w:spacing w:before="40" w:after="40" w:line="240" w:lineRule="auto"/>
              <w:jc w:val="left"/>
              <w:rPr>
                <w:rFonts w:ascii="Arial" w:hAnsi="Arial" w:cs="Arial"/>
                <w:lang w:val="es-GT"/>
              </w:rPr>
            </w:pPr>
            <w:r>
              <w:rPr>
                <w:rFonts w:ascii="Arial" w:hAnsi="Arial" w:cs="Arial"/>
                <w:sz w:val="16"/>
                <w:szCs w:val="16"/>
                <w:lang w:val="es-GT"/>
              </w:rPr>
              <w:t xml:space="preserve">Tasa de discrepancia: desembolsos con diferencia entre desembolsos verificados.</w:t>
            </w:r>
          </w:p>
          <w:p>
            <w:pPr>
              <w:spacing w:before="40" w:after="40" w:line="240" w:lineRule="auto"/>
              <w:jc w:val="left"/>
              <w:rPr>
                <w:rFonts w:ascii="Arial" w:hAnsi="Arial" w:cs="Arial"/>
                <w:lang w:val="es-GT"/>
              </w:rPr>
            </w:pPr>
            <w:r>
              <w:rPr>
                <w:rFonts w:ascii="Arial" w:hAnsi="Arial" w:cs="Arial"/>
                <w:sz w:val="16"/>
                <w:szCs w:val="16"/>
                <w:lang w:val="es-GT"/>
              </w:rPr>
              <w:t xml:space="preserve">Monto promedio de la diferencia, en quetzales.</w:t>
            </w:r>
          </w:p>
          <w:p>
            <w:pPr>
              <w:spacing w:before="40" w:after="40" w:line="240" w:lineRule="auto"/>
              <w:jc w:val="left"/>
              <w:rPr>
                <w:rFonts w:ascii="Arial" w:hAnsi="Arial" w:cs="Arial"/>
                <w:lang w:val="es-GT"/>
              </w:rPr>
            </w:pPr>
            <w:r>
              <w:rPr>
                <w:rFonts w:ascii="Arial" w:hAnsi="Arial" w:cs="Arial"/>
                <w:sz w:val="16"/>
                <w:szCs w:val="16"/>
                <w:lang w:val="es-GT"/>
              </w:rPr>
              <w:t xml:space="preserve">Casos de discrepancia por promotor.</w:t>
            </w:r>
          </w:p>
        </w:tc>
        <w:tc>
          <w:tcPr>
            <w:tcW w:w="1739" w:type="dxa"/>
            <w:tcBorders>
              <w:bottom w:val="single" w:sz="6" w:space="0" w:color="000000"/>
            </w:tcBorders>
          </w:tcPr>
          <w:p>
            <w:pPr>
              <w:spacing w:before="40" w:after="40" w:line="240" w:lineRule="auto"/>
              <w:jc w:val="left"/>
              <w:rPr>
                <w:rFonts w:ascii="Arial" w:hAnsi="Arial" w:cs="Arial"/>
                <w:lang w:val="es-GT"/>
              </w:rPr>
            </w:pPr>
            <w:r>
              <w:rPr>
                <w:rFonts w:ascii="Arial" w:hAnsi="Arial" w:cs="Arial"/>
                <w:sz w:val="16"/>
                <w:szCs w:val="16"/>
                <w:lang w:val="es-GT"/>
              </w:rPr>
              <w:t xml:space="preserve">Razón (porcentaje de 0 a 100).</w:t>
            </w:r>
          </w:p>
          <w:p>
            <w:pPr>
              <w:spacing w:before="40" w:after="40" w:line="240" w:lineRule="auto"/>
              <w:jc w:val="left"/>
              <w:rPr>
                <w:rFonts w:ascii="Arial" w:hAnsi="Arial" w:cs="Arial"/>
                <w:lang w:val="es-GT"/>
              </w:rPr>
            </w:pPr>
            <w:r>
              <w:rPr>
                <w:rFonts w:ascii="Arial" w:hAnsi="Arial" w:cs="Arial"/>
                <w:sz w:val="16"/>
                <w:szCs w:val="16"/>
                <w:lang w:val="es-GT"/>
              </w:rPr>
              <w:t xml:space="preserve">Razón (quetzales).</w:t>
            </w:r>
          </w:p>
          <w:p>
            <w:pPr>
              <w:spacing w:before="40" w:after="40" w:line="240" w:lineRule="auto"/>
              <w:jc w:val="left"/>
              <w:rPr>
                <w:rFonts w:ascii="Arial" w:hAnsi="Arial" w:cs="Arial"/>
                <w:lang w:val="es-GT"/>
              </w:rPr>
            </w:pPr>
            <w:r>
              <w:rPr>
                <w:rFonts w:ascii="Arial" w:hAnsi="Arial" w:cs="Arial"/>
                <w:sz w:val="16"/>
                <w:szCs w:val="16"/>
                <w:lang w:val="es-GT"/>
              </w:rPr>
              <w:t xml:space="preserve">Razón (casos). Instrumento: guion de llamada de verificación y reporte de desembolsos del sistema.</w:t>
            </w:r>
          </w:p>
        </w:tc>
      </w:tr>
    </w:tbl>
    <w:p>
      <w:pPr>
        <w:spacing w:before="60" w:after="200" w:line="240" w:lineRule="auto"/>
        <w:jc w:val="left"/>
        <w:rPr>
          <w:rFonts w:ascii="Arial" w:hAnsi="Arial" w:cs="Arial"/>
          <w:lang w:val="es-GT"/>
        </w:rPr>
      </w:pPr>
      <w:r>
        <w:rPr>
          <w:rFonts w:ascii="Arial" w:hAnsi="Arial" w:cs="Arial"/>
          <w:i/>
          <w:sz w:val="20"/>
          <w:szCs w:val="20"/>
          <w:lang w:val="es-GT"/>
        </w:rPr>
        <w:t xml:space="preserve">Nota. </w:t>
      </w:r>
      <w:r>
        <w:rPr>
          <w:rFonts w:ascii="Arial" w:hAnsi="Arial" w:cs="Arial"/>
          <w:sz w:val="20"/>
          <w:szCs w:val="20"/>
          <w:lang w:val="es-GT"/>
        </w:rPr>
        <w:t xml:space="preserve">Elaboración propia con base en el caso de estudio y en Hernández-Sampieri y Mendoza (2018). Variables intervinientes que se controlarán: nivel de cumplimiento de los controles, estacionalidad de los desembolsos y rotación de promotores.</w:t>
      </w:r>
    </w:p>
    <w:p>
      <w:pPr>
        <w:keepNext/>
        <w:spacing w:before="120" w:after="0" w:line="360" w:lineRule="auto"/>
        <w:jc w:val="left"/>
        <w:outlineLvl w:val="1"/>
        <w:rPr>
          <w:rFonts w:ascii="Arial" w:hAnsi="Arial" w:cs="Arial"/>
          <w:lang w:val="es-GT"/>
        </w:rPr>
      </w:pPr>
      <w:bookmarkStart w:id="209" w:name="_Toc800209"/>
      <w:r>
        <w:rPr>
          <w:rFonts w:ascii="Arial" w:hAnsi="Arial" w:cs="Arial"/>
          <w:b/>
          <w:sz w:val="24"/>
          <w:szCs w:val="24"/>
          <w:lang w:val="es-GT"/>
        </w:rPr>
        <w:t xml:space="preserve">Parte 4. Matriz de consistencia</w:t>
      </w:r>
      <w:bookmarkEnd w:id="209"/>
    </w:p>
    <w:p>
      <w:pPr>
        <w:spacing w:before="0" w:after="0" w:line="360" w:lineRule="auto"/>
        <w:ind w:firstLine="340"/>
        <w:jc w:val="both"/>
        <w:rPr>
          <w:rFonts w:ascii="Arial" w:hAnsi="Arial" w:cs="Arial"/>
          <w:lang w:val="es-GT"/>
        </w:rPr>
      </w:pPr>
      <w:r>
        <w:rPr>
          <w:rFonts w:ascii="Arial" w:hAnsi="Arial" w:cs="Arial"/>
          <w:sz w:val="24"/>
          <w:szCs w:val="24"/>
          <w:lang w:val="es-GT"/>
        </w:rPr>
        <w:t xml:space="preserve">La Tabla 2 integra el problema, los objetivos, la hipótesis, las variables y la metodología para verificar la coherencia interna del diseño. Cada problema específico genera un objetivo específico y una hipótesis específica, y todos usan las mismas variables.</w:t>
      </w:r>
    </w:p>
    <w:p>
      <w:pPr>
        <w:keepNext/>
        <w:spacing w:before="200" w:after="0" w:line="240" w:lineRule="auto"/>
        <w:jc w:val="left"/>
        <w:rPr>
          <w:rFonts w:ascii="Arial" w:hAnsi="Arial" w:cs="Arial"/>
          <w:lang w:val="es-GT"/>
        </w:rPr>
      </w:pPr>
      <w:r>
        <w:rPr>
          <w:rFonts w:ascii="Arial" w:hAnsi="Arial" w:cs="Arial"/>
          <w:b/>
          <w:sz w:val="22"/>
          <w:szCs w:val="22"/>
          <w:lang w:val="es-GT"/>
        </w:rPr>
        <w:t xml:space="preserve">Tabla 2</w:t>
      </w:r>
    </w:p>
    <w:p>
      <w:pPr>
        <w:keepNext/>
        <w:spacing w:before="0" w:after="60" w:line="240" w:lineRule="auto"/>
        <w:jc w:val="left"/>
        <w:rPr>
          <w:rFonts w:ascii="Arial" w:hAnsi="Arial" w:cs="Arial"/>
          <w:lang w:val="es-GT"/>
        </w:rPr>
      </w:pPr>
      <w:r>
        <w:rPr>
          <w:rFonts w:ascii="Arial" w:hAnsi="Arial" w:cs="Arial"/>
          <w:i/>
          <w:sz w:val="22"/>
          <w:szCs w:val="22"/>
          <w:lang w:val="es-GT"/>
        </w:rPr>
        <w:t xml:space="preserve">Matriz de consistencia</w:t>
      </w:r>
    </w:p>
    <w:tbl>
      <w:tblPr>
        <w:tblW w:w="8839" w:type="dxa"/>
        <w:tblLayout w:type="fixed"/>
        <w:tblLook w:val="04A0" w:firstRow="1" w:lastRow="0" w:firstColumn="1" w:lastColumn="0" w:noHBand="0" w:noVBand="1"/>
      </w:tblPr>
      <w:tblGrid>
        <w:gridCol w:w="1800"/>
        <w:gridCol w:w="1800"/>
        <w:gridCol w:w="1700"/>
        <w:gridCol w:w="1700"/>
        <w:gridCol w:w="1839"/>
      </w:tblGrid>
      <w:tr>
        <w:trPr>
          <w:cantSplit/>
          <w:tblHeader/>
        </w:trPr>
        <w:tc>
          <w:tcPr>
            <w:tcW w:w="1800" w:type="dxa"/>
            <w:tcBorders>
              <w:top w:val="single" w:sz="6" w:space="0" w:color="000000"/>
              <w:bottom w:val="single" w:sz="6" w:space="0" w:color="000000"/>
            </w:tcBorders>
          </w:tcPr>
          <w:p>
            <w:pPr>
              <w:spacing w:before="40" w:after="40" w:line="240" w:lineRule="auto"/>
              <w:jc w:val="left"/>
              <w:rPr>
                <w:rFonts w:ascii="Arial" w:hAnsi="Arial" w:cs="Arial"/>
                <w:lang w:val="es-GT"/>
              </w:rPr>
            </w:pPr>
            <w:r>
              <w:rPr>
                <w:rFonts w:ascii="Arial" w:hAnsi="Arial" w:cs="Arial"/>
                <w:b/>
                <w:sz w:val="16"/>
                <w:szCs w:val="16"/>
                <w:lang w:val="es-GT"/>
              </w:rPr>
              <w:t xml:space="preserve">Problemas</w:t>
            </w:r>
          </w:p>
        </w:tc>
        <w:tc>
          <w:tcPr>
            <w:tcW w:w="1800" w:type="dxa"/>
            <w:tcBorders>
              <w:top w:val="single" w:sz="6" w:space="0" w:color="000000"/>
              <w:bottom w:val="single" w:sz="6" w:space="0" w:color="000000"/>
            </w:tcBorders>
          </w:tcPr>
          <w:p>
            <w:pPr>
              <w:spacing w:before="40" w:after="40" w:line="240" w:lineRule="auto"/>
              <w:jc w:val="left"/>
              <w:rPr>
                <w:rFonts w:ascii="Arial" w:hAnsi="Arial" w:cs="Arial"/>
                <w:lang w:val="es-GT"/>
              </w:rPr>
            </w:pPr>
            <w:r>
              <w:rPr>
                <w:rFonts w:ascii="Arial" w:hAnsi="Arial" w:cs="Arial"/>
                <w:b/>
                <w:sz w:val="16"/>
                <w:szCs w:val="16"/>
                <w:lang w:val="es-GT"/>
              </w:rPr>
              <w:t xml:space="preserve">Objetivos</w:t>
            </w:r>
          </w:p>
        </w:tc>
        <w:tc>
          <w:tcPr>
            <w:tcW w:w="1700" w:type="dxa"/>
            <w:tcBorders>
              <w:top w:val="single" w:sz="6" w:space="0" w:color="000000"/>
              <w:bottom w:val="single" w:sz="6" w:space="0" w:color="000000"/>
            </w:tcBorders>
          </w:tcPr>
          <w:p>
            <w:pPr>
              <w:spacing w:before="40" w:after="40" w:line="240" w:lineRule="auto"/>
              <w:jc w:val="left"/>
              <w:rPr>
                <w:rFonts w:ascii="Arial" w:hAnsi="Arial" w:cs="Arial"/>
                <w:lang w:val="es-GT"/>
              </w:rPr>
            </w:pPr>
            <w:r>
              <w:rPr>
                <w:rFonts w:ascii="Arial" w:hAnsi="Arial" w:cs="Arial"/>
                <w:b/>
                <w:sz w:val="16"/>
                <w:szCs w:val="16"/>
                <w:lang w:val="es-GT"/>
              </w:rPr>
              <w:t xml:space="preserve">Hipótesis</w:t>
            </w:r>
          </w:p>
        </w:tc>
        <w:tc>
          <w:tcPr>
            <w:tcW w:w="1700" w:type="dxa"/>
            <w:tcBorders>
              <w:top w:val="single" w:sz="6" w:space="0" w:color="000000"/>
              <w:bottom w:val="single" w:sz="6" w:space="0" w:color="000000"/>
            </w:tcBorders>
          </w:tcPr>
          <w:p>
            <w:pPr>
              <w:spacing w:before="40" w:after="40" w:line="240" w:lineRule="auto"/>
              <w:jc w:val="left"/>
              <w:rPr>
                <w:rFonts w:ascii="Arial" w:hAnsi="Arial" w:cs="Arial"/>
                <w:lang w:val="es-GT"/>
              </w:rPr>
            </w:pPr>
            <w:r>
              <w:rPr>
                <w:rFonts w:ascii="Arial" w:hAnsi="Arial" w:cs="Arial"/>
                <w:b/>
                <w:sz w:val="16"/>
                <w:szCs w:val="16"/>
                <w:lang w:val="es-GT"/>
              </w:rPr>
              <w:t xml:space="preserve">Variables</w:t>
            </w:r>
          </w:p>
        </w:tc>
        <w:tc>
          <w:tcPr>
            <w:tcW w:w="1839" w:type="dxa"/>
            <w:tcBorders>
              <w:top w:val="single" w:sz="6" w:space="0" w:color="000000"/>
              <w:bottom w:val="single" w:sz="6" w:space="0" w:color="000000"/>
            </w:tcBorders>
          </w:tcPr>
          <w:p>
            <w:pPr>
              <w:spacing w:before="40" w:after="40" w:line="240" w:lineRule="auto"/>
              <w:jc w:val="left"/>
              <w:rPr>
                <w:rFonts w:ascii="Arial" w:hAnsi="Arial" w:cs="Arial"/>
                <w:lang w:val="es-GT"/>
              </w:rPr>
            </w:pPr>
            <w:r>
              <w:rPr>
                <w:rFonts w:ascii="Arial" w:hAnsi="Arial" w:cs="Arial"/>
                <w:b/>
                <w:sz w:val="16"/>
                <w:szCs w:val="16"/>
                <w:lang w:val="es-GT"/>
              </w:rPr>
              <w:t xml:space="preserve">Metodología</w:t>
            </w:r>
          </w:p>
        </w:tc>
      </w:tr>
      <w:tr>
        <w:trPr>
          <w:cantSplit/>
        </w:trPr>
        <w:tc>
          <w:tcPr>
            <w:tcW w:w="1800" w:type="dxa"/>
          </w:tcPr>
          <w:p>
            <w:pPr>
              <w:spacing w:before="40" w:after="40" w:line="240" w:lineRule="auto"/>
              <w:jc w:val="left"/>
              <w:rPr>
                <w:rFonts w:ascii="Arial" w:hAnsi="Arial" w:cs="Arial"/>
                <w:lang w:val="es-GT"/>
              </w:rPr>
            </w:pPr>
            <w:r>
              <w:rPr>
                <w:rFonts w:ascii="Arial" w:hAnsi="Arial" w:cs="Arial"/>
                <w:sz w:val="16"/>
                <w:szCs w:val="16"/>
                <w:lang w:val="es-GT"/>
              </w:rPr>
              <w:t xml:space="preserve">General: ¿En qué medida los controles de verificación al cliente reducen la tasa de discrepancia entre el monto autorizado y el monto recibido en los desembolsos digitales de una agencia durante 2027?</w:t>
            </w:r>
          </w:p>
        </w:tc>
        <w:tc>
          <w:tcPr>
            <w:tcW w:w="1800" w:type="dxa"/>
          </w:tcPr>
          <w:p>
            <w:pPr>
              <w:spacing w:before="40" w:after="40" w:line="240" w:lineRule="auto"/>
              <w:jc w:val="left"/>
              <w:rPr>
                <w:rFonts w:ascii="Arial" w:hAnsi="Arial" w:cs="Arial"/>
                <w:lang w:val="es-GT"/>
              </w:rPr>
            </w:pPr>
            <w:r>
              <w:rPr>
                <w:rFonts w:ascii="Arial" w:hAnsi="Arial" w:cs="Arial"/>
                <w:sz w:val="16"/>
                <w:szCs w:val="16"/>
                <w:lang w:val="es-GT"/>
              </w:rPr>
              <w:t xml:space="preserve">General: determinar el efecto de los controles de verificación al cliente sobre la tasa de discrepancia entre el monto autorizado y el monto recibido en los desembolsos digitales de una agencia durante 2027.</w:t>
            </w:r>
          </w:p>
        </w:tc>
        <w:tc>
          <w:tcPr>
            <w:tcW w:w="1700" w:type="dxa"/>
          </w:tcPr>
          <w:p>
            <w:pPr>
              <w:spacing w:before="40" w:after="40" w:line="240" w:lineRule="auto"/>
              <w:jc w:val="left"/>
              <w:rPr>
                <w:rFonts w:ascii="Arial" w:hAnsi="Arial" w:cs="Arial"/>
                <w:lang w:val="es-GT"/>
              </w:rPr>
            </w:pPr>
            <w:r>
              <w:rPr>
                <w:rFonts w:ascii="Arial" w:hAnsi="Arial" w:cs="Arial"/>
                <w:sz w:val="16"/>
                <w:szCs w:val="16"/>
                <w:lang w:val="es-GT"/>
              </w:rPr>
              <w:t xml:space="preserve">General: la implementación de los controles de verificación al cliente reduce la tasa de discrepancia.</w:t>
            </w:r>
          </w:p>
          <w:p>
            <w:pPr>
              <w:spacing w:before="40" w:after="40" w:line="240" w:lineRule="auto"/>
              <w:jc w:val="left"/>
              <w:rPr>
                <w:rFonts w:ascii="Arial" w:hAnsi="Arial" w:cs="Arial"/>
                <w:lang w:val="es-GT"/>
              </w:rPr>
            </w:pPr>
            <w:r>
              <w:rPr>
                <w:rFonts w:ascii="Arial" w:hAnsi="Arial" w:cs="Arial"/>
                <w:sz w:val="16"/>
                <w:szCs w:val="16"/>
                <w:lang w:val="es-GT"/>
              </w:rPr>
              <w:t xml:space="preserve">Nula: no la reduce.</w:t>
            </w:r>
          </w:p>
        </w:tc>
        <w:tc>
          <w:tcPr>
            <w:tcW w:w="1700" w:type="dxa"/>
          </w:tcPr>
          <w:p>
            <w:pPr>
              <w:spacing w:before="40" w:after="40" w:line="240" w:lineRule="auto"/>
              <w:jc w:val="left"/>
              <w:rPr>
                <w:rFonts w:ascii="Arial" w:hAnsi="Arial" w:cs="Arial"/>
                <w:lang w:val="es-GT"/>
              </w:rPr>
            </w:pPr>
            <w:r>
              <w:rPr>
                <w:rFonts w:ascii="Arial" w:hAnsi="Arial" w:cs="Arial"/>
                <w:sz w:val="16"/>
                <w:szCs w:val="16"/>
                <w:lang w:val="es-GT"/>
              </w:rPr>
              <w:t xml:space="preserve">VI: controles de verificación al cliente.</w:t>
            </w:r>
          </w:p>
          <w:p>
            <w:pPr>
              <w:spacing w:before="40" w:after="40" w:line="240" w:lineRule="auto"/>
              <w:jc w:val="left"/>
              <w:rPr>
                <w:rFonts w:ascii="Arial" w:hAnsi="Arial" w:cs="Arial"/>
                <w:lang w:val="es-GT"/>
              </w:rPr>
            </w:pPr>
            <w:r>
              <w:rPr>
                <w:rFonts w:ascii="Arial" w:hAnsi="Arial" w:cs="Arial"/>
                <w:sz w:val="16"/>
                <w:szCs w:val="16"/>
                <w:lang w:val="es-GT"/>
              </w:rPr>
              <w:t xml:space="preserve">VD: discrepancia entre el monto autorizado y el monto recibido.</w:t>
            </w:r>
          </w:p>
          <w:p>
            <w:pPr>
              <w:spacing w:before="40" w:after="40" w:line="240" w:lineRule="auto"/>
              <w:jc w:val="left"/>
              <w:rPr>
                <w:rFonts w:ascii="Arial" w:hAnsi="Arial" w:cs="Arial"/>
                <w:lang w:val="es-GT"/>
              </w:rPr>
            </w:pPr>
            <w:r>
              <w:rPr>
                <w:rFonts w:ascii="Arial" w:hAnsi="Arial" w:cs="Arial"/>
                <w:sz w:val="16"/>
                <w:szCs w:val="16"/>
                <w:lang w:val="es-GT"/>
              </w:rPr>
              <w:t xml:space="preserve">Dimensiones: informativa, verificación y detección; frecuencia, magnitud y concentración.</w:t>
            </w:r>
          </w:p>
        </w:tc>
        <w:tc>
          <w:tcPr>
            <w:tcW w:w="1839" w:type="dxa"/>
          </w:tcPr>
          <w:p>
            <w:pPr>
              <w:spacing w:before="40" w:after="40" w:line="240" w:lineRule="auto"/>
              <w:jc w:val="left"/>
              <w:rPr>
                <w:rFonts w:ascii="Arial" w:hAnsi="Arial" w:cs="Arial"/>
                <w:lang w:val="es-GT"/>
              </w:rPr>
            </w:pPr>
            <w:r>
              <w:rPr>
                <w:rFonts w:ascii="Arial" w:hAnsi="Arial" w:cs="Arial"/>
                <w:sz w:val="16"/>
                <w:szCs w:val="16"/>
                <w:lang w:val="es-GT"/>
              </w:rPr>
              <w:t xml:space="preserve">Tipo y diseño: cuantitativo, explicativo y cuasi-experimental con medición antes y después.</w:t>
            </w:r>
          </w:p>
          <w:p>
            <w:pPr>
              <w:spacing w:before="40" w:after="40" w:line="240" w:lineRule="auto"/>
              <w:jc w:val="left"/>
              <w:rPr>
                <w:rFonts w:ascii="Arial" w:hAnsi="Arial" w:cs="Arial"/>
                <w:lang w:val="es-GT"/>
              </w:rPr>
            </w:pPr>
            <w:r>
              <w:rPr>
                <w:rFonts w:ascii="Arial" w:hAnsi="Arial" w:cs="Arial"/>
                <w:sz w:val="16"/>
                <w:szCs w:val="16"/>
                <w:lang w:val="es-GT"/>
              </w:rPr>
              <w:t xml:space="preserve">Muestra e instrumentos: muestra aleatoria estratificada por promotor, guion de llamada de verificación, comprobante y reporte del sistema. Prueba z de dos proporciones.</w:t>
            </w:r>
          </w:p>
        </w:tc>
      </w:tr>
      <w:tr>
        <w:trPr>
          <w:cantSplit/>
        </w:trPr>
        <w:tc>
          <w:tcPr>
            <w:tcW w:w="1800" w:type="dxa"/>
          </w:tcPr>
          <w:p>
            <w:pPr>
              <w:spacing w:before="40" w:after="40" w:line="240" w:lineRule="auto"/>
              <w:jc w:val="left"/>
              <w:rPr>
                <w:rFonts w:ascii="Arial" w:hAnsi="Arial" w:cs="Arial"/>
                <w:lang w:val="es-GT"/>
              </w:rPr>
            </w:pPr>
            <w:r>
              <w:rPr>
                <w:rFonts w:ascii="Arial" w:hAnsi="Arial" w:cs="Arial"/>
                <w:sz w:val="16"/>
                <w:szCs w:val="16"/>
                <w:lang w:val="es-GT"/>
              </w:rPr>
              <w:t xml:space="preserve">Específico 1: ¿Cuál es la tasa de discrepancia antes de implementar los controles y qué parte detectan los controles actuales?</w:t>
            </w:r>
          </w:p>
        </w:tc>
        <w:tc>
          <w:tcPr>
            <w:tcW w:w="1800" w:type="dxa"/>
          </w:tcPr>
          <w:p>
            <w:pPr>
              <w:spacing w:before="40" w:after="40" w:line="240" w:lineRule="auto"/>
              <w:jc w:val="left"/>
              <w:rPr>
                <w:rFonts w:ascii="Arial" w:hAnsi="Arial" w:cs="Arial"/>
                <w:lang w:val="es-GT"/>
              </w:rPr>
            </w:pPr>
            <w:r>
              <w:rPr>
                <w:rFonts w:ascii="Arial" w:hAnsi="Arial" w:cs="Arial"/>
                <w:sz w:val="16"/>
                <w:szCs w:val="16"/>
                <w:lang w:val="es-GT"/>
              </w:rPr>
              <w:t xml:space="preserve">Específico 1: establecer la línea base de la tasa de discrepancia y compararla con la tasa que detectan los controles actuales.</w:t>
            </w:r>
          </w:p>
        </w:tc>
        <w:tc>
          <w:tcPr>
            <w:tcW w:w="1700" w:type="dxa"/>
          </w:tcPr>
          <w:p>
            <w:pPr>
              <w:spacing w:before="40" w:after="40" w:line="240" w:lineRule="auto"/>
              <w:jc w:val="left"/>
              <w:rPr>
                <w:rFonts w:ascii="Arial" w:hAnsi="Arial" w:cs="Arial"/>
                <w:lang w:val="es-GT"/>
              </w:rPr>
            </w:pPr>
            <w:r>
              <w:rPr>
                <w:rFonts w:ascii="Arial" w:hAnsi="Arial" w:cs="Arial"/>
                <w:sz w:val="16"/>
                <w:szCs w:val="16"/>
                <w:lang w:val="es-GT"/>
              </w:rPr>
              <w:t xml:space="preserve">Específica 1: la tasa de discrepancia de la línea base es mayor que la tasa que detectan los controles actuales.</w:t>
            </w:r>
          </w:p>
        </w:tc>
        <w:tc>
          <w:tcPr>
            <w:tcW w:w="1700" w:type="dxa"/>
          </w:tcPr>
          <w:p>
            <w:pPr>
              <w:spacing w:before="40" w:after="40" w:line="240" w:lineRule="auto"/>
              <w:jc w:val="left"/>
              <w:rPr>
                <w:rFonts w:ascii="Arial" w:hAnsi="Arial" w:cs="Arial"/>
                <w:lang w:val="es-GT"/>
              </w:rPr>
            </w:pPr>
            <w:r>
              <w:rPr>
                <w:rFonts w:ascii="Arial" w:hAnsi="Arial" w:cs="Arial"/>
                <w:sz w:val="16"/>
                <w:szCs w:val="16"/>
                <w:lang w:val="es-GT"/>
              </w:rPr>
              <w:t xml:space="preserve">Indicadores: tasa de discrepancia y tasa de casos detectados por el reporte actual.</w:t>
            </w:r>
          </w:p>
        </w:tc>
        <w:tc>
          <w:tcPr>
            <w:tcW w:w="1839" w:type="dxa"/>
          </w:tcPr>
          <w:p>
            <w:pPr>
              <w:spacing w:before="40" w:after="40" w:line="240" w:lineRule="auto"/>
              <w:jc w:val="left"/>
              <w:rPr>
                <w:rFonts w:ascii="Arial" w:hAnsi="Arial" w:cs="Arial"/>
                <w:lang w:val="es-GT"/>
              </w:rPr>
            </w:pPr>
            <w:r>
              <w:rPr>
                <w:rFonts w:ascii="Arial" w:hAnsi="Arial" w:cs="Arial"/>
                <w:sz w:val="16"/>
                <w:szCs w:val="16"/>
                <w:lang w:val="es-GT"/>
              </w:rPr>
              <w:t xml:space="preserve">Llamadas de verificación a una muestra aleatoria durante la línea base; contraste con los casos del reporte actual. Prueba z de una proporción.</w:t>
            </w:r>
          </w:p>
        </w:tc>
      </w:tr>
      <w:tr>
        <w:trPr>
          <w:cantSplit/>
        </w:trPr>
        <w:tc>
          <w:tcPr>
            <w:tcW w:w="1800" w:type="dxa"/>
          </w:tcPr>
          <w:p>
            <w:pPr>
              <w:spacing w:before="40" w:after="40" w:line="240" w:lineRule="auto"/>
              <w:jc w:val="left"/>
              <w:rPr>
                <w:rFonts w:ascii="Arial" w:hAnsi="Arial" w:cs="Arial"/>
                <w:lang w:val="es-GT"/>
              </w:rPr>
            </w:pPr>
            <w:r>
              <w:rPr>
                <w:rFonts w:ascii="Arial" w:hAnsi="Arial" w:cs="Arial"/>
                <w:sz w:val="16"/>
                <w:szCs w:val="16"/>
                <w:lang w:val="es-GT"/>
              </w:rPr>
              <w:t xml:space="preserve">Específico 2: ¿Cuántos casos de discrepancia identifican las reglas de alerta frente al reporte actual?</w:t>
            </w:r>
          </w:p>
        </w:tc>
        <w:tc>
          <w:tcPr>
            <w:tcW w:w="1800" w:type="dxa"/>
          </w:tcPr>
          <w:p>
            <w:pPr>
              <w:spacing w:before="40" w:after="40" w:line="240" w:lineRule="auto"/>
              <w:jc w:val="left"/>
              <w:rPr>
                <w:rFonts w:ascii="Arial" w:hAnsi="Arial" w:cs="Arial"/>
                <w:lang w:val="es-GT"/>
              </w:rPr>
            </w:pPr>
            <w:r>
              <w:rPr>
                <w:rFonts w:ascii="Arial" w:hAnsi="Arial" w:cs="Arial"/>
                <w:sz w:val="16"/>
                <w:szCs w:val="16"/>
                <w:lang w:val="es-GT"/>
              </w:rPr>
              <w:t xml:space="preserve">Específico 2: comparar el número de casos que identifican las reglas de alerta frente a los que identifica el reporte actual.</w:t>
            </w:r>
          </w:p>
        </w:tc>
        <w:tc>
          <w:tcPr>
            <w:tcW w:w="1700" w:type="dxa"/>
          </w:tcPr>
          <w:p>
            <w:pPr>
              <w:spacing w:before="40" w:after="40" w:line="240" w:lineRule="auto"/>
              <w:jc w:val="left"/>
              <w:rPr>
                <w:rFonts w:ascii="Arial" w:hAnsi="Arial" w:cs="Arial"/>
                <w:lang w:val="es-GT"/>
              </w:rPr>
            </w:pPr>
            <w:r>
              <w:rPr>
                <w:rFonts w:ascii="Arial" w:hAnsi="Arial" w:cs="Arial"/>
                <w:sz w:val="16"/>
                <w:szCs w:val="16"/>
                <w:lang w:val="es-GT"/>
              </w:rPr>
              <w:t xml:space="preserve">Específica 2: las reglas de alerta identifican más casos que el reporte actual.</w:t>
            </w:r>
          </w:p>
        </w:tc>
        <w:tc>
          <w:tcPr>
            <w:tcW w:w="1700" w:type="dxa"/>
          </w:tcPr>
          <w:p>
            <w:pPr>
              <w:spacing w:before="40" w:after="40" w:line="240" w:lineRule="auto"/>
              <w:jc w:val="left"/>
              <w:rPr>
                <w:rFonts w:ascii="Arial" w:hAnsi="Arial" w:cs="Arial"/>
                <w:lang w:val="es-GT"/>
              </w:rPr>
            </w:pPr>
            <w:r>
              <w:rPr>
                <w:rFonts w:ascii="Arial" w:hAnsi="Arial" w:cs="Arial"/>
                <w:sz w:val="16"/>
                <w:szCs w:val="16"/>
                <w:lang w:val="es-GT"/>
              </w:rPr>
              <w:t xml:space="preserve">Indicadores: número de alertas generadas y atendidas; casos confirmados por cada mecanismo.</w:t>
            </w:r>
          </w:p>
        </w:tc>
        <w:tc>
          <w:tcPr>
            <w:tcW w:w="1839" w:type="dxa"/>
          </w:tcPr>
          <w:p>
            <w:pPr>
              <w:spacing w:before="40" w:after="40" w:line="240" w:lineRule="auto"/>
              <w:jc w:val="left"/>
              <w:rPr>
                <w:rFonts w:ascii="Arial" w:hAnsi="Arial" w:cs="Arial"/>
                <w:lang w:val="es-GT"/>
              </w:rPr>
            </w:pPr>
            <w:r>
              <w:rPr>
                <w:rFonts w:ascii="Arial" w:hAnsi="Arial" w:cs="Arial"/>
                <w:sz w:val="16"/>
                <w:szCs w:val="16"/>
                <w:lang w:val="es-GT"/>
              </w:rPr>
              <w:t xml:space="preserve">Aplicación de ambos mecanismos a los mismos desembolsos; confirmación por llamada. Prueba de McNemar.</w:t>
            </w:r>
          </w:p>
        </w:tc>
      </w:tr>
      <w:tr>
        <w:trPr>
          <w:cantSplit/>
        </w:trPr>
        <w:tc>
          <w:tcPr>
            <w:tcW w:w="1800" w:type="dxa"/>
            <w:tcBorders>
              <w:bottom w:val="single" w:sz="6" w:space="0" w:color="000000"/>
            </w:tcBorders>
          </w:tcPr>
          <w:p>
            <w:pPr>
              <w:spacing w:before="40" w:after="40" w:line="240" w:lineRule="auto"/>
              <w:jc w:val="left"/>
              <w:rPr>
                <w:rFonts w:ascii="Arial" w:hAnsi="Arial" w:cs="Arial"/>
                <w:lang w:val="es-GT"/>
              </w:rPr>
            </w:pPr>
            <w:r>
              <w:rPr>
                <w:rFonts w:ascii="Arial" w:hAnsi="Arial" w:cs="Arial"/>
                <w:sz w:val="16"/>
                <w:szCs w:val="16"/>
                <w:lang w:val="es-GT"/>
              </w:rPr>
              <w:t xml:space="preserve">Específico 3: ¿Cómo cambia la tasa de discrepancia después de implementar los controles?</w:t>
            </w:r>
          </w:p>
        </w:tc>
        <w:tc>
          <w:tcPr>
            <w:tcW w:w="1800" w:type="dxa"/>
            <w:tcBorders>
              <w:bottom w:val="single" w:sz="6" w:space="0" w:color="000000"/>
            </w:tcBorders>
          </w:tcPr>
          <w:p>
            <w:pPr>
              <w:spacing w:before="40" w:after="40" w:line="240" w:lineRule="auto"/>
              <w:jc w:val="left"/>
              <w:rPr>
                <w:rFonts w:ascii="Arial" w:hAnsi="Arial" w:cs="Arial"/>
                <w:lang w:val="es-GT"/>
              </w:rPr>
            </w:pPr>
            <w:r>
              <w:rPr>
                <w:rFonts w:ascii="Arial" w:hAnsi="Arial" w:cs="Arial"/>
                <w:sz w:val="16"/>
                <w:szCs w:val="16"/>
                <w:lang w:val="es-GT"/>
              </w:rPr>
              <w:t xml:space="preserve">Específico 3: comparar la tasa de discrepancia antes y después de implementar los controles.</w:t>
            </w:r>
          </w:p>
        </w:tc>
        <w:tc>
          <w:tcPr>
            <w:tcW w:w="1700" w:type="dxa"/>
            <w:tcBorders>
              <w:bottom w:val="single" w:sz="6" w:space="0" w:color="000000"/>
            </w:tcBorders>
          </w:tcPr>
          <w:p>
            <w:pPr>
              <w:spacing w:before="40" w:after="40" w:line="240" w:lineRule="auto"/>
              <w:jc w:val="left"/>
              <w:rPr>
                <w:rFonts w:ascii="Arial" w:hAnsi="Arial" w:cs="Arial"/>
                <w:lang w:val="es-GT"/>
              </w:rPr>
            </w:pPr>
            <w:r>
              <w:rPr>
                <w:rFonts w:ascii="Arial" w:hAnsi="Arial" w:cs="Arial"/>
                <w:sz w:val="16"/>
                <w:szCs w:val="16"/>
                <w:lang w:val="es-GT"/>
              </w:rPr>
              <w:t xml:space="preserve">Específica 3: la tasa de discrepancia posterior es menor que la de la línea base.</w:t>
            </w:r>
          </w:p>
        </w:tc>
        <w:tc>
          <w:tcPr>
            <w:tcW w:w="1700" w:type="dxa"/>
            <w:tcBorders>
              <w:bottom w:val="single" w:sz="6" w:space="0" w:color="000000"/>
            </w:tcBorders>
          </w:tcPr>
          <w:p>
            <w:pPr>
              <w:spacing w:before="40" w:after="40" w:line="240" w:lineRule="auto"/>
              <w:jc w:val="left"/>
              <w:rPr>
                <w:rFonts w:ascii="Arial" w:hAnsi="Arial" w:cs="Arial"/>
                <w:lang w:val="es-GT"/>
              </w:rPr>
            </w:pPr>
            <w:r>
              <w:rPr>
                <w:rFonts w:ascii="Arial" w:hAnsi="Arial" w:cs="Arial"/>
                <w:sz w:val="16"/>
                <w:szCs w:val="16"/>
                <w:lang w:val="es-GT"/>
              </w:rPr>
              <w:t xml:space="preserve">Indicadores: tasa de discrepancia, monto promedio de la diferencia y casos por promotor.</w:t>
            </w:r>
          </w:p>
        </w:tc>
        <w:tc>
          <w:tcPr>
            <w:tcW w:w="1839" w:type="dxa"/>
            <w:tcBorders>
              <w:bottom w:val="single" w:sz="6" w:space="0" w:color="000000"/>
            </w:tcBorders>
          </w:tcPr>
          <w:p>
            <w:pPr>
              <w:spacing w:before="40" w:after="40" w:line="240" w:lineRule="auto"/>
              <w:jc w:val="left"/>
              <w:rPr>
                <w:rFonts w:ascii="Arial" w:hAnsi="Arial" w:cs="Arial"/>
                <w:lang w:val="es-GT"/>
              </w:rPr>
            </w:pPr>
            <w:r>
              <w:rPr>
                <w:rFonts w:ascii="Arial" w:hAnsi="Arial" w:cs="Arial"/>
                <w:sz w:val="16"/>
                <w:szCs w:val="16"/>
                <w:lang w:val="es-GT"/>
              </w:rPr>
              <w:t xml:space="preserve">Misma verificación telefónica a una muestra aleatoria posterior; prueba z de dos proporciones y análisis de amenazas a la validez.</w:t>
            </w:r>
          </w:p>
        </w:tc>
      </w:tr>
    </w:tbl>
    <w:p>
      <w:pPr>
        <w:spacing w:before="60" w:after="200" w:line="240" w:lineRule="auto"/>
        <w:jc w:val="left"/>
        <w:rPr>
          <w:rFonts w:ascii="Arial" w:hAnsi="Arial" w:cs="Arial"/>
          <w:lang w:val="es-GT"/>
        </w:rPr>
      </w:pPr>
      <w:r>
        <w:rPr>
          <w:rFonts w:ascii="Arial" w:hAnsi="Arial" w:cs="Arial"/>
          <w:i/>
          <w:sz w:val="20"/>
          <w:szCs w:val="20"/>
          <w:lang w:val="es-GT"/>
        </w:rPr>
        <w:t xml:space="preserve">Nota. </w:t>
      </w:r>
      <w:r>
        <w:rPr>
          <w:rFonts w:ascii="Arial" w:hAnsi="Arial" w:cs="Arial"/>
          <w:sz w:val="20"/>
          <w:szCs w:val="20"/>
          <w:lang w:val="es-GT"/>
        </w:rPr>
        <w:t xml:space="preserve">Elaboración propia con la estructura estándar de la matriz de consistencia de la Semana 4. VI: variable independiente. VD: variable dependiente.</w:t>
      </w:r>
    </w:p>
    <w:p>
      <w:pPr>
        <w:keepNext/>
        <w:spacing w:before="240" w:after="0" w:line="360" w:lineRule="auto"/>
        <w:jc w:val="center"/>
        <w:outlineLvl w:val="0"/>
        <w:rPr>
          <w:rFonts w:ascii="Arial" w:hAnsi="Arial" w:cs="Arial"/>
          <w:lang w:val="es-GT"/>
        </w:rPr>
      </w:pPr>
      <w:bookmarkStart w:id="210" w:name="_Toc800210"/>
      <w:r>
        <w:rPr>
          <w:rFonts w:ascii="Arial" w:hAnsi="Arial" w:cs="Arial"/>
          <w:b/>
          <w:sz w:val="28"/>
          <w:szCs w:val="28"/>
          <w:lang w:val="es-GT"/>
        </w:rPr>
        <w:t xml:space="preserve">CONCLUSIONES</w:t>
      </w:r>
      <w:bookmarkEnd w:id="210"/>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1. </w:t>
      </w:r>
      <w:r>
        <w:rPr>
          <w:rFonts w:ascii="Arial" w:hAnsi="Arial" w:cs="Arial"/>
          <w:sz w:val="24"/>
          <w:szCs w:val="24"/>
          <w:lang w:val="es-GT"/>
        </w:rPr>
        <w:t xml:space="preserve">El caso se traduce en una pregunta medible: el efecto de un paquete de controles de verificación sobre la discrepancia entre el monto autorizado y el monto recibido por el cliente.</w:t>
      </w:r>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2. </w:t>
      </w:r>
      <w:r>
        <w:rPr>
          <w:rFonts w:ascii="Arial" w:hAnsi="Arial" w:cs="Arial"/>
          <w:sz w:val="24"/>
          <w:szCs w:val="24"/>
          <w:lang w:val="es-GT"/>
        </w:rPr>
        <w:t xml:space="preserve">Las dos variables principales quedan definidas de forma conceptual y operacional, con dimensiones, indicadores, instrumentos y escalas coherentes con un diseño cuasi-experimental.</w:t>
      </w:r>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3. </w:t>
      </w:r>
      <w:r>
        <w:rPr>
          <w:rFonts w:ascii="Arial" w:hAnsi="Arial" w:cs="Arial"/>
          <w:sz w:val="24"/>
          <w:szCs w:val="24"/>
          <w:lang w:val="es-GT"/>
        </w:rPr>
        <w:t xml:space="preserve">La matriz de consistencia muestra que cada objetivo específico tiene una subpregunta, un indicador y una técnica de análisis, y que cada problema específico tiene su hipótesis, con las mismas variables y términos que el problema general.</w:t>
      </w:r>
    </w:p>
    <w:p>
      <w:pPr>
        <w:keepNext/>
        <w:spacing w:before="240" w:after="0" w:line="360" w:lineRule="auto"/>
        <w:jc w:val="center"/>
        <w:outlineLvl w:val="0"/>
        <w:rPr>
          <w:rFonts w:ascii="Arial" w:hAnsi="Arial" w:cs="Arial"/>
          <w:lang w:val="es-GT"/>
        </w:rPr>
      </w:pPr>
      <w:bookmarkStart w:id="211" w:name="_Toc800211"/>
      <w:r>
        <w:rPr>
          <w:rFonts w:ascii="Arial" w:hAnsi="Arial" w:cs="Arial"/>
          <w:b/>
          <w:sz w:val="28"/>
          <w:szCs w:val="28"/>
          <w:lang w:val="es-GT"/>
        </w:rPr>
        <w:t xml:space="preserve">RECOMENDACIONES</w:t>
      </w:r>
      <w:bookmarkEnd w:id="211"/>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1. </w:t>
      </w:r>
      <w:r>
        <w:rPr>
          <w:rFonts w:ascii="Arial" w:hAnsi="Arial" w:cs="Arial"/>
          <w:sz w:val="24"/>
          <w:szCs w:val="24"/>
          <w:lang w:val="es-GT"/>
        </w:rPr>
        <w:t xml:space="preserve">Formalizar con la institución la autorización del estudio y un acuerdo de confidencialidad, y anonimizar a las personas y a la entidad en todos los documentos.</w:t>
      </w:r>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2. </w:t>
      </w:r>
      <w:r>
        <w:rPr>
          <w:rFonts w:ascii="Arial" w:hAnsi="Arial" w:cs="Arial"/>
          <w:sz w:val="24"/>
          <w:szCs w:val="24"/>
          <w:lang w:val="es-GT"/>
        </w:rPr>
        <w:t xml:space="preserve">Calcular el tamaño de la muestra con el volumen mensual de desembolsos de la agencia, definir con la institución cómo se medirá la línea base, ya que no existen cifras previas de discrepancia, y fijar con ella la reducción mínima que se considerará relevante.</w:t>
      </w:r>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3. </w:t>
      </w:r>
      <w:r>
        <w:rPr>
          <w:rFonts w:ascii="Arial" w:hAnsi="Arial" w:cs="Arial"/>
          <w:sz w:val="24"/>
          <w:szCs w:val="24"/>
          <w:lang w:val="es-GT"/>
        </w:rPr>
        <w:t xml:space="preserve">Documentar en el protocolo las amenazas a la validez, como el cambio de conducta de los promotores por saberse observados, y las medidas para reducirlas.</w:t>
      </w:r>
    </w:p>
    <w:p>
      <w:pPr>
        <w:spacing w:before="0" w:after="0" w:line="360" w:lineRule="auto"/>
        <w:ind w:left="720" w:hanging="360"/>
        <w:jc w:val="both"/>
        <w:rPr>
          <w:rFonts w:ascii="Arial" w:hAnsi="Arial" w:cs="Arial"/>
          <w:lang w:val="es-GT"/>
        </w:rPr>
      </w:pPr>
      <w:r>
        <w:rPr>
          <w:rFonts w:ascii="Arial" w:hAnsi="Arial" w:cs="Arial"/>
          <w:sz w:val="24"/>
          <w:szCs w:val="24"/>
          <w:lang w:val="es-GT"/>
        </w:rPr>
        <w:t xml:space="preserve">4. </w:t>
      </w:r>
      <w:r>
        <w:rPr>
          <w:rFonts w:ascii="Arial" w:hAnsi="Arial" w:cs="Arial"/>
          <w:sz w:val="24"/>
          <w:szCs w:val="24"/>
          <w:lang w:val="es-GT"/>
        </w:rPr>
        <w:t xml:space="preserve">Verificar con la institución los datos del caso que se citan en este documento, como el monto y el número de clientes afectados, antes de incluirlos en el protocolo.</w:t>
      </w:r>
    </w:p>
    <w:p>
      <w:pPr>
        <w:keepNext/>
        <w:pageBreakBefore/>
        <w:spacing w:before="240" w:after="0" w:line="360" w:lineRule="auto"/>
        <w:jc w:val="center"/>
        <w:outlineLvl w:val="0"/>
        <w:rPr>
          <w:rFonts w:ascii="Arial" w:hAnsi="Arial" w:cs="Arial"/>
          <w:lang w:val="es-GT"/>
        </w:rPr>
      </w:pPr>
      <w:bookmarkStart w:id="212" w:name="_Toc800212"/>
      <w:r>
        <w:rPr>
          <w:rFonts w:ascii="Arial" w:hAnsi="Arial" w:cs="Arial"/>
          <w:b/>
          <w:sz w:val="28"/>
          <w:szCs w:val="28"/>
          <w:lang w:val="es-GT"/>
        </w:rPr>
        <w:t xml:space="preserve">REFERENCIAS</w:t>
      </w:r>
      <w:bookmarkEnd w:id="212"/>
    </w:p>
    <w:p>
      <w:pPr>
        <w:spacing w:before="0" w:after="0" w:line="360" w:lineRule="auto"/>
        <w:ind w:left="720" w:hanging="720"/>
        <w:jc w:val="left"/>
        <w:rPr>
          <w:rFonts w:ascii="Arial" w:hAnsi="Arial" w:cs="Arial"/>
          <w:lang w:val="es-GT"/>
        </w:rPr>
      </w:pPr>
      <w:r>
        <w:rPr>
          <w:rFonts w:ascii="Arial" w:hAnsi="Arial" w:cs="Arial"/>
          <w:sz w:val="24"/>
          <w:szCs w:val="24"/>
          <w:lang w:val="es-GT"/>
        </w:rPr>
        <w:t xml:space="preserve">Association of Certified Fraud Examiners. (2024). </w:t>
      </w:r>
      <w:r>
        <w:rPr>
          <w:rFonts w:ascii="Arial" w:hAnsi="Arial" w:cs="Arial"/>
          <w:i/>
          <w:sz w:val="24"/>
          <w:szCs w:val="24"/>
          <w:lang w:val="es-GT"/>
        </w:rPr>
        <w:t xml:space="preserve">Occupational fraud 2024: A report to the nations</w:t>
      </w:r>
      <w:r>
        <w:rPr>
          <w:rFonts w:ascii="Arial" w:hAnsi="Arial" w:cs="Arial"/>
          <w:sz w:val="24"/>
          <w:szCs w:val="24"/>
          <w:lang w:val="es-GT"/>
        </w:rPr>
        <w:t xml:space="preserve">. https://www.ivey.uwo.ca/media/kjljj5cy/2024-report-to-the-nations.pdf</w:t>
      </w:r>
    </w:p>
    <w:p>
      <w:pPr>
        <w:spacing w:before="0" w:after="0" w:line="360" w:lineRule="auto"/>
        <w:ind w:left="720" w:hanging="720"/>
        <w:jc w:val="left"/>
        <w:rPr>
          <w:rFonts w:ascii="Arial" w:hAnsi="Arial" w:cs="Arial"/>
          <w:lang w:val="es-GT"/>
        </w:rPr>
      </w:pPr>
      <w:r>
        <w:rPr>
          <w:rFonts w:ascii="Arial" w:hAnsi="Arial" w:cs="Arial"/>
          <w:sz w:val="24"/>
          <w:szCs w:val="24"/>
          <w:lang w:val="es-GT"/>
        </w:rPr>
        <w:t xml:space="preserve">Campbell, D. T., &amp; Stanley, J. C. (1966). </w:t>
      </w:r>
      <w:r>
        <w:rPr>
          <w:rFonts w:ascii="Arial" w:hAnsi="Arial" w:cs="Arial"/>
          <w:i/>
          <w:sz w:val="24"/>
          <w:szCs w:val="24"/>
          <w:lang w:val="es-GT"/>
        </w:rPr>
        <w:t xml:space="preserve">Experimental and quasi-experimental designs for research</w:t>
      </w:r>
      <w:r>
        <w:rPr>
          <w:rFonts w:ascii="Arial" w:hAnsi="Arial" w:cs="Arial"/>
          <w:sz w:val="24"/>
          <w:szCs w:val="24"/>
          <w:lang w:val="es-GT"/>
        </w:rPr>
        <w:t xml:space="preserve">. Rand McNally.</w:t>
      </w:r>
    </w:p>
    <w:p>
      <w:pPr>
        <w:spacing w:before="0" w:after="0" w:line="360" w:lineRule="auto"/>
        <w:ind w:left="720" w:hanging="720"/>
        <w:jc w:val="left"/>
        <w:rPr>
          <w:rFonts w:ascii="Arial" w:hAnsi="Arial" w:cs="Arial"/>
          <w:lang w:val="es-GT"/>
        </w:rPr>
      </w:pPr>
      <w:r>
        <w:rPr>
          <w:rFonts w:ascii="Arial" w:hAnsi="Arial" w:cs="Arial"/>
          <w:sz w:val="24"/>
          <w:szCs w:val="24"/>
          <w:lang w:val="es-GT"/>
        </w:rPr>
        <w:t xml:space="preserve">Cressey, D. R. (1953). </w:t>
      </w:r>
      <w:r>
        <w:rPr>
          <w:rFonts w:ascii="Arial" w:hAnsi="Arial" w:cs="Arial"/>
          <w:i/>
          <w:sz w:val="24"/>
          <w:szCs w:val="24"/>
          <w:lang w:val="es-GT"/>
        </w:rPr>
        <w:t xml:space="preserve">Other people's money: A study in the social psychology of embezzlement</w:t>
      </w:r>
      <w:r>
        <w:rPr>
          <w:rFonts w:ascii="Arial" w:hAnsi="Arial" w:cs="Arial"/>
          <w:sz w:val="24"/>
          <w:szCs w:val="24"/>
          <w:lang w:val="es-GT"/>
        </w:rPr>
        <w:t xml:space="preserve">. Free Press.</w:t>
      </w:r>
    </w:p>
    <w:p>
      <w:pPr>
        <w:spacing w:before="0" w:after="0" w:line="360" w:lineRule="auto"/>
        <w:ind w:left="720" w:hanging="720"/>
        <w:jc w:val="left"/>
        <w:rPr>
          <w:rFonts w:ascii="Arial" w:hAnsi="Arial" w:cs="Arial"/>
          <w:lang w:val="es-GT"/>
        </w:rPr>
      </w:pPr>
      <w:r>
        <w:rPr>
          <w:rFonts w:ascii="Arial" w:hAnsi="Arial" w:cs="Arial"/>
          <w:sz w:val="24"/>
          <w:szCs w:val="24"/>
          <w:lang w:val="es-GT"/>
        </w:rPr>
        <w:t xml:space="preserve">Hernández-Sampieri, R., &amp; Mendoza Torres, C. P. (2018). </w:t>
      </w:r>
      <w:r>
        <w:rPr>
          <w:rFonts w:ascii="Arial" w:hAnsi="Arial" w:cs="Arial"/>
          <w:i/>
          <w:sz w:val="24"/>
          <w:szCs w:val="24"/>
          <w:lang w:val="es-GT"/>
        </w:rPr>
        <w:t xml:space="preserve">Metodología de la investigación: Las rutas cuantitativa, cualitativa y mixta</w:t>
      </w:r>
      <w:r>
        <w:rPr>
          <w:rFonts w:ascii="Arial" w:hAnsi="Arial" w:cs="Arial"/>
          <w:sz w:val="24"/>
          <w:szCs w:val="24"/>
          <w:lang w:val="es-GT"/>
        </w:rPr>
        <w:t xml:space="preserve">. McGraw-Hill.</w:t>
      </w:r>
    </w:p>
    <w:p>
      <w:pPr>
        <w:spacing w:before="0" w:after="0" w:line="360" w:lineRule="auto"/>
        <w:ind w:left="720" w:hanging="720"/>
        <w:jc w:val="left"/>
        <w:rPr>
          <w:rFonts w:ascii="Arial" w:hAnsi="Arial" w:cs="Arial"/>
          <w:lang w:val="es-GT"/>
        </w:rPr>
      </w:pPr>
      <w:r>
        <w:rPr>
          <w:rFonts w:ascii="Arial" w:hAnsi="Arial" w:cs="Arial"/>
          <w:sz w:val="24"/>
          <w:szCs w:val="24"/>
          <w:lang w:val="es-GT"/>
        </w:rPr>
        <w:t xml:space="preserve">OWASP Foundation. (2025). </w:t>
      </w:r>
      <w:r>
        <w:rPr>
          <w:rFonts w:ascii="Arial" w:hAnsi="Arial" w:cs="Arial"/>
          <w:i/>
          <w:sz w:val="24"/>
          <w:szCs w:val="24"/>
          <w:lang w:val="es-GT"/>
        </w:rPr>
        <w:t xml:space="preserve">OWASP application security verification standard</w:t>
      </w:r>
      <w:r>
        <w:rPr>
          <w:rFonts w:ascii="Arial" w:hAnsi="Arial" w:cs="Arial"/>
          <w:sz w:val="24"/>
          <w:szCs w:val="24"/>
          <w:lang w:val="es-GT"/>
        </w:rPr>
        <w:t xml:space="preserve"> (Versión 5.0.0). https://owasp.org/www-project-application-security-verification-standard/</w:t>
      </w:r>
    </w:p>
    <w:sectPr>
      <w:headerReference w:type="default" r:id="rIdHdrDef"/>
      <w:pgSz w:w="12240" w:h="15840"/>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headerDef.xml><?xml version="1.0" encoding="utf-8"?>
<w:hdr xmlns:w="http://schemas.openxmlformats.org/wordprocessingml/2006/main" xmlns:r="http://schemas.openxmlformats.org/officeDocument/2006/relationships">
  <w:p>
    <w:pPr>
      <w:jc w:val="right"/>
    </w:pPr>
    <w:r>
      <w:rPr>
        <w:rFonts w:ascii="Arial" w:hAnsi="Arial" w:cs="Arial"/>
        <w:sz w:val="24"/>
      </w:rPr>
      <w:fldChar w:fldCharType="begin"/>
    </w:r>
    <w:r>
      <w:rPr>
        <w:rFonts w:ascii="Arial" w:hAnsi="Arial" w:cs="Arial"/>
        <w:sz w:val="24"/>
      </w:rPr>
      <w:instrText xml:space="preserve"> PAGE </w:instrText>
    </w:r>
    <w:r>
      <w:rPr>
        <w:rFonts w:ascii="Arial" w:hAnsi="Arial" w:cs="Arial"/>
        <w:sz w:val="24"/>
      </w:rPr>
      <w:fldChar w:fldCharType="separate"/>
    </w:r>
    <w:r>
      <w:rPr>
        <w:rFonts w:ascii="Arial" w:hAnsi="Arial" w:cs="Arial"/>
        <w:sz w:val="24"/>
      </w:rPr>
      <w:t>1</w:t>
    </w:r>
    <w:r>
      <w:rPr>
        <w:rFonts w:ascii="Arial" w:hAnsi="Arial" w:cs="Arial"/>
        <w:sz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482"/>
    <w:rsid w:val="00000A00"/>
    <w:rsid w:val="003643EF"/>
    <w:rsid w:val="009E5511"/>
    <w:rsid w:val="00C13482"/>
    <w:rsid w:val="00CC4DEE"/>
    <w:rsid w:val="00D14FAF"/>
    <w:rsid w:val="00E337AC"/>
    <w:rsid w:val="00F94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7F58B"/>
  <w15:chartTrackingRefBased/>
  <w15:docId w15:val="{583A3E94-8909-4E7D-B1CD-361CDD911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482"/>
    <w:pPr>
      <w:spacing w:line="259" w:lineRule="auto"/>
    </w:pPr>
    <w:rPr>
      <w:kern w:val="0"/>
      <w:sz w:val="22"/>
      <w:szCs w:val="22"/>
      <w:lang w:val="es-PE"/>
      <w14:ligatures w14:val="none"/>
    </w:rPr>
  </w:style>
  <w:style w:type="paragraph" w:styleId="Ttulo1">
    <w:name w:val="heading 1"/>
    <w:basedOn w:val="Normal"/>
    <w:next w:val="Normal"/>
    <w:link w:val="Ttulo1Car"/>
    <w:uiPriority w:val="9"/>
    <w:qFormat/>
    <w:rsid w:val="00C1348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Ttulo2">
    <w:name w:val="heading 2"/>
    <w:basedOn w:val="Normal"/>
    <w:next w:val="Normal"/>
    <w:link w:val="Ttulo2Car"/>
    <w:uiPriority w:val="9"/>
    <w:semiHidden/>
    <w:unhideWhenUsed/>
    <w:qFormat/>
    <w:rsid w:val="00C1348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Ttulo3">
    <w:name w:val="heading 3"/>
    <w:basedOn w:val="Normal"/>
    <w:next w:val="Normal"/>
    <w:link w:val="Ttulo3Car"/>
    <w:uiPriority w:val="9"/>
    <w:semiHidden/>
    <w:unhideWhenUsed/>
    <w:qFormat/>
    <w:rsid w:val="00C13482"/>
    <w:pPr>
      <w:keepNext/>
      <w:keepLines/>
      <w:spacing w:before="160" w:after="80" w:line="278" w:lineRule="auto"/>
      <w:outlineLvl w:val="2"/>
    </w:pPr>
    <w:rPr>
      <w:rFonts w:eastAsiaTheme="majorEastAsia" w:cstheme="majorBidi"/>
      <w:color w:val="0F4761" w:themeColor="accent1" w:themeShade="BF"/>
      <w:kern w:val="2"/>
      <w:sz w:val="28"/>
      <w:szCs w:val="28"/>
      <w:lang w:val="en-US"/>
      <w14:ligatures w14:val="standardContextual"/>
    </w:rPr>
  </w:style>
  <w:style w:type="paragraph" w:styleId="Ttulo4">
    <w:name w:val="heading 4"/>
    <w:basedOn w:val="Normal"/>
    <w:next w:val="Normal"/>
    <w:link w:val="Ttulo4Car"/>
    <w:uiPriority w:val="9"/>
    <w:semiHidden/>
    <w:unhideWhenUsed/>
    <w:qFormat/>
    <w:rsid w:val="00C13482"/>
    <w:pPr>
      <w:keepNext/>
      <w:keepLines/>
      <w:spacing w:before="80" w:after="40" w:line="278" w:lineRule="auto"/>
      <w:outlineLvl w:val="3"/>
    </w:pPr>
    <w:rPr>
      <w:rFonts w:eastAsiaTheme="majorEastAsia" w:cstheme="majorBidi"/>
      <w:i/>
      <w:iCs/>
      <w:color w:val="0F4761" w:themeColor="accent1" w:themeShade="BF"/>
      <w:kern w:val="2"/>
      <w:sz w:val="24"/>
      <w:szCs w:val="24"/>
      <w:lang w:val="en-US"/>
      <w14:ligatures w14:val="standardContextual"/>
    </w:rPr>
  </w:style>
  <w:style w:type="paragraph" w:styleId="Ttulo5">
    <w:name w:val="heading 5"/>
    <w:basedOn w:val="Normal"/>
    <w:next w:val="Normal"/>
    <w:link w:val="Ttulo5Car"/>
    <w:uiPriority w:val="9"/>
    <w:semiHidden/>
    <w:unhideWhenUsed/>
    <w:qFormat/>
    <w:rsid w:val="00C13482"/>
    <w:pPr>
      <w:keepNext/>
      <w:keepLines/>
      <w:spacing w:before="80" w:after="40" w:line="278" w:lineRule="auto"/>
      <w:outlineLvl w:val="4"/>
    </w:pPr>
    <w:rPr>
      <w:rFonts w:eastAsiaTheme="majorEastAsia" w:cstheme="majorBidi"/>
      <w:color w:val="0F4761" w:themeColor="accent1" w:themeShade="BF"/>
      <w:kern w:val="2"/>
      <w:sz w:val="24"/>
      <w:szCs w:val="24"/>
      <w:lang w:val="en-US"/>
      <w14:ligatures w14:val="standardContextual"/>
    </w:rPr>
  </w:style>
  <w:style w:type="paragraph" w:styleId="Ttulo6">
    <w:name w:val="heading 6"/>
    <w:basedOn w:val="Normal"/>
    <w:next w:val="Normal"/>
    <w:link w:val="Ttulo6Car"/>
    <w:uiPriority w:val="9"/>
    <w:semiHidden/>
    <w:unhideWhenUsed/>
    <w:qFormat/>
    <w:rsid w:val="00C13482"/>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Ttulo7">
    <w:name w:val="heading 7"/>
    <w:basedOn w:val="Normal"/>
    <w:next w:val="Normal"/>
    <w:link w:val="Ttulo7Car"/>
    <w:uiPriority w:val="9"/>
    <w:semiHidden/>
    <w:unhideWhenUsed/>
    <w:qFormat/>
    <w:rsid w:val="00C13482"/>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Ttulo8">
    <w:name w:val="heading 8"/>
    <w:basedOn w:val="Normal"/>
    <w:next w:val="Normal"/>
    <w:link w:val="Ttulo8Car"/>
    <w:uiPriority w:val="9"/>
    <w:semiHidden/>
    <w:unhideWhenUsed/>
    <w:qFormat/>
    <w:rsid w:val="00C13482"/>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Ttulo9">
    <w:name w:val="heading 9"/>
    <w:basedOn w:val="Normal"/>
    <w:next w:val="Normal"/>
    <w:link w:val="Ttulo9Car"/>
    <w:uiPriority w:val="9"/>
    <w:semiHidden/>
    <w:unhideWhenUsed/>
    <w:qFormat/>
    <w:rsid w:val="00C13482"/>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348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134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1348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1348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348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34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34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34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3482"/>
    <w:rPr>
      <w:rFonts w:eastAsiaTheme="majorEastAsia" w:cstheme="majorBidi"/>
      <w:color w:val="272727" w:themeColor="text1" w:themeTint="D8"/>
    </w:rPr>
  </w:style>
  <w:style w:type="paragraph" w:styleId="Ttulo">
    <w:name w:val="Title"/>
    <w:basedOn w:val="Normal"/>
    <w:next w:val="Normal"/>
    <w:link w:val="TtuloCar"/>
    <w:uiPriority w:val="10"/>
    <w:qFormat/>
    <w:rsid w:val="00C13482"/>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tuloCar">
    <w:name w:val="Título Car"/>
    <w:basedOn w:val="Fuentedeprrafopredeter"/>
    <w:link w:val="Ttulo"/>
    <w:uiPriority w:val="10"/>
    <w:rsid w:val="00C134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3482"/>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tuloCar">
    <w:name w:val="Subtítulo Car"/>
    <w:basedOn w:val="Fuentedeprrafopredeter"/>
    <w:link w:val="Subttulo"/>
    <w:uiPriority w:val="11"/>
    <w:rsid w:val="00C134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3482"/>
    <w:pPr>
      <w:spacing w:before="160" w:line="278" w:lineRule="auto"/>
      <w:jc w:val="center"/>
    </w:pPr>
    <w:rPr>
      <w:i/>
      <w:iCs/>
      <w:color w:val="404040" w:themeColor="text1" w:themeTint="BF"/>
      <w:kern w:val="2"/>
      <w:sz w:val="24"/>
      <w:szCs w:val="24"/>
      <w:lang w:val="en-US"/>
      <w14:ligatures w14:val="standardContextual"/>
    </w:rPr>
  </w:style>
  <w:style w:type="character" w:customStyle="1" w:styleId="CitaCar">
    <w:name w:val="Cita Car"/>
    <w:basedOn w:val="Fuentedeprrafopredeter"/>
    <w:link w:val="Cita"/>
    <w:uiPriority w:val="29"/>
    <w:rsid w:val="00C13482"/>
    <w:rPr>
      <w:i/>
      <w:iCs/>
      <w:color w:val="404040" w:themeColor="text1" w:themeTint="BF"/>
    </w:rPr>
  </w:style>
  <w:style w:type="paragraph" w:styleId="Prrafodelista">
    <w:name w:val="List Paragraph"/>
    <w:basedOn w:val="Normal"/>
    <w:uiPriority w:val="34"/>
    <w:qFormat/>
    <w:rsid w:val="00C13482"/>
    <w:pPr>
      <w:spacing w:line="278" w:lineRule="auto"/>
      <w:ind w:left="720"/>
      <w:contextualSpacing/>
    </w:pPr>
    <w:rPr>
      <w:kern w:val="2"/>
      <w:sz w:val="24"/>
      <w:szCs w:val="24"/>
      <w:lang w:val="en-US"/>
      <w14:ligatures w14:val="standardContextual"/>
    </w:rPr>
  </w:style>
  <w:style w:type="character" w:styleId="nfasisintenso">
    <w:name w:val="Intense Emphasis"/>
    <w:basedOn w:val="Fuentedeprrafopredeter"/>
    <w:uiPriority w:val="21"/>
    <w:qFormat/>
    <w:rsid w:val="00C13482"/>
    <w:rPr>
      <w:i/>
      <w:iCs/>
      <w:color w:val="0F4761" w:themeColor="accent1" w:themeShade="BF"/>
    </w:rPr>
  </w:style>
  <w:style w:type="paragraph" w:styleId="Citadestacada">
    <w:name w:val="Intense Quote"/>
    <w:basedOn w:val="Normal"/>
    <w:next w:val="Normal"/>
    <w:link w:val="CitadestacadaCar"/>
    <w:uiPriority w:val="30"/>
    <w:qFormat/>
    <w:rsid w:val="00C1348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US"/>
      <w14:ligatures w14:val="standardContextual"/>
    </w:rPr>
  </w:style>
  <w:style w:type="character" w:customStyle="1" w:styleId="CitadestacadaCar">
    <w:name w:val="Cita destacada Car"/>
    <w:basedOn w:val="Fuentedeprrafopredeter"/>
    <w:link w:val="Citadestacada"/>
    <w:uiPriority w:val="30"/>
    <w:rsid w:val="00C13482"/>
    <w:rPr>
      <w:i/>
      <w:iCs/>
      <w:color w:val="0F4761" w:themeColor="accent1" w:themeShade="BF"/>
    </w:rPr>
  </w:style>
  <w:style w:type="character" w:styleId="Referenciaintensa">
    <w:name w:val="Intense Reference"/>
    <w:basedOn w:val="Fuentedeprrafopredeter"/>
    <w:uiPriority w:val="32"/>
    <w:qFormat/>
    <w:rsid w:val="00C134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HdrDef" Type="http://schemas.openxmlformats.org/officeDocument/2006/relationships/header" Target="headerDef.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123</Words>
  <Characters>678</Characters>
  <Application>Microsoft Office Word</Application>
  <DocSecurity>0</DocSecurity>
  <Lines>5</Lines>
  <Paragraphs>1</Paragraphs>
  <ScaleCrop>false</ScaleCrop>
  <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práctico: construcción de la matriz de consistencia</dc:title>
  <dc:subject/>
  <dc:creator>Gerbert David García Loaiza</dc:creator>
  <cp:keywords/>
  <dc:description/>
  <cp:lastModifiedBy>Ericka Fuentes</cp:lastModifiedBy>
  <cp:revision>2</cp:revision>
  <dcterms:created xsi:type="dcterms:W3CDTF">2025-07-06T16:12:00Z</dcterms:created>
  <dcterms:modified xsi:type="dcterms:W3CDTF">2025-07-06T16:12:00Z</dcterms:modified>
</cp:coreProperties>
</file>