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6694" w14:textId="01754CFF" w:rsidR="003C64C8" w:rsidRPr="009A1B6B" w:rsidRDefault="003C64C8" w:rsidP="00C13482">
      <w:pPr>
        <w:widowControl w:val="0"/>
        <w:autoSpaceDE w:val="0"/>
        <w:autoSpaceDN w:val="0"/>
        <w:spacing w:after="0"/>
        <w:ind w:left="402"/>
        <w:rPr>
          <w:rFonts w:cs="Times New Roman"/>
          <w:b/>
          <w:sz w:val="48"/>
          <w:szCs w:val="48"/>
          <w:lang w:eastAsia="es-PE" w:bidi="es-PE"/>
        </w:rPr>
      </w:pPr>
      <w:r>
        <w:rPr>
          <w:rFonts w:cs="Times New Roman"/>
          <w:b/>
          <w:noProof/>
          <w:sz w:val="48"/>
          <w:szCs w:val="48"/>
          <w:lang w:eastAsia="es-PE" w:bidi="es-PE"/>
        </w:rPr>
        <w:drawing>
          <wp:anchor distT="0" distB="0" distL="114300" distR="114300" simplePos="0" relativeHeight="251659264" behindDoc="0" locked="0" layoutInCell="1" allowOverlap="1" wp14:anchorId="7123E515" wp14:editId="091839FD">
            <wp:simplePos x="0" y="0"/>
            <wp:positionH relativeFrom="column">
              <wp:posOffset>488315</wp:posOffset>
            </wp:positionH>
            <wp:positionV relativeFrom="paragraph">
              <wp:posOffset>90805</wp:posOffset>
            </wp:positionV>
            <wp:extent cx="1237615" cy="1200785"/>
            <wp:effectExtent l="0" t="0" r="635" b="0"/>
            <wp:wrapNone/>
            <wp:docPr id="2046160855" name="Picture 2" descr="A logo with a person in the back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0855" name="Picture 2" descr="A logo with a person in the back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7615" cy="120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bookmark7"/>
      <w:bookmarkEnd w:id="0"/>
    </w:p>
    <w:p w14:paraId="1FD7F7EF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 xml:space="preserve">UNIVERSIDAD MARIANO 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3B4F6032" w14:textId="77777777" w:rsidR="003C64C8" w:rsidRPr="00900852" w:rsidRDefault="003C64C8" w:rsidP="00C13482">
      <w:pPr>
        <w:widowControl w:val="0"/>
        <w:autoSpaceDE w:val="0"/>
        <w:autoSpaceDN w:val="0"/>
        <w:spacing w:after="0"/>
        <w:jc w:val="right"/>
        <w:rPr>
          <w:rFonts w:cs="Times New Roman"/>
          <w:b/>
          <w:sz w:val="48"/>
          <w:szCs w:val="48"/>
          <w:lang w:val="es-GT" w:eastAsia="es-PE" w:bidi="es-PE"/>
        </w:rPr>
      </w:pPr>
      <w:r w:rsidRPr="00900852">
        <w:rPr>
          <w:rFonts w:cs="Times New Roman"/>
          <w:b/>
          <w:sz w:val="48"/>
          <w:szCs w:val="48"/>
          <w:lang w:val="es-GT" w:eastAsia="es-PE" w:bidi="es-PE"/>
        </w:rPr>
        <w:t>GÁLVEZ DE GUATEMALA</w:t>
      </w:r>
      <w:r w:rsidRPr="00900852">
        <w:rPr>
          <w:rFonts w:cs="Times New Roman"/>
          <w:b/>
          <w:sz w:val="48"/>
          <w:szCs w:val="48"/>
          <w:lang w:val="es-GT" w:eastAsia="es-PE" w:bidi="es-PE"/>
        </w:rPr>
        <w:tab/>
      </w:r>
    </w:p>
    <w:p w14:paraId="6F2A25DE" w14:textId="77777777" w:rsidR="003C64C8" w:rsidRPr="00900852" w:rsidRDefault="003C64C8" w:rsidP="00C13482">
      <w:pPr>
        <w:widowControl w:val="0"/>
        <w:autoSpaceDE w:val="0"/>
        <w:autoSpaceDN w:val="0"/>
        <w:spacing w:after="0" w:line="360" w:lineRule="auto"/>
        <w:rPr>
          <w:rFonts w:cs="Times New Roman"/>
          <w:b/>
          <w:lang w:val="es-GT" w:eastAsia="es-PE" w:bidi="es-PE"/>
        </w:rPr>
      </w:pPr>
    </w:p>
    <w:p w14:paraId="3EFBAF55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</w:p>
    <w:p w14:paraId="5882291E" w14:textId="77777777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>FACULTAD DE INGENIERÍA EN SISTEMAS DE INFORMACIÓN</w:t>
      </w:r>
    </w:p>
    <w:p w14:paraId="14704A8E" w14:textId="7BD48B79" w:rsidR="003C64C8" w:rsidRPr="00900852" w:rsidRDefault="003C64C8" w:rsidP="00C13482">
      <w:pPr>
        <w:spacing w:after="0"/>
        <w:ind w:left="10" w:right="39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2E8D73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29954A93" w14:textId="77777777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MAESTRÍA EN SEGURIDAD INFORMÁTICA</w:t>
      </w:r>
    </w:p>
    <w:p w14:paraId="5F5AAAF7" w14:textId="23F7AC70" w:rsidR="003C64C8" w:rsidRPr="00900852" w:rsidRDefault="003C64C8" w:rsidP="00C13482">
      <w:pPr>
        <w:spacing w:after="5" w:line="248" w:lineRule="auto"/>
        <w:ind w:left="1911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345D9D19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66099FC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42FFFA1D" w14:textId="1E43632A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TAREA 2 - MODELO DE AMENAZAS</w:t>
      </w:r>
    </w:p>
    <w:p w14:paraId="712B12C2" w14:textId="6F9F1023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1C7B8FB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B454768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3BD13826" w14:textId="43F42C0F" w:rsidR="003C64C8" w:rsidRPr="00900852" w:rsidRDefault="003C64C8" w:rsidP="00C13482">
      <w:pPr>
        <w:spacing w:after="0"/>
        <w:ind w:left="10" w:right="41" w:hanging="10"/>
        <w:jc w:val="center"/>
        <w:rPr>
          <w:rFonts w:cs="Times New Roman"/>
          <w:b/>
          <w:color w:val="000000"/>
          <w:sz w:val="36"/>
          <w:szCs w:val="36"/>
          <w:lang w:val="es-GT" w:eastAsia="es-PE"/>
        </w:rPr>
      </w:pPr>
      <w:r w:rsidRPr="00900852">
        <w:rPr>
          <w:rFonts w:cs="Times New Roman"/>
          <w:b/>
          <w:color w:val="000000"/>
          <w:sz w:val="36"/>
          <w:szCs w:val="36"/>
          <w:lang w:val="es-GT" w:eastAsia="es-PE"/>
        </w:rPr>
        <w:t xml:space="preserve">Modelo de amenazas de ParaBank con OWASP Threat Dragon</w:t>
      </w:r>
    </w:p>
    <w:p w14:paraId="6463DBB3" w14:textId="443B0B8C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5F05052" w14:textId="77777777" w:rsidR="003C64C8" w:rsidRPr="00900852" w:rsidRDefault="003C64C8" w:rsidP="00C13482">
      <w:pPr>
        <w:spacing w:after="26"/>
        <w:rPr>
          <w:rFonts w:cs="Times New Roman"/>
          <w:color w:val="000000"/>
          <w:lang w:val="es-GT" w:eastAsia="es-PE"/>
        </w:rPr>
      </w:pPr>
    </w:p>
    <w:p w14:paraId="4F464204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Autor (es): </w:t>
      </w:r>
    </w:p>
    <w:p w14:paraId="555F6054" w14:textId="243E6DE6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Gerbert David García Loaiza - ggarcial17@miumg.edu.gt</w:t>
      </w:r>
    </w:p>
    <w:p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proofErr w:type="spellStart"/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Carné: 1293-21-11608</w:t>
      </w:r>
    </w:p>
    <w:p w14:paraId="46FF5E4B" w14:textId="2836C504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4DD12CAD" w14:textId="77777777" w:rsidR="003C64C8" w:rsidRPr="00900852" w:rsidRDefault="003C64C8" w:rsidP="00C13482">
      <w:pPr>
        <w:spacing w:after="0"/>
        <w:ind w:left="10" w:right="34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Profesor </w:t>
      </w:r>
    </w:p>
    <w:p w14:paraId="6CABC2FC" w14:textId="5EB54309" w:rsidR="003C64C8" w:rsidRPr="00900852" w:rsidRDefault="003C64C8" w:rsidP="00C13482">
      <w:pPr>
        <w:spacing w:after="0"/>
        <w:ind w:left="10" w:right="33" w:hanging="10"/>
        <w:jc w:val="center"/>
        <w:rPr>
          <w:rFonts w:cs="Times New Roman"/>
          <w:b/>
          <w:color w:val="000000"/>
          <w:sz w:val="34"/>
          <w:szCs w:val="34"/>
          <w:lang w:val="es-GT" w:eastAsia="es-PE"/>
        </w:rPr>
      </w:pPr>
      <w:r w:rsidRPr="00900852">
        <w:rPr>
          <w:rFonts w:cs="Times New Roman"/>
          <w:b/>
          <w:color w:val="000000"/>
          <w:sz w:val="34"/>
          <w:szCs w:val="34"/>
          <w:lang w:val="es-GT" w:eastAsia="es-PE"/>
        </w:rPr>
        <w:t xml:space="preserve">Ing. Mario Roberto López Sajquin</w:t>
      </w:r>
    </w:p>
    <w:p w14:paraId="14642B18" w14:textId="5830E50C" w:rsidR="003C64C8" w:rsidRPr="00900852" w:rsidRDefault="003C64C8" w:rsidP="00C13482">
      <w:pPr>
        <w:spacing w:after="5" w:line="248" w:lineRule="auto"/>
        <w:ind w:left="1236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 </w:t>
      </w:r>
    </w:p>
    <w:p w14:paraId="61D600C6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69E88996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</w:p>
    <w:p w14:paraId="18F341A5" w14:textId="77777777" w:rsidR="003C64C8" w:rsidRPr="00900852" w:rsidRDefault="003C64C8" w:rsidP="00C13482">
      <w:pPr>
        <w:spacing w:after="0"/>
        <w:ind w:left="10" w:right="38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>Curso</w:t>
      </w:r>
    </w:p>
    <w:p w14:paraId="472A1DF9" w14:textId="398B03B4" w:rsidR="003C64C8" w:rsidRPr="00900852" w:rsidRDefault="003C64C8" w:rsidP="00C13482">
      <w:pPr>
        <w:spacing w:after="5" w:line="248" w:lineRule="auto"/>
        <w:ind w:right="30" w:hanging="10"/>
        <w:jc w:val="center"/>
        <w:rPr>
          <w:rFonts w:cs="Times New Roman"/>
          <w:b/>
          <w:color w:val="000000"/>
          <w:sz w:val="32"/>
          <w:szCs w:val="32"/>
          <w:lang w:val="es-GT" w:eastAsia="es-PE"/>
        </w:rPr>
      </w:pPr>
      <w:r w:rsidRPr="00900852">
        <w:rPr>
          <w:rFonts w:cs="Times New Roman"/>
          <w:b/>
          <w:color w:val="000000"/>
          <w:sz w:val="32"/>
          <w:szCs w:val="32"/>
          <w:lang w:val="es-GT" w:eastAsia="es-PE"/>
        </w:rPr>
        <w:t xml:space="preserve">SEGURIDAD EN APLICACIONES - 42026-1293-013-E</w:t>
      </w:r>
    </w:p>
    <w:p w14:paraId="35CCBACA" w14:textId="66CFD8D8" w:rsidR="003C64C8" w:rsidRPr="00900852" w:rsidRDefault="003C64C8" w:rsidP="00C13482">
      <w:pPr>
        <w:spacing w:after="5" w:line="248" w:lineRule="auto"/>
        <w:ind w:left="1265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A26AF5A" w14:textId="77777777" w:rsidR="003C64C8" w:rsidRPr="00900852" w:rsidRDefault="003C64C8" w:rsidP="00C13482">
      <w:pPr>
        <w:spacing w:after="0"/>
        <w:ind w:left="21"/>
        <w:jc w:val="center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0921CC9E" w14:textId="77777777" w:rsidR="003C64C8" w:rsidRPr="00900852" w:rsidRDefault="003C64C8" w:rsidP="00C13482">
      <w:pPr>
        <w:spacing w:after="0"/>
        <w:rPr>
          <w:rFonts w:cs="Times New Roman"/>
          <w:color w:val="000000"/>
          <w:lang w:val="es-GT" w:eastAsia="es-PE"/>
        </w:rPr>
      </w:pPr>
    </w:p>
    <w:p w14:paraId="70B3705C" w14:textId="6C1F436B" w:rsidR="003C64C8" w:rsidRPr="00900852" w:rsidRDefault="003C64C8" w:rsidP="00C13482">
      <w:pPr>
        <w:spacing w:after="0"/>
        <w:ind w:left="10" w:right="37" w:hanging="10"/>
        <w:jc w:val="center"/>
        <w:rPr>
          <w:rFonts w:cs="Times New Roman"/>
          <w:b/>
          <w:color w:val="000000"/>
          <w:sz w:val="28"/>
          <w:szCs w:val="28"/>
          <w:lang w:val="es-GT" w:eastAsia="es-PE"/>
        </w:rPr>
      </w:pPr>
      <w:r w:rsidRPr="00900852">
        <w:rPr>
          <w:rFonts w:cs="Times New Roman"/>
          <w:b/>
          <w:color w:val="000000"/>
          <w:sz w:val="28"/>
          <w:szCs w:val="28"/>
          <w:lang w:val="es-GT" w:eastAsia="es-PE"/>
        </w:rPr>
        <w:t xml:space="preserve">Guatemala, octubre de 2026</w:t>
      </w:r>
    </w:p>
    <w:p w14:paraId="2EEA64A5" w14:textId="4EBECE5A" w:rsidR="003C64C8" w:rsidRPr="00900852" w:rsidRDefault="003C64C8" w:rsidP="00C13482">
      <w:pPr>
        <w:spacing w:after="5" w:line="248" w:lineRule="auto"/>
        <w:ind w:left="1268" w:right="30" w:hanging="10"/>
        <w:rPr>
          <w:rFonts w:cs="Times New Roman"/>
          <w:color w:val="000000"/>
          <w:lang w:val="es-GT" w:eastAsia="es-PE"/>
        </w:rPr>
      </w:pPr>
      <w:r w:rsidRPr="00900852">
        <w:rPr>
          <w:rFonts w:cs="Times New Roman"/>
          <w:color w:val="000000"/>
          <w:lang w:val="es-GT" w:eastAsia="es-PE"/>
        </w:rPr>
        <w:t xml:space="preserve"> </w:t>
      </w:r>
    </w:p>
    <w:p w14:paraId="76668F41" w14:textId="77777777" w:rsidR="005F209D" w:rsidRPr="00900852" w:rsidRDefault="003C64C8">
      <w:pPr>
        <w:jc w:val="center"/>
        <w:rPr>
          <w:lang w:val="es-GT"/>
        </w:rPr>
      </w:pPr>
      <w:r w:rsidRPr="00900852">
        <w:rPr>
          <w:b/>
          <w:lang w:val="es-GT"/>
        </w:rPr>
        <w:t>Tabla de Contenido</w:t>
      </w:r>
    </w:p>
    <w:p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TOC \o "1-2" \h \z \u</w:instrText>
      </w:r>
      <w:r>
        <w:fldChar w:fldCharType="separate"/>
      </w:r>
      <w:hyperlink w:anchor="_Toc900101" w:history="1">
        <w:r>
          <w:rPr>
            <w:rStyle w:val="Hipervnculo"/>
            <w:b/>
            <w:noProof/>
          </w:rPr>
          <w:t xml:space="preserve"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2" w:history="1">
        <w:r>
          <w:rPr>
            <w:rStyle w:val="Hipervnculo"/>
            <w:b/>
            <w:noProof/>
          </w:rPr>
          <w:t xml:space="preserve">1. Alcance, fuentes y 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3" w:history="1">
        <w:r>
          <w:rPr>
            <w:rStyle w:val="Hipervnculo"/>
            <w:b/>
            <w:noProof/>
          </w:rPr>
          <w:t xml:space="preserve">2. Levantamiento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4" w:history="1">
        <w:r>
          <w:rPr>
            <w:rStyle w:val="Hipervnculo"/>
            <w:noProof/>
          </w:rPr>
          <w:t xml:space="preserve">2.1 Inventario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5" w:history="1">
        <w:r>
          <w:rPr>
            <w:rStyle w:val="Hipervnculo"/>
            <w:noProof/>
          </w:rPr>
          <w:t xml:space="preserve">2.2 Inventario de activos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6" w:history="1">
        <w:r>
          <w:rPr>
            <w:rStyle w:val="Hipervnculo"/>
            <w:noProof/>
          </w:rPr>
          <w:t xml:space="preserve">2.3 Clasificación de flujos por criticidad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07" w:history="1">
        <w:r>
          <w:rPr>
            <w:rStyle w:val="Hipervnculo"/>
            <w:b/>
            <w:noProof/>
          </w:rPr>
          <w:t xml:space="preserve">3. Diagramas de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8" w:history="1">
        <w:r>
          <w:rPr>
            <w:rStyle w:val="Hipervnculo"/>
            <w:noProof/>
          </w:rPr>
          <w:t xml:space="preserve">3.1 Nivel 0: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09" w:history="1">
        <w:r>
          <w:rPr>
            <w:rStyle w:val="Hipervnculo"/>
            <w:noProof/>
          </w:rPr>
          <w:t xml:space="preserve">3.2 Nivel 1: procesos, almacenes y fronteras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0" w:history="1">
        <w:r>
          <w:rPr>
            <w:rStyle w:val="Hipervnculo"/>
            <w:noProof/>
          </w:rPr>
          <w:t xml:space="preserve">3.3 Nivel 2: API de servicios y procesador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1" w:history="1">
        <w:r>
          <w:rPr>
            <w:rStyle w:val="Hipervnculo"/>
            <w:noProof/>
          </w:rPr>
          <w:t xml:space="preserve">3.4 Fronteras de confianza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2" w:history="1">
        <w:r>
          <w:rPr>
            <w:rStyle w:val="Hipervnculo"/>
            <w:b/>
            <w:noProof/>
          </w:rPr>
          <w:t xml:space="preserve">4. Análisis de amenazas con STRIDE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3" w:history="1">
        <w:r>
          <w:rPr>
            <w:rStyle w:val="Hipervnculo"/>
            <w:noProof/>
          </w:rPr>
          <w:t xml:space="preserve">4.1 Matriz STRIDE consolidada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4" w:history="1">
        <w:r>
          <w:rPr>
            <w:rStyle w:val="Hipervnculo"/>
            <w:noProof/>
          </w:rPr>
          <w:t xml:space="preserve">4.2 Inventario de amenazas y descripción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5" w:history="1">
        <w:r>
          <w:rPr>
            <w:rStyle w:val="Hipervnculo"/>
            <w:noProof/>
          </w:rPr>
          <w:t xml:space="preserve">4.3 Registro de validación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16" w:history="1">
        <w:r>
          <w:rPr>
            <w:rStyle w:val="Hipervnculo"/>
            <w:b/>
            <w:noProof/>
          </w:rPr>
          <w:t xml:space="preserve">5. Priorización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7" w:history="1">
        <w:r>
          <w:rPr>
            <w:rStyle w:val="Hipervnculo"/>
            <w:noProof/>
          </w:rPr>
          <w:t xml:space="preserve">5.1 Matriz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8" w:history="1">
        <w:r>
          <w:rPr>
            <w:rStyle w:val="Hipervnculo"/>
            <w:noProof/>
          </w:rPr>
          <w:t xml:space="preserve">5.2 Top 10 de hallazgos prioritarios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19" w:history="1">
        <w:r>
          <w:rPr>
            <w:rStyle w:val="Hipervnculo"/>
            <w:noProof/>
          </w:rPr>
          <w:t xml:space="preserve">5.3 Tratamiento del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0" w:history="1">
        <w:r>
          <w:rPr>
            <w:rStyle w:val="Hipervnculo"/>
            <w:b/>
            <w:noProof/>
          </w:rPr>
          <w:t xml:space="preserve">6. Casos de abuso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ind w:left="440"/>
        <w:rPr>
          <w:noProof/>
        </w:rPr>
      </w:pPr>
      <w:hyperlink w:anchor="_Toc900121" w:history="1">
        <w:r>
          <w:rPr>
            <w:rStyle w:val="Hipervnculo"/>
            <w:noProof/>
          </w:rPr>
          <w:t xml:space="preserve">6.1 Árbol de ataque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2" w:history="1">
        <w:r>
          <w:rPr>
            <w:rStyle w:val="Hipervnculo"/>
            <w:b/>
            <w:noProof/>
          </w:rPr>
          <w:t xml:space="preserve">7. Controles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3" w:history="1">
        <w:r>
          <w:rPr>
            <w:rStyle w:val="Hipervnculo"/>
            <w:b/>
            <w:noProof/>
          </w:rPr>
          <w:t xml:space="preserve">8. Matriz de riesgos y remediación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4" w:history="1">
        <w:r>
          <w:rPr>
            <w:rStyle w:val="Hipervnculo"/>
            <w:b/>
            <w:noProof/>
          </w:rPr>
          <w:t xml:space="preserve">9. Roadmap de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5" w:history="1">
        <w:r>
          <w:rPr>
            <w:rStyle w:val="Hipervnculo"/>
            <w:b/>
            <w:noProof/>
          </w:rPr>
          <w:t xml:space="preserve">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DC1"/>
        <w:tabs>
          <w:tab w:val="right" w:leader="dot" w:pos="9396"/>
        </w:tabs>
        <w:rPr>
          <w:noProof/>
        </w:rPr>
      </w:pPr>
      <w:hyperlink w:anchor="_Toc900126" w:history="1">
        <w:r>
          <w:rPr>
            <w:rStyle w:val="Hipervnculo"/>
            <w:b/>
            <w:noProof/>
          </w:rPr>
          <w:t xml:space="preserve"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_Toc900126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01" w:name="_Toc900101"/>
      <w:r>
        <w:rPr>
          <w:b/>
          <w:lang w:val="es-GT"/>
        </w:rPr>
        <w:t xml:space="preserve">Introducción</w:t>
      </w:r>
      <w:bookmarkEnd w:id="101"/>
    </w:p>
    <w:p>
      <w:pPr>
        <w:ind w:firstLine="720"/>
        <w:rPr>
          <w:lang w:val="es-GT"/>
        </w:rPr>
      </w:pPr>
      <w:r>
        <w:rPr>
          <w:lang w:val="es-GT"/>
        </w:rPr>
        <w:t xml:space="preserve">Este informe presenta el modelo de amenazas de ParaBank (la aplicación bancaria demo de Parasoft) desarrollado utilizando OWASP Threat Dragon, conforme a lo requerido en la Tarea 2 del curso. El análisis se adhiere a la lógica de la seguridad desde el diseño (shift-left): identificación de fallos potenciales antes de la producción, cuando la corrección cuesta menos.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Se elaboraron esquemas de flujo de datos de niveles 0, 1 y 2, se implementó la metodología STRIDE sobre cada elemento y se otorgó prioridad a los riesgos en función de su impacto y probabilidad. En total, se identificaron 23 amenazas: 5 de carácter crítico, 8 de grado alto, 9 de grado medio y 1 de grado bajo. Para las situaciones de críticas y altas, se registran casos de abuso, se implementan controles preventivos, se implementan medidas detectivas y correctivas, y se establece un plan de remediación a 12 meses.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ParaBank constituye una aplicación de carácter vulnerable, concebida para la realización de pruebas. Los descubrimientos se manifiestan como si se tratara de una institución bancaria auténtica para implementar el método; no constituyen una evaluación crítica de un producto productivo.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2" w:name="_Toc900102"/>
      <w:r>
        <w:rPr>
          <w:b/>
          <w:lang w:val="es-GT"/>
        </w:rPr>
        <w:t xml:space="preserve">1. Alcance, fuentes y supuestos</w:t>
      </w:r>
      <w:bookmarkEnd w:id="102"/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Sistema evaluado.</w:t>
      </w:r>
      <w:r>
        <w:rPr>
          <w:lang w:val="es-GT"/>
        </w:rPr>
        <w:t xml:space="preserve"> ParaBank, a través de sus módulos de banca digital, ofrece servicios de autenticación, creación de cuentas, transferencias, pago de facturas, préstamos, gestión, servicios SOAP/REST, bases de datos y mensajería. El módulo auxiliar denominado Bookstore se encuentra fuera del alcance debido a su no integración en el flujo bancario.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Fuente de la arquitectura.</w:t>
      </w:r>
      <w:r>
        <w:rPr>
          <w:lang w:val="es-GT"/>
        </w:rPr>
        <w:t xml:space="preserve"> El código público del proyecto, publicado por Parasoft en 2026, el commit 13cc8d4c y su correspondiente archivo README. Durante el periodo laboral, la documentación en línea de Parasoft no se encontraba accesible, por lo que el análisis se fundamenta en el código fuente.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Criterio de evidencia.</w:t>
      </w:r>
      <w:r>
        <w:rPr>
          <w:lang w:val="es-GT"/>
        </w:rPr>
        <w:t xml:space="preserve"> Cada amenaza señala si está corroborada en el código o si se trata de una hipótesis que requiere validación. Una hipótesis se refiere a un riesgo plausible que no pudo ser verificado mediante la lectura del código, como el control de propiedad de los recursos en la interfaz de programación de aplicaciones (API).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Supuestos de despliegue.</w:t>
      </w:r>
      <w:r>
        <w:rPr>
          <w:lang w:val="es-GT"/>
        </w:rPr>
        <w:t xml:space="preserve"> Tomcat opera con la configuración preestablecida del README (HTTP, sin TLS finalizado en la aplicación), HyperSQL se encuentra en el puerto TCP 9001 y ActiveMQ se encuentra en TCP 61616. Si se emplea TLS o segmentación de red en el despliegue real, la probabilidad de varias amenazas disminuye.</w:t>
      </w:r>
    </w:p>
    <w:p>
      <w:pPr>
        <w:ind w:firstLine="720"/>
        <w:rPr>
          <w:lang w:val="es-GT"/>
        </w:rPr>
      </w:pPr>
      <w:r>
        <w:rPr>
          <w:b/>
          <w:lang w:val="es-GT"/>
        </w:rPr>
        <w:t xml:space="preserve">Validación pendiente.</w:t>
      </w:r>
      <w:r>
        <w:rPr>
          <w:lang w:val="es-GT"/>
        </w:rPr>
        <w:t xml:space="preserve"> La tarea solicita validar las amenazas con los equipos de Arquitectura y Desarrollo. En este contexto, únicamente se realizó un contraste con el código fuente; las hipótesis deben ser corroboradas mediante pruebas autorizadas en un entorno propio.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3" w:name="_Toc900103"/>
      <w:r>
        <w:rPr>
          <w:b/>
          <w:lang w:val="es-GT"/>
        </w:rPr>
        <w:t xml:space="preserve">2. Levantamiento de arquitectura</w:t>
      </w:r>
      <w:bookmarkEnd w:id="103"/>
    </w:p>
    <w:p>
      <w:pPr>
        <w:keepNext/>
        <w:spacing w:before="120"/>
        <w:jc w:val="left"/>
        <w:outlineLvl w:val="1"/>
        <w:rPr>
          <w:lang w:val="es-GT"/>
        </w:rPr>
      </w:pPr>
      <w:bookmarkStart w:id="104" w:name="_Toc900104"/>
      <w:r>
        <w:rPr>
          <w:b/>
          <w:lang w:val="es-GT"/>
        </w:rPr>
        <w:t xml:space="preserve">2.1 Inventario de componentes</w:t>
      </w:r>
      <w:bookmarkEnd w:id="104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 una aplicación desarrollada en Java e implementada en Apache Tomcat. La interfaz web se implementa mediante Spring MVC, mientras que los servicios SOAP y REST se publican utilizando Apache CXF. Ambos recurren a la misma lógica de negocio, cuyos datos se almacenan en HyperSQL y que utiliza ActiveMQ para el procesamiento de préstamos.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Inventario de componentes de ParaBank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100"/>
        <w:gridCol w:w="2000"/>
        <w:gridCol w:w="3106"/>
        <w:gridCol w:w="2500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Tipo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Componente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Función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Tecnología o archivo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P_web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*.htm; usa LoginInterceptor para las páginas protegidas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DispatcherServlet, parabank-servlet.xml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P_api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/services/* (JAX-WS y JAX-RS) y /services_proxy/*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CXFServlet, cxf.xml, ParaBankService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P_bl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BankManager, AdminManager y capa DAO JDBC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domain.logic, dao.jdbc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P_loan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LoanProcessor con umbral configurable y listener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AbstractLoanProcessor, JmsLoanProcessor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P_admin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Proceso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admin.htm, db.htm, initializeDB.htm, jms.htm y operaciones de mantenimiento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AdminController, JmsListenerController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D_db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Customer, Account, Transaction, Positions, Parameter, News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jdbc:hsqldb:hsql://localhost/parabank (9001)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D_mq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solicitud y respuesta de préstamos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applicationContext-jms.xml (61616)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D_log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Almacén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Registros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log4j2.xml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E_cli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Usuario final que opera su banca en línea desde un navegador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E_adm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Persona que configura la demo: parámetros, base de datos, JMS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Navegador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E_int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externa que consume los servicios SOAP/REST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 SOAP/REST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E_prov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Entidad externa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Proveedor externo de préstamos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que aprueba o rechaza solicitudes de préstamo (WS/JMS)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ConfigurableLoanProvider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5" w:name="_Toc900105"/>
      <w:r>
        <w:rPr>
          <w:b/>
          <w:lang w:val="es-GT"/>
        </w:rPr>
        <w:t xml:space="preserve">2.2 Inventario de activos de información</w:t>
      </w:r>
      <w:bookmarkEnd w:id="10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Activos de información y su clasificación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1300"/>
        <w:gridCol w:w="3106"/>
      </w:tblGrid>
      <w:tr>
        <w:trPr>
          <w:cantSplit/>
          <w:tblHeader/>
        </w:trPr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Activo</w:t>
            </w:r>
          </w:p>
        </w:tc>
        <w:tc>
          <w:tcPr>
            <w:tcW w:w="2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Ubicación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Clasificación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(usuario y contraseña)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Customer, formularios y ruta de login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Permiten tomar cuentas bancarias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SSN y datos personales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Customer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Habilitan la suplantación de identidad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Saldos, cuentas y transacciones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Tablas Account y Transaction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Integridad financiera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Sesión del cliente (JSESSIONID)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Cookie del navegador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Su robo equivale a suplantar al cliente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Parámetros de configuración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Parameter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Alteran reglas de negocio, como el umbral de préstamos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Solicitudes y respuestas de préstamo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Colas de ActiveMQ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Contienen decisiones crediticias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de la aplicación</w:t>
            </w:r>
          </w:p>
        </w:tc>
        <w:tc>
          <w:tcPr>
            <w:tcW w:w="2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log4j2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Evidencia para auditoría</w:t>
            </w:r>
          </w:p>
        </w:tc>
      </w:tr>
      <w:tr>
        <w:trPr>
          <w:cantSplit/>
        </w:trPr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Noticias y contenido público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Tabla News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Información pública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6" w:name="_Toc900106"/>
      <w:r>
        <w:rPr>
          <w:b/>
          <w:lang w:val="es-GT"/>
        </w:rPr>
        <w:t xml:space="preserve">2.3 Clasificación de flujos por criticidad</w:t>
      </w:r>
      <w:bookmarkEnd w:id="106"/>
    </w:p>
    <w:p>
      <w:pPr>
        <w:ind w:firstLine="720"/>
        <w:rPr>
          <w:lang w:val="es-GT"/>
        </w:rPr>
      </w:pPr>
      <w:r>
        <w:rPr>
          <w:lang w:val="es-GT"/>
        </w:rPr>
        <w:t xml:space="preserve">La Tabla 3 categoriza los flujos de información y documenta las características de confidencialidad e integridad establecidas en Threat Dragon. Los flujos que emplean HTTP, JDBC o JMS sobre TCP se identificaron sin cifrado debido a su representación del despliegue por defecto; de esta manera, el motor de reglas no oculta amenazas reales. Se identificaron como protegidos los flujos internos dentro de la misma JVM.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Flujos de datos, propiedades y criticidad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1100"/>
        <w:gridCol w:w="900"/>
        <w:gridCol w:w="13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</w:t>
            </w:r>
          </w:p>
        </w:tc>
        <w:tc>
          <w:tcPr>
            <w:tcW w:w="4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Origen → Destino</w:t>
            </w:r>
          </w:p>
        </w:tc>
        <w:tc>
          <w:tcPr>
            <w:tcW w:w="14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Protocolo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Conf./Integ.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1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Criticidad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Cliente (navegador web) → Interfaz web (Spring MVC + JSP)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Cliente (navegador web)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F03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Sistema integrador (cliente API) → Servicios SOAP/REST (Apache CXF)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F04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F05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 → Lógica de negocio y DAO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F07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Procesador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F08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Broker ActiveMQ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JMS/TCP 61616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 → Proveedor externo de préstamos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WS/JMS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F10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Administrador / operador → Administración y utilidades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HTTP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F11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Base de datos HyperSQL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JDBC/TCP 9001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No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F12</w:t>
            </w:r>
          </w:p>
        </w:tc>
        <w:tc>
          <w:tcPr>
            <w:tcW w:w="4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 → Bitácoras (log4j2)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Archivo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F13</w:t>
            </w:r>
          </w:p>
        </w:tc>
        <w:tc>
          <w:tcPr>
            <w:tcW w:w="4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 → Procesador de préstamos</w:t>
            </w:r>
          </w:p>
        </w:tc>
        <w:tc>
          <w:tcPr>
            <w:tcW w:w="14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In-process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Sí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-</w:t>
            </w:r>
          </w:p>
        </w:tc>
        <w:tc>
          <w:tcPr>
            <w:tcW w:w="1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Conf./Integ. indica si el flujo provee confidencialidad e integridad. Elaboración propia con base en el modelo de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07" w:name="_Toc900107"/>
      <w:r>
        <w:rPr>
          <w:b/>
          <w:lang w:val="es-GT"/>
        </w:rPr>
        <w:t xml:space="preserve">3. Diagramas de flujo de datos</w:t>
      </w:r>
      <w:bookmarkEnd w:id="107"/>
    </w:p>
    <w:p>
      <w:pPr>
        <w:ind w:firstLine="720"/>
        <w:rPr>
          <w:lang w:val="es-GT"/>
        </w:rPr>
      </w:pPr>
      <w:r>
        <w:rPr>
          <w:lang w:val="es-GT"/>
        </w:rPr>
        <w:t xml:space="preserve">Los diagramas fueron confeccionados utilizando el software OWASP Threat Dragon. El Nivel 0 proporciona una representación del contexto del sistema, el Nivel 1 desglosa los procesos, almacenes y flujos principales con sus respectivas fronteras de confianza, mientras que el Nivel 2 especifica el servicio de API y el circuito de préstamos, que se refiere a la integración con terceros y middleware.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8" w:name="_Toc900108"/>
      <w:r>
        <w:rPr>
          <w:b/>
          <w:lang w:val="es-GT"/>
        </w:rPr>
        <w:t xml:space="preserve">3.1 Nivel 0: contexto</w:t>
      </w:r>
      <w:bookmarkEnd w:id="108"/>
    </w:p>
    <w:p>
      <w:pPr>
        <w:ind w:firstLine="720"/>
        <w:rPr>
          <w:lang w:val="es-GT"/>
        </w:rPr>
      </w:pPr>
      <w:r>
        <w:rPr>
          <w:lang w:val="es-GT"/>
        </w:rPr>
        <w:t xml:space="preserve">ParaBank está en interacción con cuatro entidades externas: el cliente, el administrador, el sistema integrador que consume las interfaces de programación de aplicaciones (APIs) y el proveedor externo de préstamos. La frontera TB1 distingue la aplicación de Internet, mientras que la frontera TB3 distingue la aplicación del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0: contexto de ParaBank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528571"/>
            <wp:docPr id="600" name="Figura 1" descr="DFD nivel 0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" name="dfd_nivel0.png"/>
                    <pic:cNvPicPr/>
                  </pic:nvPicPr>
                  <pic:blipFill>
                    <a:blip r:embed="rIdDfd0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09" w:name="_Toc900109"/>
      <w:r>
        <w:rPr>
          <w:b/>
          <w:lang w:val="es-GT"/>
        </w:rPr>
        <w:t xml:space="preserve">3.2 Nivel 1: procesos, almacenes y fronteras</w:t>
      </w:r>
      <w:bookmarkEnd w:id="109"/>
    </w:p>
    <w:p>
      <w:pPr>
        <w:ind w:firstLine="720"/>
        <w:rPr>
          <w:lang w:val="es-GT"/>
        </w:rPr>
      </w:pPr>
      <w:r>
        <w:rPr>
          <w:lang w:val="es-GT"/>
        </w:rPr>
        <w:t xml:space="preserve">El Nivel 1 distingue la interfaz web, los servicios SOAP/REST, la lógica empresarial, el procesador de préstamos y la gestión. Las unidades de almacenamiento comprenden la base de datos HyperSQL, el intermediario ActiveMQ y las bitácoras. Los procesos y los almacenes fueron modelados de manera independiente para prevenir la confusión de las reglas de STRIDE entre ambos.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1: procesos, almacenes y fronteras de confianza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447004"/>
            <wp:docPr id="601" name="Figura 2" descr="DFD nivel 1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" name="dfd_nivel1.png"/>
                    <pic:cNvPicPr/>
                  </pic:nvPicPr>
                  <pic:blipFill>
                    <a:blip r:embed="rIdDfd1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44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elementos con borde rojo tienen amenazas asociadas. 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0" w:name="_Toc900110"/>
      <w:r>
        <w:rPr>
          <w:b/>
          <w:lang w:val="es-GT"/>
        </w:rPr>
        <w:t xml:space="preserve">3.3 Nivel 2: API de servicios y procesador de préstamos</w:t>
      </w:r>
      <w:bookmarkEnd w:id="110"/>
    </w:p>
    <w:p>
      <w:pPr>
        <w:ind w:firstLine="720"/>
        <w:rPr>
          <w:lang w:val="es-GT"/>
        </w:rPr>
      </w:pPr>
      <w:r>
        <w:rPr>
          <w:lang w:val="es-GT"/>
        </w:rPr>
        <w:t xml:space="preserve">Este nivel desglosa el servicio de API en aspectos como la autenticación, las transferencias y pagos, la administración de clientes y la solicitud de préstamo, y expone el proceso de transmisión de mensajes a través de la cola JMS hasta el proveedor externo.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DFD Nivel 2: API de servicios y procesador de préstamos</w:t>
      </w:r>
    </w:p>
    <w:p>
      <w:pPr>
        <w:keepNext/>
        <w:spacing w:before="120" w:after="60"/>
        <w:jc w:val="center"/>
        <w:rPr>
          <w:lang w:val="es-GT"/>
        </w:rPr>
      </w:pPr>
      <w:r>
        <w:drawing>
          <wp:inline distT="0" distB="0" distL="0" distR="0">
            <wp:extent cx="5900000" cy="2566561"/>
            <wp:docPr id="602" name="Figura 3" descr="DFD nivel 2 de ParaB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" name="dfd_nivel2.png"/>
                    <pic:cNvPicPr/>
                  </pic:nvPicPr>
                  <pic:blipFill>
                    <a:blip r:embed="rIdDfd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256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1" w:name="_Toc900111"/>
      <w:r>
        <w:rPr>
          <w:b/>
          <w:lang w:val="es-GT"/>
        </w:rPr>
        <w:t xml:space="preserve">3.4 Fronteras de confianza</w:t>
      </w:r>
      <w:bookmarkEnd w:id="111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Fronteras de confianza identificadas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900"/>
        <w:gridCol w:w="3300"/>
        <w:gridCol w:w="2000"/>
        <w:gridCol w:w="3206"/>
      </w:tblGrid>
      <w:tr>
        <w:trPr>
          <w:cantSplit/>
          <w:tblHeader/>
        </w:trPr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Frontera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Separa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Flujos que la cruzan</w:t>
            </w:r>
          </w:p>
        </w:tc>
        <w:tc>
          <w:tcPr>
            <w:tcW w:w="32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Motivo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TB1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Internet y redes no confiables | Aplicación en Tomcat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F01, F02, F03, F10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donde entra todo dato no confiable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TB2</w:t>
            </w:r>
          </w:p>
        </w:tc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Base de datos y broker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F06, F08, F11</w:t>
            </w:r>
          </w:p>
        </w:tc>
        <w:tc>
          <w:tcPr>
            <w:tcW w:w="32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Los datos de mayor valor están al otro lado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TB3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Aplicación | Proveedores externos de préstamos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F09</w:t>
            </w:r>
          </w:p>
        </w:tc>
        <w:tc>
          <w:tcPr>
            <w:tcW w:w="32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Es un tercero fuera del control del equipo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2" w:name="_Toc900112"/>
      <w:r>
        <w:rPr>
          <w:b/>
          <w:lang w:val="es-GT"/>
        </w:rPr>
        <w:t xml:space="preserve">4. Análisis de amenazas con STRIDE</w:t>
      </w:r>
      <w:bookmarkEnd w:id="112"/>
    </w:p>
    <w:p>
      <w:pPr>
        <w:ind w:firstLine="720"/>
        <w:rPr>
          <w:lang w:val="es-GT"/>
        </w:rPr>
      </w:pPr>
      <w:r>
        <w:rPr>
          <w:lang w:val="es-GT"/>
        </w:rPr>
        <w:t xml:space="preserve">Se implementó la metodología STRIDE a cada flujo, proceso y almacén representado en el diagrama. Las 23 amenazas fueron identificadas manualmente, respaldadas por el código fuente; no se originan a partir del motor automático de Threat Dragon. Además, se aconseja implementar la generación automática de la herramienta, cotejar ambas listas y documentar las discrepancias detectadas.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3" w:name="_Toc900113"/>
      <w:r>
        <w:rPr>
          <w:b/>
          <w:lang w:val="es-GT"/>
        </w:rPr>
        <w:t xml:space="preserve">4.1 Matriz STRIDE consolidada</w:t>
      </w:r>
      <w:bookmarkEnd w:id="11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Cantidad de amenazas por elemento y categoría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606"/>
        <w:gridCol w:w="800"/>
        <w:gridCol w:w="800"/>
        <w:gridCol w:w="800"/>
        <w:gridCol w:w="800"/>
        <w:gridCol w:w="800"/>
        <w:gridCol w:w="800"/>
        <w:gridCol w:w="1000"/>
      </w:tblGrid>
      <w:tr>
        <w:trPr>
          <w:cantSplit/>
          <w:tblHeader/>
        </w:trPr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Elemento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S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D</w:t>
            </w:r>
          </w:p>
        </w:tc>
        <w:tc>
          <w:tcPr>
            <w:tcW w:w="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E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Total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Gestión de clientes y cuentas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Autenticación y sesión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Administración y utilidades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Servicios SOAP/REST (Apache CXF)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Base de datos HyperSQL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Interfaz web (Spring MVC + JSP)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Transferencias, depósitos y pago de facturas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Procesador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Lógica de negocio y DAO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Bitácoras (log4j2)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Listener JMS de préstamos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Flujo F09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/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</w:tr>
      <w:tr>
        <w:trPr>
          <w:cantSplit/>
        </w:trPr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Total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23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S = Spoofing, T = Tampering, R = Repudiation, I = Information Disclosure, D = Denial of Service, E = Elevation of Privilege.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4" w:name="_Toc900114"/>
      <w:r>
        <w:rPr>
          <w:b/>
          <w:lang w:val="es-GT"/>
        </w:rPr>
        <w:t xml:space="preserve">4.2 Inventario de amenazas y descripción técnica</w:t>
      </w:r>
      <w:bookmarkEnd w:id="114"/>
    </w:p>
    <w:p>
      <w:pPr>
        <w:ind w:firstLine="720"/>
        <w:rPr>
          <w:lang w:val="es-GT"/>
        </w:rPr>
      </w:pPr>
      <w:r>
        <w:rPr>
          <w:lang w:val="es-GT"/>
        </w:rPr>
        <w:t xml:space="preserve">La Tabla 6 detalla cada amenaza, indicando el flujo de información, la frontera de confianza que se traspasa y el impacto concreto sobre el componente afectado. La columna final diferencia lo que ha sido confirmado en el código de lo que constituye una hipótesis a verificar.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6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Amenazas identificadas con STRIDE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1700"/>
        <w:gridCol w:w="1200"/>
        <w:gridCol w:w="1300"/>
        <w:gridCol w:w="4606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STRIDE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Elemento</w:t>
            </w:r>
          </w:p>
        </w:tc>
        <w:tc>
          <w:tcPr>
            <w:tcW w:w="4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Descripción técnica y evidencia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Gestión de clientes y cuentas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DAO arma el UPDATE concatenando customer.getFirstName() dentro de la sentencia; el dato cruza TB1 por POST /customers/update/{id} y llega sin parametrizar al motor HyperSQL (F06/G07). Un atacante puede cerrar la cadena e inyectar SQL que altere o exponga filas de Customer. Evidencia: Confirmado en código (JdbcCustomerDao.updateCustomer; el propio comentario indica que el fallo es intencional). Existe SecureJdbcCustomerDao con parámetros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servicio REST recibe usuario y contraseña como segmentos de la ruta. Al cruzar TB1 quedan en el historial del navegador, en logs de Tomcat, proxies y cabeceras Referer, aun si el canal fuera cifrado. Evidencia: Confirmado en código (@Path("/login/{username}/{password}") en 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mapeo protegido por LoginInterceptor solo cubre nueve páginas de cliente; admin.htm, db.htm, initializeDB.htm y jms.htm no figuran, por lo que cualquiera que llegue a Tomcat podría cambiar parámetros, reiniciar la BD o detener el listener JMS (F10, F11, F13). Evidencia: Confirmado en parabank-servlet.xml (secureHandlerMapping). A validar: que no exista otro filtro o regla de red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interfaz de servicio publica operaciones destructivas y de configuración sin mecanismo de autenticación visible en la propia interfaz. Un cliente API externo que cruza TB1 puede borrar datos, reinicializar la BD o apagar la mensajería (F03, F05). Evidencia: Confirmado la exposición de rutas en ParaBankService. A validar: ausencia de control de acceso en la implementación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Rutas como /accounts/{accountId}, /customers/{customerId} y /transactions/{id} reciben identificadores secuenciales; la interfaz no muestra verificación de que el recurso pertenezca al llamante. Un atacante autenticado o anónimo puede enumerar identificadores y leer datos personales y financieros (F03, F05). Evidencia: Hipótesis a validar con pruebas autorizadas: la interfaz no muestra control de propiedad del recurso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tabla Customer guarda password y ssn y el login compara el valor directamente en SQL (username = ? AND password = ?), lo que implica almacenamiento en texto claro. Una lectura de la BD (por ejemplo vía T01 o por el puerto 9001) expone credenciales y datos de identidad (F06). Evidencia: Confirmado en código (JdbcCustomerDao: BASE_QUERY_SQL y consulta de login)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Base de datos HyperSQL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jdbc.properties define jdbc.username=sa con contraseña vacía y el servidor HyperSQL escucha por TCP (9001). Cualquier host con alcance de red puede conectarse como administrador de la BD y saltar toda la lógica de la aplicación (F06, F11). Evidencia: Confirmado en jdbc.properties y README (puerto 9001)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broker se publica en todas las interfaces y la configuración no declara plugin de autenticación ni autorización. Un tercero puede inyectar o leer mensajes de solicitud y respuesta de préstamos que cruzan TB2 (F08). Evidencia: Confirmado en applicationContext-jms.xml (transportConnector tcp://0.0.0.0:61616; sin plugin de seguridad en ese bloque)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F01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despliegue por defecto en Tomcat usa HTTP. Los flujos F01, F02, F03 y F10 cruzan la frontera de Internet con Provides Confidentiality = No e Integrity = No, de modo que un atacante en la ruta puede leer credenciales y cookie JSESSIONID o modificar montos. Evidencia: Supuesto de despliegue por defecto; depende de la instalación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encontraron referencias a token anti-CSRF en el código. Una página maliciosa puede hacer que el navegador de la víctima, con sesión activa, envíe un POST a transfer.htm o billpay.htm sin su consentimiento (F01). Evidencia: Hipótesis: búsqueda de 'csrf' sin resultados en el código fuente analizado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Transferencias, depósitos y pago de facturas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Monto, cuenta origen y destino llegan como parámetros del cliente a /transfer, /deposit, /withdraw y /billpay (G02). Sin validación de negocio en el servidor ni integridad del canal, un atacante puede modificar el monto o ejecutar operaciones en nombre de otro. Evidencia: Hipótesis a validar: depende de las validaciones de la implementación del servicio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Autenticación y sesión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observa limitación de intentos ni bloqueo de cuenta; el login por ruta facilita el scripting masivo (G01, G05). Un atacante con listas de credenciales filtradas puede suplantar clientes legítimos. Evidencia: Hipótesis: no se identificó rate limiting ni bloqueo en el código revisado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Procesador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loanProcessorThreshold y accessmode se leen de la tabla Parameter y pueden modificarse con setParameter o admin.htm. Combinado con las amenazas de acceso administrativo, un atacante puede forzar aprobaciones fraudulentas de préstamos (F13). Evidencia: Confirmado el uso del parámetro en AbstractLoanProcessor; la explotación depende de T03 y T04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Information Disclosure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ParaBankService está anotado con @CrossOriginResourceSharing(allowAllOrigins = true). Cualquier sitio web puede invocar la API desde el navegador de un usuario autenticado y leer la respuesta (F03). Evidencia: Confirmado en código (ParaBankService)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Las transacciones no llevan firma ni sello de tiempo verificable del cliente; si este niega una operación, el banco solo cuenta con su propio registro (F04, F12). Evidencia: Hipótesis: no se hallaron firmas ni confirmación fuerte de operaciones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Repudiation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Administración y utilidades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Como el módulo administrativo no exige autenticación, los cambios de parámetros, reinicios de BD y paradas de JMS no pueden atribuirse a una persona (F10, F11, F13). Evidencia: Consecuencia de T03; a validar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Tampering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(log4j2)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logs de log4j2 se escriben en archivo local sin protección de integridad; un atacante con acceso al host puede borrar rastros, y los registros pueden contener identificadores de clientes (F12). Evidencia: Hipótesis: configuración de log4j2 por defecto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Sin rate limiting ni cuotas, un cliente puede saturar Tomcat o la BD con peticiones masivas (F03, F05, F06). Evidencia: Hipótesis: no se identificó limitación de tasa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Denial of Service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Listener JMS de préstamos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 listener usa 5 consumidores concurrentes y el broker no es persistente; una avalancha de solicitudes puede saturar la cola o perder mensajes legítimos (G08, G09). Evidencia: Confirmado en applicationContext-jms.xml (concurrentConsumers=5; persistent=false)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Flujo F09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respuesta del proveedor cruza TB3 por WS/JMS; sin autenticación mutua ni firma, un tercero puede responder aprobaciones falsas. Evidencia: Hipótesis: depende de la configuración del proveedor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Servicios SOAP/REST (Apache CXF)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Los endpoints SOAP procesan XML con JAXB/CXF; si el parser permite entidades externas, un mensaje manipulado puede leer archivos del servidor o provocar SSRF (F03). Evidencia: Hipótesis a validar con revisión de la configuración del parser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Elevation of Privilege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Lógica de negocio y DAO</w:t>
            </w:r>
          </w:p>
        </w:tc>
        <w:tc>
          <w:tcPr>
            <w:tcW w:w="4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 aplicación depende de Spring, CXF, WSS4J, ActiveMQ y Tomcat. Una vulnerabilidad conocida en cualquiera permite ejecución remota o escalamiento sin tocar el código propio. Evidencia: Riesgo general de cadena de suministro; verificable con SCA sobre pom.xml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Spoofing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Interfaz web (Spring MVC + JSP)</w:t>
            </w:r>
          </w:p>
        </w:tc>
        <w:tc>
          <w:tcPr>
            <w:tcW w:w="4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No se verificó que JSESSIONID use Secure, HttpOnly y SameSite ni que exista timeout por inactividad; una sesión robada permite suplantar al cliente (F02). Evidencia: Hipótesis a validar en web.xml y en la configuración de Tomcat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base en el código de ParaBank (Parasoft, 2026).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5" w:name="_Toc900115"/>
      <w:r>
        <w:rPr>
          <w:b/>
          <w:lang w:val="es-GT"/>
        </w:rPr>
        <w:t xml:space="preserve">4.3 Registro de validación técnica</w:t>
      </w:r>
      <w:bookmarkEnd w:id="115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7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Verificaciones realizadas contra el código fuente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3300"/>
        <w:gridCol w:w="6106"/>
      </w:tblGrid>
      <w:tr>
        <w:trPr>
          <w:cantSplit/>
          <w:tblHeader/>
        </w:trPr>
        <w:tc>
          <w:tcPr>
            <w:tcW w:w="3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Verificación</w:t>
            </w:r>
          </w:p>
        </w:tc>
        <w:tc>
          <w:tcPr>
            <w:tcW w:w="6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Rutas protegidas por LoginInterceptor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Solo nueve páginas de cliente en secureHandlerMapping; no incluye admin, db, initializeDB ni jms (T03)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El UPDATE de Customer concatena firstName (T01); el resto de los DAO usa parámetros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de la base de datos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jdbc.username=sa con contraseña vacía (T07)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de mensajería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tcp://0.0.0.0:61616 sin plugin de seguridad en ese bloque (T08)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CORS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@CrossOriginResourceSharing(allowAllOrigins = true) (T14)</w:t>
            </w:r>
          </w:p>
        </w:tc>
      </w:tr>
      <w:tr>
        <w:trPr>
          <w:cantSplit/>
        </w:trPr>
        <w:tc>
          <w:tcPr>
            <w:tcW w:w="3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Token anti-CSRF</w:t>
            </w:r>
          </w:p>
        </w:tc>
        <w:tc>
          <w:tcPr>
            <w:tcW w:w="6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La búsqueda de «csrf» en el código no arrojó resultados (T10)</w:t>
            </w:r>
          </w:p>
        </w:tc>
      </w:tr>
      <w:tr>
        <w:trPr>
          <w:cantSplit/>
        </w:trPr>
        <w:tc>
          <w:tcPr>
            <w:tcW w:w="3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Validación con Arquitectura y Desarrollo</w:t>
            </w:r>
          </w:p>
        </w:tc>
        <w:tc>
          <w:tcPr>
            <w:tcW w:w="6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Pendiente: las hipótesis requieren pruebas autorizadas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4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Lista de amenazas de un elemento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«Amenazas» al seleccionar un elemento con borde rojo, por ejemplo «Administración y utilidades»]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Figura 5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Propiedades de un flujo de datos en Threat Dragon</w:t>
      </w:r>
    </w:p>
    <w:p>
      <w:pPr>
        <w:keepNext/>
        <w:pBdr>
          <w:top w:val="single" w:sz="4" w:space="6" w:color="999999"/>
          <w:left w:val="single" w:sz="4" w:space="6" w:color="999999"/>
          <w:bottom w:val="single" w:sz="4" w:space="6" w:color="999999"/>
          <w:right w:val="single" w:sz="4" w:space="6" w:color="999999"/>
        </w:pBdr>
        <w:spacing w:before="240" w:after="240"/>
        <w:jc w:val="center"/>
        <w:rPr>
          <w:lang w:val="es-GT"/>
        </w:rPr>
      </w:pPr>
      <w:r>
        <w:rPr>
          <w:highlight w:val="yellow"/>
          <w:lang w:val="es-GT"/>
        </w:rPr>
        <w:t xml:space="preserve">[Insertar aquí: captura del panel «Propiedades» de un flujo, mostrando protocolo HTTP y cifrado desactivado]</w:t>
      </w:r>
    </w:p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 con OWASP Threat Dragon.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16" w:name="_Toc900116"/>
      <w:r>
        <w:rPr>
          <w:b/>
          <w:lang w:val="es-GT"/>
        </w:rPr>
        <w:t xml:space="preserve">5. Priorización de riesgos</w:t>
      </w:r>
      <w:bookmarkEnd w:id="116"/>
    </w:p>
    <w:p>
      <w:pPr>
        <w:ind w:firstLine="720"/>
        <w:rPr>
          <w:lang w:val="es-GT"/>
        </w:rPr>
      </w:pPr>
      <w:r>
        <w:rPr>
          <w:lang w:val="es-GT"/>
        </w:rPr>
        <w:t xml:space="preserve">El impacto se evalúa en términos de Crítico (4), Alto (3), Medio (2) o Bajo (1), mientras que la probabilidad se clasifica en Muy Alta (4), Alta (3), Media (2) o Baja (1). El riesgo es el resultado de ambos factores: Crítico si la puntuación es de 9 o más, Alto si es de 6 a 8, Medio si es de 3 a 5 y Bajo si es de 1 a 2. Esta norma replica la tabla del enunciado correspondiente a la tarea (Alto con Alto es Crítico, Medio con Medio es Medio y Bajo con Bajo es Bajo).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7" w:name="_Toc900117"/>
      <w:r>
        <w:rPr>
          <w:b/>
          <w:lang w:val="es-GT"/>
        </w:rPr>
        <w:t xml:space="preserve">5.1 Matriz de riesgos</w:t>
      </w:r>
      <w:bookmarkEnd w:id="117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8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Matriz de riesgos por impacto y probabilidad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906"/>
        <w:gridCol w:w="1875"/>
        <w:gridCol w:w="1875"/>
        <w:gridCol w:w="1875"/>
        <w:gridCol w:w="1875"/>
      </w:tblGrid>
      <w:tr>
        <w:trPr>
          <w:cantSplit/>
          <w:tblHeader/>
        </w:trPr>
        <w:tc>
          <w:tcPr>
            <w:tcW w:w="19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 \ Probabilidad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87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Baja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T03, T04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T06, T07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T02, T05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T08, T09, T10, T11, T12, T13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T20, T21, T22</w:t>
            </w:r>
          </w:p>
        </w:tc>
      </w:tr>
      <w:tr>
        <w:trPr>
          <w:cantSplit/>
        </w:trPr>
        <w:tc>
          <w:tcPr>
            <w:tcW w:w="19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T14, T15, T16, T18, T19, T23</w:t>
            </w:r>
          </w:p>
        </w:tc>
        <w:tc>
          <w:tcPr>
            <w:tcW w:w="1875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T17</w:t>
            </w:r>
          </w:p>
        </w:tc>
      </w:tr>
      <w:tr>
        <w:trPr>
          <w:cantSplit/>
        </w:trPr>
        <w:tc>
          <w:tcPr>
            <w:tcW w:w="19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Cada celda indica el nivel de riesgo y las amenazas que le corresponden.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8" w:name="_Toc900118"/>
      <w:r>
        <w:rPr>
          <w:b/>
          <w:lang w:val="es-GT"/>
        </w:rPr>
        <w:t xml:space="preserve">5.2 Top 10 de hallazgos prioritarios</w:t>
      </w:r>
      <w:bookmarkEnd w:id="118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9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Diez amenazas de mayor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500"/>
        <w:gridCol w:w="700"/>
        <w:gridCol w:w="4306"/>
        <w:gridCol w:w="1100"/>
        <w:gridCol w:w="1500"/>
        <w:gridCol w:w="1300"/>
      </w:tblGrid>
      <w:tr>
        <w:trPr>
          <w:cantSplit/>
          <w:tblHeader/>
        </w:trPr>
        <w:tc>
          <w:tcPr>
            <w:tcW w:w="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#</w:t>
            </w:r>
          </w:p>
        </w:tc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ID</w:t>
            </w:r>
          </w:p>
        </w:tc>
        <w:tc>
          <w:tcPr>
            <w:tcW w:w="43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Hallazgo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Impacto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Probabilidad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8"/>
                <w:szCs w:val="18"/>
                <w:lang w:val="es-GT"/>
              </w:rPr>
              <w:t xml:space="preserve">Nivel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T01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Inyección SQL en la actualización de clientes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Muy 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2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T03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3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T04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4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T02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5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T05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6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T06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7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T07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Crítico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8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T08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9</w:t>
            </w:r>
          </w:p>
        </w:tc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T09</w:t>
            </w:r>
          </w:p>
        </w:tc>
        <w:tc>
          <w:tcPr>
            <w:tcW w:w="43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10</w:t>
            </w:r>
          </w:p>
        </w:tc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T10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CSRF sobre transferencias y pagos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Media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8"/>
                <w:szCs w:val="18"/>
                <w:lang w:val="es-GT"/>
              </w:rPr>
              <w:t xml:space="preserve">Alto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 ranking completo de las 23 amenazas se presenta en la Tabla 12. 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19" w:name="_Toc900119"/>
      <w:r>
        <w:rPr>
          <w:b/>
          <w:lang w:val="es-GT"/>
        </w:rPr>
        <w:t xml:space="preserve">5.3 Tratamiento del riesgo</w:t>
      </w:r>
      <w:bookmarkEnd w:id="119"/>
    </w:p>
    <w:p>
      <w:pPr>
        <w:ind w:firstLine="720"/>
        <w:rPr>
          <w:lang w:val="es-GT"/>
        </w:rPr>
      </w:pPr>
      <w:r>
        <w:rPr>
          <w:lang w:val="es-GT"/>
        </w:rPr>
        <w:t xml:space="preserve">Conforme a las estrategias discutidas en el aula, se plantea la mitigación de todas las amenazas críticas y elevadas, la transferencia de una porción del riesgo de interrupción del servicio a través de protección anti-DDoS o un servicio administrado, la aceptación formal de la amenaza de nivel Bajo (T17) con revisión periódica, y la evitación de la divulgación de las operaciones de mantenimiento en producción.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0" w:name="_Toc900120"/>
      <w:r>
        <w:rPr>
          <w:b/>
          <w:lang w:val="es-GT"/>
        </w:rPr>
        <w:t xml:space="preserve">6. Casos de abuso</w:t>
      </w:r>
      <w:bookmarkEnd w:id="120"/>
    </w:p>
    <w:p>
      <w:pPr>
        <w:ind w:firstLine="720"/>
        <w:rPr>
          <w:lang w:val="es-GT"/>
        </w:rPr>
      </w:pPr>
      <w:r>
        <w:rPr>
          <w:lang w:val="es-GT"/>
        </w:rPr>
        <w:t xml:space="preserve">Para cada amenaza crítica o elevada, se registró el objetivo del atacante, el vector, las precondiciones, el método de explotación, el impacto y los controles preventivos, detectivos y correctivos propuestos.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10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Catálogo de casos de abuso para amenazas críticas y altas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2600"/>
        <w:gridCol w:w="1300"/>
        <w:gridCol w:w="3106"/>
      </w:tblGrid>
      <w:tr>
        <w:trPr>
          <w:cantSplit/>
          <w:tblHeader/>
        </w:trPr>
        <w:tc>
          <w:tcPr>
            <w:tcW w:w="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Actor y objetivo</w:t>
            </w:r>
          </w:p>
        </w:tc>
        <w:tc>
          <w:tcPr>
            <w:tcW w:w="2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Vector, precondición y método</w:t>
            </w:r>
          </w:p>
        </w:tc>
        <w:tc>
          <w:tcPr>
            <w:tcW w:w="13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Impacto</w:t>
            </w:r>
          </w:p>
        </w:tc>
        <w:tc>
          <w:tcPr>
            <w:tcW w:w="31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con acceso a la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o modificar datos de todos los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/customers/update/{id} con firstName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servicio y un ID de cliente válido.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Cerrar la cadena con una comilla y concatenar sentencias o subconsultas sobre la tabla Customer.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integridad y confidencialidad de la base de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Consultas parametrizadas, validación de entrada, BD con mínimo privilegio.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WAF y SIEM con reglas de inyección, alerta de errores SQL.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Revocar credenciales, restaurar desde respaldo, corregir el DAO y notificar el incidente.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red o con acceso a logs.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Obtener credenciales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logs de Tomcat, proxies o historial con la URL de 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logs o al tráfico.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Extraer usuario y contraseña de la ruta /login/{usuario}/{contraseña}.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Toma de cuentas bancarias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Login por POST con token y TLS.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DLP sobre logs, alerta de accesos desde ubicaciones nuevas.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Forzar cambio de contraseñas expuestas y depurar logs.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control administrativo de la aplicación.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Navegar a /parabank/admin.htm, db.htm o jms.htm.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HTTP al servidor.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parámetros, reinicializar la BD o apagar el listener JMS desde las páginas administrativas.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de datos, fraude por parámetros alterados y caída del servicio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Rol ADMIN con MFA y acceso solo desde red de gestión.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acceso a rutas administrativas.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Restaurar parámetros y BD, rotar credenciales y cerrar la exposición.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API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Destruir datos o dejar fuera de servicio el sistema.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POST /services/bank/cleanDB, /initializeDB, /shutdownJmsListener.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 /services.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Invocar directamente las operaciones de mantenimiento.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 total de datos y disponibilidad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Retirar o proteger con OAuth 2.0 y scope administrativo.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Registro y alerta de invocaciones de mantenimiento.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Restauración desde respaldo y revisión del gateway.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autenticado malicioso o anónimo.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Leer datos financieros y personales ajenos.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GET /accounts/{id} y /customers/{id} con IDs secuenciales.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Conocer o adivinar el formato del ID.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Enumeración de identificadores.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Exposición de PII y saldos de múltiples clientes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Autorización a nivel de objeto e IDs no predecibles.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barridos secuenciales de IDs.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sesiones, notificar y corregir las comprobaciones.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 datos.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Usar credenciales y SSN en claro.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Lectura de la tabla Customer (inyección SQL o acceso directo a la BD).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Cualquier acceso de lectura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SELECT de usernames, passwords y SSN.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Robo masivo de identidades y reutilización de contraseñas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Hash Argon2id y cifrado de SSN.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por consultas masivas sobre Customer.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Rotación forzada de credenciales y notificación a clientes.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 la BD.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Controlar la base de datos.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JDBC/TCP al puerto 9001 como sa sin contraseña.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de red al puerto.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Conectar con un cliente JDBC y ejecutar SQL libre.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Lectura, modificación y destrucción total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Cuenta de servicio de mínimo privilegio, bóveda de secretos y segmentación.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Logging de conexiones y alertas por orígenes nuevos.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Rotar credenciales y reconstruir desde respaldo.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alcance de red al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Falsificar o leer solicitudes de préstamo.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Conexión a tcp://host:61616.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Alcance al puerto del broker.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Publicar mensajes de respuesta con aprobación o consumir solicitudes.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Préstamos fraudulentos y fuga de datos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Autenticación, ACL, TLS y enlace a red interna.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Alertas de conexiones y mensajes anómalos.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Purgar colas, rotar credenciales y revisar préstamos aprobados.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en la ruta de red (MITM).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Capturar credenciales y sesiones.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Intercepción del tráfico HTTP del cliente.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Posición de red intermedia (Wi-Fi público, proxy).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Sniffing de F01/F02 para obtener contraseña o JSESSIONID.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y fraude con la cuenta de la víctima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TLS 1.2+, HSTS y cookies Secure.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Monitoreo de sesiones simultáneas.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Invalidar sesiones y forzar cambio de contraseña.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externo.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Transferir fondos desde cuentas de víctimas.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Página maliciosa que dispara POST a transfer.htm.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La víctima tiene sesión activa.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Formulario auto-enviado o petición cruzada de sitio.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Transferencias no autorizadas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Token CSRF, SameSite y OTP en operaciones de valor.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Reglas antifraude por monto y beneficiario nuevo.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Reversar transferencias y reforzar controles.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Cliente malicioso.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Alterar monto o cuenta de una operación.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parámetros en POST /transfer o /billpay.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Sesión válida o acceso al API.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Cambiar amount o cuenta origen en la petición.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financiero y descuadre contable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Validación de negocio en servidor, firma e idempotencia.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Conciliación y reglas antifraude.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Reversión y ajuste contable.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listas de credenciales filtradas.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Tomar cuentas de clientes.</w:t>
            </w:r>
          </w:p>
        </w:tc>
        <w:tc>
          <w:tcPr>
            <w:tcW w:w="2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Peticiones automatizadas a /login.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Listas de usuarios y contraseñas.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Credential stuffing sin límite de intentos.</w:t>
            </w:r>
          </w:p>
        </w:tc>
        <w:tc>
          <w:tcPr>
            <w:tcW w:w="13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Fraude y daño reputacional</w:t>
            </w:r>
          </w:p>
        </w:tc>
        <w:tc>
          <w:tcPr>
            <w:tcW w:w="31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MFA, bloqueo progresivo y rate limiting.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SIEM con alerta de fallos repetidos.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Bloquear cuentas, forzar restablecimiento y notificar.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Atacante con acceso administrativo (por T03/T04).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Objetivo: Aprobar préstamos fraudulentos.</w:t>
            </w:r>
          </w:p>
        </w:tc>
        <w:tc>
          <w:tcPr>
            <w:tcW w:w="2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Vector: Modificar loanProcessorThreshold vía setParameter o admin.htm.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Precondición: Acceso a la administración.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Método: Subir el umbral para que toda solicitud sea aprobada.</w:t>
            </w:r>
          </w:p>
        </w:tc>
        <w:tc>
          <w:tcPr>
            <w:tcW w:w="13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Pérdidas por préstamos otorgados indebidamente</w:t>
            </w:r>
          </w:p>
        </w:tc>
        <w:tc>
          <w:tcPr>
            <w:tcW w:w="31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Preventivo: Doble aprobación y rangos válidos.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Detectivo: Alerta de cambios de parámetros.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Correctivo: Revertir parámetros y auditar préstamos aprobados.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left"/>
        <w:outlineLvl w:val="1"/>
        <w:rPr>
          <w:lang w:val="es-GT"/>
        </w:rPr>
      </w:pPr>
      <w:bookmarkStart w:id="121" w:name="_Toc900121"/>
      <w:r>
        <w:rPr>
          <w:b/>
          <w:lang w:val="es-GT"/>
        </w:rPr>
        <w:t xml:space="preserve">6.1 Árbol de ataque</w:t>
      </w:r>
      <w:bookmarkEnd w:id="121"/>
    </w:p>
    <w:p>
      <w:pPr>
        <w:ind w:firstLine="720"/>
        <w:rPr>
          <w:lang w:val="es-GT"/>
        </w:rPr>
      </w:pPr>
      <w:r>
        <w:rPr>
          <w:lang w:val="es-GT"/>
        </w:rPr>
        <w:t xml:space="preserve">El propósito de visualizar o modificar la información de los clientes puede lograrse mediante tres vías: a través de la aplicación (introduciendo SQL en T01, enumerando identificadores en T05 y exponiendo credenciales en la URL en T02), a través de la infraestructura (conectando directamente como sa en T07 y accediendo a páginas de administración sin autenticación en T03) y mediante la mensajería (remitiendo mensajes al broker abierto en T08). La existencia de múltiples trayectorias hacia un objetivo común explica por qué la mitigación debe abarcar todas las capas.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2" w:name="_Toc900122"/>
      <w:r>
        <w:rPr>
          <w:b/>
          <w:lang w:val="es-GT"/>
        </w:rPr>
        <w:t xml:space="preserve">7. Controles de seguridad</w:t>
      </w:r>
      <w:bookmarkEnd w:id="122"/>
    </w:p>
    <w:p>
      <w:pPr>
        <w:ind w:firstLine="720"/>
        <w:rPr>
          <w:lang w:val="es-GT"/>
        </w:rPr>
      </w:pPr>
      <w:r>
        <w:rPr>
          <w:lang w:val="es-GT"/>
        </w:rPr>
        <w:t xml:space="preserve">Cada amenaza fue vinculada a controles de aplicación, interfaz de programación de aplicaciones (API), infraestructura y monitoreo. La columna final contrasta el riesgo inicial con el riesgo residual proyectado tras su aplicación; estos son valores que deben ser validados con el equipo, no constituyen una garantía.</w:t>
      </w:r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11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Controles por amenaza y riesgo residual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200"/>
        <w:gridCol w:w="4806"/>
        <w:gridCol w:w="18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Amenaza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Controles</w:t>
            </w:r>
          </w:p>
        </w:tc>
        <w:tc>
          <w:tcPr>
            <w:tcW w:w="18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 inicial → residual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Sentencias parametrizadas y uso de SecureJdbcCustomerDao en toda ruta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esquema y longitud de campos en el endpoint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BD con privilegios mínimos distinta de sa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WAF/SIEM por patrones de inyección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Autenticar con POST y cuerpo, o con OAuth 2.0/OIDC con tokens de corta vida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Excluir rutas sensibles del registro de acceso y de proxies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credenciales en logs (DLP)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Autorización por rol (ADMIN) con deny-by-default en todas las rutas /admin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Publicar el módulo administrativo solo en red de gestión o VPN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para administradores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acceso a rutas administrativas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Separar la API operativa de la administrativa y exigir token con scope admin en esta última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API Gateway con listas de control de acceso por ruta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 de red: operaciones de mantenimiento solo desde red interna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Registro y alerta de invocaciones de mantenimiento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Autorización a nivel de objeto: comparar el ID del recurso con el sujeto del token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Identificadores no predecibles (UUID)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por enumeración secuencial de IDs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Hash con Argon2id o bcrypt con sal por usuario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Cifrado de columnas sensibles (SSN) y gestión de claves en bóveda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por consultas masivas sobre Customer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Cuenta de aplicación con privilegios mínimos y contraseña robusta en bóveda de secretos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Segmentación: BD accesible solo desde el servidor de aplicaciones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Hardening: deshabilitar la cuenta sa por defecto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Logging de conexiones a la BD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Medio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Enlazar el broker a localhost o red interna y exigir TLS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Autenticación y ACL por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Firmar los mensajes de préstamo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conexiones y mensajes anómalos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1.2+ obligatorio con redirección y HSTS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con Secure y HttpOnly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Monitoreo de certificados y de suites débiles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Token anti-CSRF por sesión en formularios de escritura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SameSite=Lax/Strict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Reautenticación o OTP para transferencias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de transferencias atípicas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Validación de negocio en el servidor: propiedad de la cuenta, saldo y límites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Firma o HMAC de la solicitud y control de idempotencia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TLS en tránsito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Reglas antifraude por monto y frecuencia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MFA y bloqueo progresivo de cuenta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por IP y por usuario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Política de contraseñas y verificación contra listas filtradas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SIEM con alerta de fallos de login repetidos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Cambios de parámetros críticos con doble aprobación (cuatro ojos)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Rangos válidos y límites máximos para el umbral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 y auditoría de cambios de parámetros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Lista blanca de orígenes permitidos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No combinar CORS abierto con credenciales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Confirmación con OTP o firma para operaciones relevantes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Bitácora de auditoría con hash encadenado y sincronización de tiempo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Cuentas nominales con roles para administración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Log centralizado de acciones administrativas hacia el SIEM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Envío en tiempo real a un SIEM con almacenamiento de solo anexado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Enmascarar datos personales en logs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Rate limiting y cuotas en el API Gateway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Protección anti-DDoS y autoescalado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picos de tráfico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Límite de solicitudes por cliente y tamaño de cola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Cola persistente y dead-letter queue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Alertas de profundidad de cola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TLS mutuo y firma de mensajes con validación de correlación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Conciliación de aprobaciones contra el proveedor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Deshabilitar DTD y entidades externas en el parser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API: Validar contra XSD y limitar tamaño de mensaje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Egress filtering desde el servidor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SCA en el pipeline (OWASP Dependency-Check) y SBOM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Infraestructura: Parcheo periódico de Tomcat y ActiveMQ</w:t>
            </w:r>
          </w:p>
        </w:tc>
        <w:tc>
          <w:tcPr>
            <w:tcW w:w="18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Aplicación: Cookie Secure/HttpOnly/SameSite, regeneración del ID al autenticar y timeout de 15 minutos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Monitoreo: Detección de sesiones simultáneas desde orígenes distintos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 → Bajo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3" w:name="_Toc900123"/>
      <w:r>
        <w:rPr>
          <w:b/>
          <w:lang w:val="es-GT"/>
        </w:rPr>
        <w:t xml:space="preserve">8. Matriz de riesgos y remediación</w:t>
      </w:r>
      <w:bookmarkEnd w:id="123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12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Plan de remediación ordenado por riesgo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900"/>
        <w:gridCol w:w="1100"/>
        <w:gridCol w:w="3606"/>
        <w:gridCol w:w="1200"/>
      </w:tblGrid>
      <w:tr>
        <w:trPr>
          <w:cantSplit/>
          <w:tblHeader/>
        </w:trPr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2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Riesgo</w:t>
            </w:r>
          </w:p>
        </w:tc>
        <w:tc>
          <w:tcPr>
            <w:tcW w:w="9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11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  <w:tc>
          <w:tcPr>
            <w:tcW w:w="36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 correctiva</w:t>
            </w:r>
          </w:p>
        </w:tc>
        <w:tc>
          <w:tcPr>
            <w:tcW w:w="12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Fecha objetivo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Inyección SQL en la actualización de clientes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Páginas de administración fuera del control de sesión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Endpoints de mantenimiento expuestos en la API (cleanDB, initializeDB, setParameter, shutdownJmsListener)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Credenciales viajan en la URL (GET /login/{usuario}/{contraseña})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Acceso a cuentas y clientes ajenos mediante identificadores (BOLA/IDOR)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2026-11-05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Contraseñas y SSN almacenados sin protección criptográfica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Cuenta sa sin contraseña y puerto HyperSQL 9001 accesible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Broker ActiveMQ en 0.0.0.0:61616 sin autenticación configurada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Tráfico HTTP sin TLS: credenciales y cookie de sesión interceptables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CSRF sobre transferencias y pagos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Manipulación de monto o cuenta en operaciones monetarias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Fuerza bruta y credential stuffing sobre el login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Alteración del umbral de aprobación de préstamos y del modo de acceso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Cabeceras CORS abiertas a cualquier origen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2027-01-05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Falta de no repudio en transacciones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Acciones administrativas sin identidad ni auditoría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Denegación de servicio por API sin límites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Inundación de solicitudes de préstamo sobre la cola JMS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Cookie de sesión sin atributos de endurecimiento verificados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Suplantación del proveedor de préstamos o respuesta falsa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Procesamiento XML inseguro en servicios SOAP (XXE)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2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Dependencias de terceros sin gestión de vulnerabilidades</w:t>
            </w:r>
          </w:p>
        </w:tc>
        <w:tc>
          <w:tcPr>
            <w:tcW w:w="9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  <w:tc>
          <w:tcPr>
            <w:tcW w:w="36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2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2027-10-05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2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Bitácoras modificables y con datos sensibles</w:t>
            </w:r>
          </w:p>
        </w:tc>
        <w:tc>
          <w:tcPr>
            <w:tcW w:w="9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  <w:tc>
          <w:tcPr>
            <w:tcW w:w="36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2027-04-05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Los responsables son roles genéricos y las fechas parten del 5 de octubre de 2026. Las amenazas críticas se programan primero. Elaboración propia.</w:t>
      </w:r>
    </w:p>
    <w:p>
      <w:pPr>
        <w:keepNext/>
        <w:spacing w:before="120"/>
        <w:jc w:val="center"/>
        <w:outlineLvl w:val="0"/>
        <w:rPr>
          <w:lang w:val="es-GT"/>
        </w:rPr>
      </w:pPr>
      <w:bookmarkStart w:id="124" w:name="_Toc900124"/>
      <w:r>
        <w:rPr>
          <w:b/>
          <w:lang w:val="es-GT"/>
        </w:rPr>
        <w:t xml:space="preserve">9. Roadmap de mejoras</w:t>
      </w:r>
      <w:bookmarkEnd w:id="124"/>
    </w:p>
    <w:p>
      <w:pPr>
        <w:keepNext/>
        <w:spacing w:before="120" w:after="0"/>
        <w:jc w:val="left"/>
        <w:rPr>
          <w:lang w:val="es-GT"/>
        </w:rPr>
      </w:pPr>
      <w:r>
        <w:rPr>
          <w:b/>
          <w:lang w:val="es-GT"/>
        </w:rPr>
        <w:t xml:space="preserve">Tabla 13</w:t>
      </w:r>
    </w:p>
    <w:p>
      <w:pPr>
        <w:keepNext/>
        <w:jc w:val="left"/>
        <w:rPr>
          <w:lang w:val="es-GT"/>
        </w:rPr>
      </w:pPr>
      <w:r>
        <w:rPr>
          <w:i/>
          <w:lang w:val="es-GT"/>
        </w:rPr>
        <w:t xml:space="preserve">Roadmap de mejoras por horizonte</w:t>
      </w:r>
    </w:p>
    <w:tbl>
      <w:tblPr>
        <w:tblW w:w="9406" w:type="dxa"/>
        <w:tblLayout w:type="fixed"/>
        <w:tblLook w:val="04A0" w:firstRow="1" w:lastRow="0" w:firstColumn="1" w:lastColumn="0" w:noHBand="0" w:noVBand="1"/>
      </w:tblPr>
      <w:tblGrid>
        <w:gridCol w:w="1500"/>
        <w:gridCol w:w="600"/>
        <w:gridCol w:w="1000"/>
        <w:gridCol w:w="4806"/>
        <w:gridCol w:w="1500"/>
      </w:tblGrid>
      <w:tr>
        <w:trPr>
          <w:cantSplit/>
          <w:tblHeader/>
        </w:trPr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Horizonte</w:t>
            </w:r>
          </w:p>
        </w:tc>
        <w:tc>
          <w:tcPr>
            <w:tcW w:w="6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ID</w:t>
            </w:r>
          </w:p>
        </w:tc>
        <w:tc>
          <w:tcPr>
            <w:tcW w:w="10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Severidad</w:t>
            </w:r>
          </w:p>
        </w:tc>
        <w:tc>
          <w:tcPr>
            <w:tcW w:w="480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Acción</w:t>
            </w:r>
          </w:p>
        </w:tc>
        <w:tc>
          <w:tcPr>
            <w:tcW w:w="15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b/>
                <w:sz w:val="16"/>
                <w:szCs w:val="16"/>
                <w:lang w:val="es-GT"/>
              </w:rPr>
              <w:t xml:space="preserve">Responsable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Reemplazar la concatenación por parámetros con nombre y habilitar siempre SecureJdbcCustomerDao; agregar prueba unitaria de inyección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Proteger las rutas administrativas con rol ADMIN y MFA, y separarlas del acceso público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de producción las operaciones de mantenimiento o protegerlas con OAuth 2.0 y scope administrativo detrás de un API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Retirar el login por GET y migrar a un flujo con token (OAuth 2.0/OIDC); depurar logs existentes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Crítico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verificación de propiedad en cada operación por ID y pruebas automatizadas de BOLA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Crear cuenta de servicio con mínimos privilegios, retirar sa, cerrar el puerto a la red y mover secretos a bóveda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Restringir el listener a la red interna, habilitar autenticación, ACL y TLS en ActiveMQ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Terminar TLS en un balanceador o en Tomcat, activar HSTS y marcar cookies Secure/HttpOnly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T12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Implementar MFA, bloqueo progresivo y rate limiting en el gateway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Corto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(0-3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T14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Sustituir allowAllOrigins por una lista de orígenes autorizados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T06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Migrar contraseñas a hash Argon2id y cifrar o tokenizar el SSN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Agregar token CSRF y SameSite en todos los formularios y exigir OTP para operaciones de alto valor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Validar propiedad, saldo y límites en servidor; agregar firma de solicitud e idempotencia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Alto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Imponer doble aprobación, validación de rangos y auditoría de los parámetros críticos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T15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evidencia de consentimiento (OTP, IP, dispositivo, hora) por cada transacción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T16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Registrar usuario, hora y valor anterior y nuevo en cada cambio administrativo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T18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Poner un API Gateway con cuotas y protección anti-DDoS delante de los servicios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T19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Definir cuotas, cola persistente y monitoreo de profundidad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T23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Configurar atributos de cookie, rotación de sesión y expiración por inactividad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Mediano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(3-6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T17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Bajo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Centralizar logs, protegerlos contra modificación y enmascarar datos sensibles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Infraestructura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T20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Exigir mTLS y firma en la integración con proveedores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Arquitectura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T21</w:t>
            </w:r>
          </w:p>
        </w:tc>
        <w:tc>
          <w:tcPr>
            <w:tcW w:w="10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Endurecer el parser XML y validar los mensajes contra el esquema</w:t>
            </w:r>
          </w:p>
        </w:tc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  <w:tr>
        <w:trPr>
          <w:cantSplit/>
        </w:trPr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Largo plazo</w:t>
            </w:r>
          </w:p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(6-12 meses)</w:t>
            </w:r>
          </w:p>
        </w:tc>
        <w:tc>
          <w:tcPr>
            <w:tcW w:w="6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T22</w:t>
            </w:r>
          </w:p>
        </w:tc>
        <w:tc>
          <w:tcPr>
            <w:tcW w:w="10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Medio</w:t>
            </w:r>
          </w:p>
        </w:tc>
        <w:tc>
          <w:tcPr>
            <w:tcW w:w="4806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Integrar SCA y SBOM al pipeline con política de fallo por severidad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</w:tcPr>
          <w:p>
            <w:pPr>
              <w:spacing w:after="0" w:line="240" w:lineRule="auto"/>
              <w:jc w:val="left"/>
              <w:rPr>
                <w:lang w:val="es-GT"/>
              </w:rPr>
            </w:pPr>
            <w:r>
              <w:rPr>
                <w:sz w:val="16"/>
                <w:szCs w:val="16"/>
                <w:lang w:val="es-GT"/>
              </w:rPr>
              <w:t xml:space="preserve">Desarrollo</w:t>
            </w:r>
          </w:p>
        </w:tc>
      </w:tr>
    </w:tbl>
    <w:p>
      <w:pPr>
        <w:spacing w:before="60"/>
        <w:jc w:val="left"/>
        <w:rPr>
          <w:lang w:val="es-GT"/>
        </w:rPr>
      </w:pPr>
      <w:r>
        <w:rPr>
          <w:i/>
          <w:lang w:val="es-GT"/>
        </w:rPr>
        <w:t xml:space="preserve">Nota. </w:t>
      </w:r>
      <w:r>
        <w:rPr>
          <w:lang w:val="es-GT"/>
        </w:rPr>
        <w:t xml:space="preserve">Elaboración propia.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5" w:name="_Toc900125"/>
      <w:r>
        <w:rPr>
          <w:b/>
          <w:lang w:val="es-GT"/>
        </w:rPr>
        <w:t xml:space="preserve">Conclusión</w:t>
      </w:r>
      <w:bookmarkEnd w:id="125"/>
    </w:p>
    <w:p>
      <w:pPr>
        <w:ind w:firstLine="720"/>
        <w:rPr>
          <w:lang w:val="es-GT"/>
        </w:rPr>
      </w:pPr>
      <w:r>
        <w:rPr>
          <w:lang w:val="es-GT"/>
        </w:rPr>
        <w:t xml:space="preserve">La modelización de amenazas de ParaBank revela que las vulnerabilidades más severas se encuentran en decisiones de diseño y configuración, no en fallos exóticos: una consulta SQL desarrollada con concatenación, credenciales transmitidas en la URL, funciones administrativas sin autenticación, una base de datos con la cuenta de administración sin contraseña y un gestor de mensajes expuesto. Las cinco amenazas críticas se alinean con lo anticipado en una prueba de penetración sobre una aplicación ya en producción; sin embargo, en este caso, se identificaron desde el diseño.</w:t>
      </w:r>
    </w:p>
    <w:p>
      <w:pPr>
        <w:ind w:firstLine="720"/>
        <w:rPr>
          <w:lang w:val="es-GT"/>
        </w:rPr>
      </w:pPr>
      <w:r>
        <w:rPr>
          <w:lang w:val="es-GT"/>
        </w:rPr>
        <w:t xml:space="preserve">Esta es la ventaja inherente a la implementación temprana de la seguridad. Corregir estas amenazas antes de su implementación demanda modificaciones limitadas, tales como la parametrización de consultas, la separación de la administración y la activación de autenticación y TLS. Hacerlo después implica reingeniería, adquisiciones de emergencia y riesgo para los clientes y las transacciones. La etapa subsecuente consiste en corroborar las hipótesis mediante pruebas autorizadas y colaborar con los equipos de Arquitectura y Desarrollo, manteniendo el modelo en Threat Dragon como un artefacto vivo en el ciclo de desarrollo seguro.</w:t>
      </w:r>
    </w:p>
    <w:p>
      <w:pPr>
        <w:keepNext/>
        <w:pageBreakBefore/>
        <w:spacing w:before="120"/>
        <w:jc w:val="center"/>
        <w:outlineLvl w:val="0"/>
        <w:rPr>
          <w:lang w:val="es-GT"/>
        </w:rPr>
      </w:pPr>
      <w:bookmarkStart w:id="126" w:name="_Toc900126"/>
      <w:r>
        <w:rPr>
          <w:b/>
          <w:lang w:val="es-GT"/>
        </w:rPr>
        <w:t xml:space="preserve">Referencias</w:t>
      </w:r>
      <w:bookmarkEnd w:id="126"/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López Sajquin, M. R. (2026). </w:t>
      </w:r>
      <w:r>
        <w:rPr>
          <w:i/>
          <w:lang w:val="es-GT"/>
        </w:rPr>
        <w:t xml:space="preserve">Modelado de amenazas en el diseño: DFD, STRIDE, PASTA y priorización</w:t>
      </w:r>
      <w:r>
        <w:rPr>
          <w:lang w:val="es-GT"/>
        </w:rPr>
        <w:t xml:space="preserve"> [Diapositivas de la semana 2]. Seguridad en Aplicaciones, Universidad Mariano Gálvez de Guatemala.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National Institute of Standards and Technology. (2022). </w:t>
      </w:r>
      <w:r>
        <w:rPr>
          <w:i/>
          <w:lang w:val="es-GT"/>
        </w:rPr>
        <w:t xml:space="preserve">Secure software development framework (SSDF) version 1.1: Recommendations for mitigating the risk of software vulnerabilities</w:t>
      </w:r>
      <w:r>
        <w:rPr>
          <w:lang w:val="es-GT"/>
        </w:rPr>
        <w:t xml:space="preserve"> (NIST SP 800-218). https://doi.org/10.6028/NIST.SP.800-218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Open Worldwide Application Security Project. (s. f.). </w:t>
      </w:r>
      <w:r>
        <w:rPr>
          <w:i/>
          <w:lang w:val="es-GT"/>
        </w:rPr>
        <w:t xml:space="preserve">OWASP Threat Dragon</w:t>
      </w:r>
      <w:r>
        <w:rPr>
          <w:lang w:val="es-GT"/>
        </w:rPr>
        <w:t xml:space="preserve">. https://owasp.org/www-project-threat-dragon/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Parasoft. (2026). </w:t>
      </w:r>
      <w:r>
        <w:rPr>
          <w:i/>
          <w:lang w:val="es-GT"/>
        </w:rPr>
        <w:t xml:space="preserve">ParaBank</w:t>
      </w:r>
      <w:r>
        <w:rPr>
          <w:lang w:val="es-GT"/>
        </w:rPr>
        <w:t xml:space="preserve"> [Software]. GitHub. https://github.com/parasoft/parabank</w:t>
      </w:r>
    </w:p>
    <w:p>
      <w:pPr>
        <w:ind w:left="720" w:hanging="720"/>
        <w:jc w:val="left"/>
        <w:rPr>
          <w:lang w:val="es-GT"/>
        </w:rPr>
      </w:pPr>
      <w:r>
        <w:rPr>
          <w:lang w:val="es-GT"/>
        </w:rPr>
        <w:t xml:space="preserve">Shostack, A. (2014). </w:t>
      </w:r>
      <w:r>
        <w:rPr>
          <w:i/>
          <w:lang w:val="es-GT"/>
        </w:rPr>
        <w:t xml:space="preserve">Threat modeling: Designing for security</w:t>
      </w:r>
      <w:r>
        <w:rPr>
          <w:lang w:val="es-GT"/>
        </w:rPr>
        <w:t xml:space="preserve">. Wiley.</w:t>
      </w:r>
    </w:p>
    <w:sectPr w:rsidR="005F209D" w:rsidRPr="00900852" w:rsidSect="00900852">
      <w:headerReference w:type="first" r:id="rId12"/>
      <w:pgSz w:w="12240" w:h="15840"/>
      <w:pgMar w:top="1417" w:right="1417" w:bottom="1417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FE16F" w14:textId="77777777" w:rsidR="003C64C8" w:rsidRDefault="003C64C8" w:rsidP="003C64C8">
      <w:pPr>
        <w:spacing w:after="0"/>
      </w:pPr>
      <w:r>
        <w:separator/>
      </w:r>
    </w:p>
  </w:endnote>
  <w:endnote w:type="continuationSeparator" w:id="0">
    <w:p w14:paraId="3B2362D7" w14:textId="77777777" w:rsidR="003C64C8" w:rsidRDefault="003C64C8" w:rsidP="003C6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4691B" w14:textId="77777777" w:rsidR="003C64C8" w:rsidRDefault="003C64C8" w:rsidP="003C64C8">
      <w:pPr>
        <w:spacing w:after="0"/>
      </w:pPr>
      <w:r>
        <w:separator/>
      </w:r>
    </w:p>
  </w:footnote>
  <w:footnote w:type="continuationSeparator" w:id="0">
    <w:p w14:paraId="344C5243" w14:textId="77777777" w:rsidR="003C64C8" w:rsidRDefault="003C64C8" w:rsidP="003C6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71661"/>
      <w:docPartObj>
        <w:docPartGallery w:val="Page Numbers (Top of Page)"/>
        <w:docPartUnique/>
      </w:docPartObj>
    </w:sdtPr>
    <w:sdtEndPr/>
    <w:sdtContent>
      <w:p w14:paraId="5C35C666" w14:textId="7ABFD8F1" w:rsidR="00900852" w:rsidRDefault="0090085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5B19F01" w14:textId="77777777" w:rsidR="00900852" w:rsidRDefault="0090085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047177">
    <w:abstractNumId w:val="8"/>
  </w:num>
  <w:num w:numId="2" w16cid:durableId="219295368">
    <w:abstractNumId w:val="6"/>
  </w:num>
  <w:num w:numId="3" w16cid:durableId="588347090">
    <w:abstractNumId w:val="5"/>
  </w:num>
  <w:num w:numId="4" w16cid:durableId="2143493970">
    <w:abstractNumId w:val="4"/>
  </w:num>
  <w:num w:numId="5" w16cid:durableId="1386685182">
    <w:abstractNumId w:val="7"/>
  </w:num>
  <w:num w:numId="6" w16cid:durableId="207036656">
    <w:abstractNumId w:val="3"/>
  </w:num>
  <w:num w:numId="7" w16cid:durableId="78841685">
    <w:abstractNumId w:val="2"/>
  </w:num>
  <w:num w:numId="8" w16cid:durableId="1991858548">
    <w:abstractNumId w:val="1"/>
  </w:num>
  <w:num w:numId="9" w16cid:durableId="26123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64C8"/>
    <w:rsid w:val="00454FF4"/>
    <w:rsid w:val="00526C6E"/>
    <w:rsid w:val="005F209D"/>
    <w:rsid w:val="006A2202"/>
    <w:rsid w:val="008600F3"/>
    <w:rsid w:val="00900852"/>
    <w:rsid w:val="00AA1D8D"/>
    <w:rsid w:val="00B15BFE"/>
    <w:rsid w:val="00B3153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22C00F"/>
  <w14:defaultImageDpi w14:val="300"/>
  <w15:docId w15:val="{42FAA0F6-620E-4E53-9566-F4A355ECE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C64C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C6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Dfd0" Type="http://schemas.openxmlformats.org/officeDocument/2006/relationships/image" Target="media/dfd_nivel0.png"/><Relationship Id="rIdDfd1" Type="http://schemas.openxmlformats.org/officeDocument/2006/relationships/image" Target="media/dfd_nivel1.png"/><Relationship Id="rIdDfd2" Type="http://schemas.openxmlformats.org/officeDocument/2006/relationships/image" Target="media/dfd_nivel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92C97801E4904AB2C2C815ED137048" ma:contentTypeVersion="6" ma:contentTypeDescription="Crear nuevo documento." ma:contentTypeScope="" ma:versionID="3e90d88dcbb4ba24562640b438da1298">
  <xsd:schema xmlns:xsd="http://www.w3.org/2001/XMLSchema" xmlns:xs="http://www.w3.org/2001/XMLSchema" xmlns:p="http://schemas.microsoft.com/office/2006/metadata/properties" xmlns:ns3="d53121ff-3373-4de2-81b2-65d996ac094e" targetNamespace="http://schemas.microsoft.com/office/2006/metadata/properties" ma:root="true" ma:fieldsID="eee987184b3cac4ec853b909501723e0" ns3:_="">
    <xsd:import namespace="d53121ff-3373-4de2-81b2-65d996ac09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3121ff-3373-4de2-81b2-65d996ac09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53121ff-3373-4de2-81b2-65d996ac094e" xsi:nil="true"/>
  </documentManagement>
</p:properties>
</file>

<file path=customXml/itemProps1.xml><?xml version="1.0" encoding="utf-8"?>
<ds:datastoreItem xmlns:ds="http://schemas.openxmlformats.org/officeDocument/2006/customXml" ds:itemID="{379A0420-00DF-4A0A-A1A9-FA39EBC903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F7AF6A-19A3-4121-909D-6FBDC04D33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3121ff-3373-4de2-81b2-65d996ac09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FF4A46E-2BD7-4A74-9251-B6A20F3C6CD9}">
  <ds:schemaRefs>
    <ds:schemaRef ds:uri="d53121ff-3373-4de2-81b2-65d996ac094e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1074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2 - Modelo de amenazas de ParaBank con OWASP Threat Dragon</dc:title>
  <dc:subject/>
  <dc:creator>Gerbert David García Loaiza</dc:creator>
  <cp:keywords/>
  <dc:description/>
  <cp:lastModifiedBy>2111608 - GERBERT DAVID GARCIA LOAIZA</cp:lastModifiedBy>
  <cp:revision>2</cp:revision>
  <cp:lastPrinted>2026-07-07T04:41:00Z</cp:lastPrinted>
  <dcterms:created xsi:type="dcterms:W3CDTF">2026-10-05T15:23:00Z</dcterms:created>
  <dcterms:modified xsi:type="dcterms:W3CDTF">2026-10-05T15:23:00Z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0x010100C692C97801E4904AB2C2C815ED137048</vt:lpwstr>
  </property>
</Properties>
</file>