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Def.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A208" w14:textId="77777777" w:rsidR="00C13482" w:rsidRPr="009A1B6B" w:rsidRDefault="00C13482" w:rsidP="00C13482">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1228446A" wp14:editId="4ABB6FC9">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552CE5C5" w14:textId="79C240E4"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3677A0BE" w14:textId="2C406D6E"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65E5B43" w14:textId="77777777" w:rsidR="00C13482" w:rsidRPr="00A0471F" w:rsidRDefault="00C13482" w:rsidP="00C13482">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040899D7" w14:textId="77777777" w:rsidR="00C13482" w:rsidRPr="00A0471F"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p>
    <w:p w14:paraId="5902720B" w14:textId="77777777" w:rsidR="00C13482"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58884413"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7EA85F2C"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77E1B72B"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93CE8B4"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20B81370"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TRABAJO FINAL /</w:t>
      </w:r>
      <w:r w:rsidRPr="00A0471F">
        <w:rPr>
          <w:rFonts w:ascii="Times New Roman" w:eastAsia="Times New Roman" w:hAnsi="Times New Roman" w:cs="Times New Roman"/>
          <w:b/>
          <w:color w:val="000000"/>
          <w:sz w:val="32"/>
          <w:szCs w:val="32"/>
          <w:lang w:eastAsia="es-PE"/>
        </w:rPr>
        <w:t>PROYECTO DE INVESTIGACIÓN</w:t>
      </w:r>
    </w:p>
    <w:p w14:paraId="1DE67892"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DAC46AB"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451FC87E" w14:textId="77777777" w:rsidR="00C13482" w:rsidRPr="00A0471F" w:rsidRDefault="00C13482" w:rsidP="00C13482">
      <w:pPr>
        <w:spacing w:after="0"/>
        <w:ind w:left="10" w:right="41"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 xml:space="preserve">CAMBIO DE PARADIGMA EN LA SEGURIDAD DEL SOFTWARE: FACTORES ORGANIZACIONALES QUE INFLUYEN EN LA ADOPCIÓN DE PRÁCTICAS DE DESARROLLO SEGURO</w:t>
      </w:r>
    </w:p>
    <w:p w14:paraId="1D2690F2" w14:textId="77777777" w:rsidR="00C13482" w:rsidRPr="00A0471F" w:rsidRDefault="00C13482" w:rsidP="00C13482">
      <w:pPr>
        <w:spacing w:after="26"/>
        <w:rPr>
          <w:rFonts w:ascii="Times New Roman" w:eastAsia="Times New Roman" w:hAnsi="Times New Roman" w:cs="Times New Roman"/>
          <w:color w:val="000000"/>
          <w:sz w:val="24"/>
          <w:lang w:eastAsia="es-PE"/>
        </w:rPr>
      </w:pPr>
    </w:p>
    <w:p w14:paraId="6B935E51" w14:textId="77777777" w:rsidR="00C13482" w:rsidRPr="00A0471F" w:rsidRDefault="00C13482" w:rsidP="00C13482">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0F96316E" w14:textId="77777777" w:rsidR="00C13482" w:rsidRPr="00BF2264" w:rsidRDefault="00C13482" w:rsidP="00C13482">
      <w:pPr>
        <w:spacing w:after="0"/>
        <w:ind w:left="10" w:right="38" w:hanging="10"/>
        <w:jc w:val="center"/>
        <w:rPr>
          <w:rFonts w:ascii="Times New Roman" w:eastAsia="Times New Roman" w:hAnsi="Times New Roman" w:cs="Times New Roman"/>
          <w:b/>
          <w:color w:val="000000"/>
          <w:sz w:val="28"/>
          <w:szCs w:val="28"/>
          <w:lang w:eastAsia="es-PE"/>
        </w:rPr>
      </w:pPr>
      <w:r w:rsidRPr="00BF2264">
        <w:rPr>
          <w:rFonts w:ascii="Times New Roman" w:eastAsia="Times New Roman" w:hAnsi="Times New Roman" w:cs="Times New Roman"/>
          <w:b/>
          <w:color w:val="000000"/>
          <w:sz w:val="28"/>
          <w:szCs w:val="28"/>
          <w:lang w:eastAsia="es-PE"/>
        </w:rPr>
        <w:t xml:space="preserve">García Loaiza, Gerbert David - ggarcial17@miumg.edu.gt</w:t>
      </w:r>
    </w:p>
    <w:p w14:paraId="78779E99" w14:textId="073265DF" w:rsidR="00C13482" w:rsidRPr="00A0471F" w:rsidRDefault="00C13482" w:rsidP="00C13482">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200C4241" w14:textId="77777777" w:rsidR="00C13482" w:rsidRPr="00A0471F" w:rsidRDefault="00C13482" w:rsidP="00C13482">
      <w:pPr>
        <w:spacing w:after="0"/>
        <w:ind w:left="10" w:right="33"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Ing. Buratti Aldana, Albino Cesare</w:t>
      </w:r>
    </w:p>
    <w:p w14:paraId="3CFAD025"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7D1000F7" w14:textId="77777777" w:rsidR="00C13482" w:rsidRPr="00A0471F" w:rsidRDefault="00C13482" w:rsidP="00C13482">
      <w:pPr>
        <w:spacing w:after="0"/>
        <w:ind w:left="21"/>
        <w:jc w:val="center"/>
        <w:rPr>
          <w:rFonts w:ascii="Times New Roman" w:eastAsia="Times New Roman" w:hAnsi="Times New Roman" w:cs="Times New Roman"/>
          <w:color w:val="000000"/>
          <w:sz w:val="24"/>
          <w:lang w:eastAsia="es-PE"/>
        </w:rPr>
      </w:pPr>
    </w:p>
    <w:p w14:paraId="6A0208A7" w14:textId="071A5C26" w:rsidR="00C13482" w:rsidRPr="00A0471F" w:rsidRDefault="00C13482" w:rsidP="00C13482">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6B12D17F" w14:textId="4AA41849"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sidRPr="00A0471F">
        <w:rPr>
          <w:rFonts w:ascii="Times New Roman" w:eastAsia="Times New Roman" w:hAnsi="Times New Roman" w:cs="Times New Roman"/>
          <w:b/>
          <w:color w:val="000000"/>
          <w:sz w:val="32"/>
          <w:szCs w:val="32"/>
          <w:lang w:eastAsia="es-PE"/>
        </w:rPr>
        <w:t xml:space="preserve">Proyecto de Investigación I - Cuarto trimestre - 2026</w:t>
      </w:r>
    </w:p>
    <w:p w14:paraId="199B97FA" w14:textId="77777777" w:rsidR="00C13482" w:rsidRPr="00A0471F" w:rsidRDefault="00C13482" w:rsidP="00C13482">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01220E37"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128816E5" w14:textId="77777777" w:rsidR="00C13482" w:rsidRPr="00A0471F" w:rsidRDefault="00C13482" w:rsidP="00C13482">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octubre de 2026</w:t>
      </w:r>
    </w:p>
    <w:p>
      <w:pPr>
        <w:sectPr>
          <w:pgSz w:w="12240" w:h="15840"/>
          <w:pgMar w:top="1440" w:right="1440" w:bottom="1440" w:left="1440" w:header="720" w:footer="720" w:gutter="0"/>
          <w:cols w:space="720"/>
          <w:docGrid w:linePitch="360"/>
        </w:sectPr>
      </w:pPr>
    </w:p>
    <w:p>
      <w:pPr>
        <w:spacing w:before="0" w:after="0" w:line="360" w:lineRule="auto"/>
        <w:jc w:val="center"/>
        <w:rPr>
          <w:rFonts w:ascii="Times New Roman" w:hAnsi="Times New Roman" w:cs="Times New Roman"/>
          <w:lang w:val="es-GT"/>
        </w:rPr>
      </w:pPr>
      <w:r>
        <w:rPr>
          <w:rFonts w:ascii="Times New Roman" w:hAnsi="Times New Roman" w:cs="Times New Roman"/>
          <w:b/>
          <w:sz w:val="24"/>
          <w:szCs w:val="24"/>
          <w:lang w:val="es-GT"/>
        </w:rPr>
        <w:t xml:space="preserve">Tabla de contenido</w:t>
      </w:r>
    </w:p>
    <w:p>
      <w:pPr>
        <w:tabs>
          <w:tab w:val="right" w:leader="dot" w:pos="9350"/>
        </w:tabs>
        <w:spacing w:before="0" w:after="60" w:line="276" w:lineRule="auto"/>
        <w:jc w:val="left"/>
      </w:pPr>
      <w:r>
        <w:fldChar w:fldCharType="begin"/>
      </w:r>
      <w:r>
        <w:instrText xml:space="preserve">TOC \o "1-2" \h \z \u</w:instrText>
      </w:r>
      <w:r>
        <w:fldChar w:fldCharType="separate"/>
      </w:r>
      <w:hyperlink w:anchor="_Toc800201" w:history="1">
        <w:r>
          <w:rPr>
            <w:rFonts w:ascii="Times New Roman" w:hAnsi="Times New Roman" w:cs="Times New Roman"/>
            <w:b/>
            <w:sz w:val="24"/>
            <w:szCs w:val="24"/>
            <w:lang w:val="es-GT"/>
          </w:rPr>
          <w:t xml:space="preserve">Planteamiento y formulación del problema</w:t>
        </w:r>
        <w:r>
          <w:rPr>
            <w:rFonts w:ascii="Times New Roman" w:hAnsi="Times New Roman" w:cs="Times New Roman"/>
            <w:b/>
            <w:sz w:val="24"/>
            <w:szCs w:val="24"/>
            <w:lang w:val="es-GT"/>
          </w:rPr>
          <w:tab/>
        </w:r>
        <w:r>
          <w:rPr>
            <w:rFonts w:ascii="Times New Roman" w:hAnsi="Times New Roman" w:cs="Times New Roman"/>
            <w:b/>
            <w:sz w:val="24"/>
            <w:szCs w:val="24"/>
            <w:lang w:val="es-GT"/>
          </w:rPr>
          <w:fldChar w:fldCharType="begin"/>
        </w:r>
        <w:r>
          <w:rPr>
            <w:rFonts w:ascii="Times New Roman" w:hAnsi="Times New Roman" w:cs="Times New Roman"/>
            <w:b/>
            <w:sz w:val="24"/>
            <w:szCs w:val="24"/>
            <w:lang w:val="es-GT"/>
          </w:rPr>
          <w:instrText xml:space="preserve"> PAGEREF _Toc800201 \h </w:instrText>
        </w:r>
        <w:r>
          <w:rPr>
            <w:rFonts w:ascii="Times New Roman" w:hAnsi="Times New Roman" w:cs="Times New Roman"/>
            <w:b/>
            <w:sz w:val="24"/>
            <w:szCs w:val="24"/>
            <w:lang w:val="es-GT"/>
          </w:rPr>
          <w:fldChar w:fldCharType="separate"/>
        </w:r>
        <w:r>
          <w:rPr>
            <w:rFonts w:ascii="Times New Roman" w:hAnsi="Times New Roman" w:cs="Times New Roman"/>
            <w:b/>
            <w:sz w:val="24"/>
            <w:szCs w:val="24"/>
            <w:lang w:val="es-GT"/>
          </w:rPr>
          <w:t>1</w:t>
        </w:r>
        <w:r>
          <w:rPr>
            <w:rFonts w:ascii="Times New Roman" w:hAnsi="Times New Roman" w:cs="Times New Roman"/>
            <w:b/>
            <w:sz w:val="24"/>
            <w:szCs w:val="24"/>
            <w:lang w:val="es-GT"/>
          </w:rPr>
          <w:fldChar w:fldCharType="end"/>
        </w:r>
      </w:hyperlink>
    </w:p>
    <w:p>
      <w:pPr>
        <w:tabs>
          <w:tab w:val="right" w:leader="dot" w:pos="9350"/>
        </w:tabs>
        <w:spacing w:before="0" w:after="60" w:line="276" w:lineRule="auto"/>
        <w:ind w:left="440"/>
        <w:jc w:val="left"/>
      </w:pPr>
      <w:hyperlink w:anchor="_Toc800202" w:history="1">
        <w:r>
          <w:rPr>
            <w:rFonts w:ascii="Times New Roman" w:hAnsi="Times New Roman" w:cs="Times New Roman"/>
            <w:sz w:val="24"/>
            <w:szCs w:val="24"/>
            <w:lang w:val="es-GT"/>
          </w:rPr>
          <w:t xml:space="preserve">Contexto y situación actual</w:t>
        </w:r>
        <w:r>
          <w:rPr>
            <w:rFonts w:ascii="Times New Roman" w:hAnsi="Times New Roman" w:cs="Times New Roman"/>
            <w:sz w:val="24"/>
            <w:szCs w:val="24"/>
            <w:lang w:val="es-GT"/>
          </w:rPr>
          <w:tab/>
        </w:r>
        <w:r>
          <w:rPr>
            <w:rFonts w:ascii="Times New Roman" w:hAnsi="Times New Roman" w:cs="Times New Roman"/>
            <w:sz w:val="24"/>
            <w:szCs w:val="24"/>
            <w:lang w:val="es-GT"/>
          </w:rPr>
          <w:fldChar w:fldCharType="begin"/>
        </w:r>
        <w:r>
          <w:rPr>
            <w:rFonts w:ascii="Times New Roman" w:hAnsi="Times New Roman" w:cs="Times New Roman"/>
            <w:sz w:val="24"/>
            <w:szCs w:val="24"/>
            <w:lang w:val="es-GT"/>
          </w:rPr>
          <w:instrText xml:space="preserve"> PAGEREF _Toc800202 \h </w:instrText>
        </w:r>
        <w:r>
          <w:rPr>
            <w:rFonts w:ascii="Times New Roman" w:hAnsi="Times New Roman" w:cs="Times New Roman"/>
            <w:sz w:val="24"/>
            <w:szCs w:val="24"/>
            <w:lang w:val="es-GT"/>
          </w:rPr>
          <w:fldChar w:fldCharType="separate"/>
        </w:r>
        <w:r>
          <w:rPr>
            <w:rFonts w:ascii="Times New Roman" w:hAnsi="Times New Roman" w:cs="Times New Roman"/>
            <w:sz w:val="24"/>
            <w:szCs w:val="24"/>
            <w:lang w:val="es-GT"/>
          </w:rPr>
          <w:t>1</w:t>
        </w:r>
        <w:r>
          <w:rPr>
            <w:rFonts w:ascii="Times New Roman" w:hAnsi="Times New Roman" w:cs="Times New Roman"/>
            <w:sz w:val="24"/>
            <w:szCs w:val="24"/>
            <w:lang w:val="es-GT"/>
          </w:rPr>
          <w:fldChar w:fldCharType="end"/>
        </w:r>
      </w:hyperlink>
    </w:p>
    <w:p>
      <w:pPr>
        <w:tabs>
          <w:tab w:val="right" w:leader="dot" w:pos="9350"/>
        </w:tabs>
        <w:spacing w:before="0" w:after="60" w:line="276" w:lineRule="auto"/>
        <w:ind w:left="440"/>
        <w:jc w:val="left"/>
      </w:pPr>
      <w:hyperlink w:anchor="_Toc800203" w:history="1">
        <w:r>
          <w:rPr>
            <w:rFonts w:ascii="Times New Roman" w:hAnsi="Times New Roman" w:cs="Times New Roman"/>
            <w:sz w:val="24"/>
            <w:szCs w:val="24"/>
            <w:lang w:val="es-GT"/>
          </w:rPr>
          <w:t xml:space="preserve">Planteamiento del problema</w:t>
        </w:r>
        <w:r>
          <w:rPr>
            <w:rFonts w:ascii="Times New Roman" w:hAnsi="Times New Roman" w:cs="Times New Roman"/>
            <w:sz w:val="24"/>
            <w:szCs w:val="24"/>
            <w:lang w:val="es-GT"/>
          </w:rPr>
          <w:tab/>
        </w:r>
        <w:r>
          <w:rPr>
            <w:rFonts w:ascii="Times New Roman" w:hAnsi="Times New Roman" w:cs="Times New Roman"/>
            <w:sz w:val="24"/>
            <w:szCs w:val="24"/>
            <w:lang w:val="es-GT"/>
          </w:rPr>
          <w:fldChar w:fldCharType="begin"/>
        </w:r>
        <w:r>
          <w:rPr>
            <w:rFonts w:ascii="Times New Roman" w:hAnsi="Times New Roman" w:cs="Times New Roman"/>
            <w:sz w:val="24"/>
            <w:szCs w:val="24"/>
            <w:lang w:val="es-GT"/>
          </w:rPr>
          <w:instrText xml:space="preserve"> PAGEREF _Toc800203 \h </w:instrText>
        </w:r>
        <w:r>
          <w:rPr>
            <w:rFonts w:ascii="Times New Roman" w:hAnsi="Times New Roman" w:cs="Times New Roman"/>
            <w:sz w:val="24"/>
            <w:szCs w:val="24"/>
            <w:lang w:val="es-GT"/>
          </w:rPr>
          <w:fldChar w:fldCharType="separate"/>
        </w:r>
        <w:r>
          <w:rPr>
            <w:rFonts w:ascii="Times New Roman" w:hAnsi="Times New Roman" w:cs="Times New Roman"/>
            <w:sz w:val="24"/>
            <w:szCs w:val="24"/>
            <w:lang w:val="es-GT"/>
          </w:rPr>
          <w:t>1</w:t>
        </w:r>
        <w:r>
          <w:rPr>
            <w:rFonts w:ascii="Times New Roman" w:hAnsi="Times New Roman" w:cs="Times New Roman"/>
            <w:sz w:val="24"/>
            <w:szCs w:val="24"/>
            <w:lang w:val="es-GT"/>
          </w:rPr>
          <w:fldChar w:fldCharType="end"/>
        </w:r>
      </w:hyperlink>
    </w:p>
    <w:p>
      <w:pPr>
        <w:tabs>
          <w:tab w:val="right" w:leader="dot" w:pos="9350"/>
        </w:tabs>
        <w:spacing w:before="0" w:after="60" w:line="276" w:lineRule="auto"/>
        <w:ind w:left="440"/>
        <w:jc w:val="left"/>
      </w:pPr>
      <w:hyperlink w:anchor="_Toc800204" w:history="1">
        <w:r>
          <w:rPr>
            <w:rFonts w:ascii="Times New Roman" w:hAnsi="Times New Roman" w:cs="Times New Roman"/>
            <w:sz w:val="24"/>
            <w:szCs w:val="24"/>
            <w:lang w:val="es-GT"/>
          </w:rPr>
          <w:t xml:space="preserve">Propósito del estudio</w:t>
        </w:r>
        <w:r>
          <w:rPr>
            <w:rFonts w:ascii="Times New Roman" w:hAnsi="Times New Roman" w:cs="Times New Roman"/>
            <w:sz w:val="24"/>
            <w:szCs w:val="24"/>
            <w:lang w:val="es-GT"/>
          </w:rPr>
          <w:tab/>
        </w:r>
        <w:r>
          <w:rPr>
            <w:rFonts w:ascii="Times New Roman" w:hAnsi="Times New Roman" w:cs="Times New Roman"/>
            <w:sz w:val="24"/>
            <w:szCs w:val="24"/>
            <w:lang w:val="es-GT"/>
          </w:rPr>
          <w:fldChar w:fldCharType="begin"/>
        </w:r>
        <w:r>
          <w:rPr>
            <w:rFonts w:ascii="Times New Roman" w:hAnsi="Times New Roman" w:cs="Times New Roman"/>
            <w:sz w:val="24"/>
            <w:szCs w:val="24"/>
            <w:lang w:val="es-GT"/>
          </w:rPr>
          <w:instrText xml:space="preserve"> PAGEREF _Toc800204 \h </w:instrText>
        </w:r>
        <w:r>
          <w:rPr>
            <w:rFonts w:ascii="Times New Roman" w:hAnsi="Times New Roman" w:cs="Times New Roman"/>
            <w:sz w:val="24"/>
            <w:szCs w:val="24"/>
            <w:lang w:val="es-GT"/>
          </w:rPr>
          <w:fldChar w:fldCharType="separate"/>
        </w:r>
        <w:r>
          <w:rPr>
            <w:rFonts w:ascii="Times New Roman" w:hAnsi="Times New Roman" w:cs="Times New Roman"/>
            <w:sz w:val="24"/>
            <w:szCs w:val="24"/>
            <w:lang w:val="es-GT"/>
          </w:rPr>
          <w:t>2</w:t>
        </w:r>
        <w:r>
          <w:rPr>
            <w:rFonts w:ascii="Times New Roman" w:hAnsi="Times New Roman" w:cs="Times New Roman"/>
            <w:sz w:val="24"/>
            <w:szCs w:val="24"/>
            <w:lang w:val="es-GT"/>
          </w:rPr>
          <w:fldChar w:fldCharType="end"/>
        </w:r>
      </w:hyperlink>
    </w:p>
    <w:p>
      <w:pPr>
        <w:tabs>
          <w:tab w:val="right" w:leader="dot" w:pos="9350"/>
        </w:tabs>
        <w:spacing w:before="0" w:after="60" w:line="276" w:lineRule="auto"/>
        <w:ind w:left="440"/>
        <w:jc w:val="left"/>
      </w:pPr>
      <w:hyperlink w:anchor="_Toc800205" w:history="1">
        <w:r>
          <w:rPr>
            <w:rFonts w:ascii="Times New Roman" w:hAnsi="Times New Roman" w:cs="Times New Roman"/>
            <w:sz w:val="24"/>
            <w:szCs w:val="24"/>
            <w:lang w:val="es-GT"/>
          </w:rPr>
          <w:t xml:space="preserve">Deficiencias en el conocimiento</w:t>
        </w:r>
        <w:r>
          <w:rPr>
            <w:rFonts w:ascii="Times New Roman" w:hAnsi="Times New Roman" w:cs="Times New Roman"/>
            <w:sz w:val="24"/>
            <w:szCs w:val="24"/>
            <w:lang w:val="es-GT"/>
          </w:rPr>
          <w:tab/>
        </w:r>
        <w:r>
          <w:rPr>
            <w:rFonts w:ascii="Times New Roman" w:hAnsi="Times New Roman" w:cs="Times New Roman"/>
            <w:sz w:val="24"/>
            <w:szCs w:val="24"/>
            <w:lang w:val="es-GT"/>
          </w:rPr>
          <w:fldChar w:fldCharType="begin"/>
        </w:r>
        <w:r>
          <w:rPr>
            <w:rFonts w:ascii="Times New Roman" w:hAnsi="Times New Roman" w:cs="Times New Roman"/>
            <w:sz w:val="24"/>
            <w:szCs w:val="24"/>
            <w:lang w:val="es-GT"/>
          </w:rPr>
          <w:instrText xml:space="preserve"> PAGEREF _Toc800205 \h </w:instrText>
        </w:r>
        <w:r>
          <w:rPr>
            <w:rFonts w:ascii="Times New Roman" w:hAnsi="Times New Roman" w:cs="Times New Roman"/>
            <w:sz w:val="24"/>
            <w:szCs w:val="24"/>
            <w:lang w:val="es-GT"/>
          </w:rPr>
          <w:fldChar w:fldCharType="separate"/>
        </w:r>
        <w:r>
          <w:rPr>
            <w:rFonts w:ascii="Times New Roman" w:hAnsi="Times New Roman" w:cs="Times New Roman"/>
            <w:sz w:val="24"/>
            <w:szCs w:val="24"/>
            <w:lang w:val="es-GT"/>
          </w:rPr>
          <w:t>2</w:t>
        </w:r>
        <w:r>
          <w:rPr>
            <w:rFonts w:ascii="Times New Roman" w:hAnsi="Times New Roman" w:cs="Times New Roman"/>
            <w:sz w:val="24"/>
            <w:szCs w:val="24"/>
            <w:lang w:val="es-GT"/>
          </w:rPr>
          <w:fldChar w:fldCharType="end"/>
        </w:r>
      </w:hyperlink>
    </w:p>
    <w:p>
      <w:pPr>
        <w:tabs>
          <w:tab w:val="right" w:leader="dot" w:pos="9350"/>
        </w:tabs>
        <w:spacing w:before="0" w:after="60" w:line="276" w:lineRule="auto"/>
        <w:ind w:left="440"/>
        <w:jc w:val="left"/>
      </w:pPr>
      <w:hyperlink w:anchor="_Toc800206" w:history="1">
        <w:r>
          <w:rPr>
            <w:rFonts w:ascii="Times New Roman" w:hAnsi="Times New Roman" w:cs="Times New Roman"/>
            <w:sz w:val="24"/>
            <w:szCs w:val="24"/>
            <w:lang w:val="es-GT"/>
          </w:rPr>
          <w:t xml:space="preserve">Árbol de problemas</w:t>
        </w:r>
        <w:r>
          <w:rPr>
            <w:rFonts w:ascii="Times New Roman" w:hAnsi="Times New Roman" w:cs="Times New Roman"/>
            <w:sz w:val="24"/>
            <w:szCs w:val="24"/>
            <w:lang w:val="es-GT"/>
          </w:rPr>
          <w:tab/>
        </w:r>
        <w:r>
          <w:rPr>
            <w:rFonts w:ascii="Times New Roman" w:hAnsi="Times New Roman" w:cs="Times New Roman"/>
            <w:sz w:val="24"/>
            <w:szCs w:val="24"/>
            <w:lang w:val="es-GT"/>
          </w:rPr>
          <w:fldChar w:fldCharType="begin"/>
        </w:r>
        <w:r>
          <w:rPr>
            <w:rFonts w:ascii="Times New Roman" w:hAnsi="Times New Roman" w:cs="Times New Roman"/>
            <w:sz w:val="24"/>
            <w:szCs w:val="24"/>
            <w:lang w:val="es-GT"/>
          </w:rPr>
          <w:instrText xml:space="preserve"> PAGEREF _Toc800206 \h </w:instrText>
        </w:r>
        <w:r>
          <w:rPr>
            <w:rFonts w:ascii="Times New Roman" w:hAnsi="Times New Roman" w:cs="Times New Roman"/>
            <w:sz w:val="24"/>
            <w:szCs w:val="24"/>
            <w:lang w:val="es-GT"/>
          </w:rPr>
          <w:fldChar w:fldCharType="separate"/>
        </w:r>
        <w:r>
          <w:rPr>
            <w:rFonts w:ascii="Times New Roman" w:hAnsi="Times New Roman" w:cs="Times New Roman"/>
            <w:sz w:val="24"/>
            <w:szCs w:val="24"/>
            <w:lang w:val="es-GT"/>
          </w:rPr>
          <w:t>3</w:t>
        </w:r>
        <w:r>
          <w:rPr>
            <w:rFonts w:ascii="Times New Roman" w:hAnsi="Times New Roman" w:cs="Times New Roman"/>
            <w:sz w:val="24"/>
            <w:szCs w:val="24"/>
            <w:lang w:val="es-GT"/>
          </w:rPr>
          <w:fldChar w:fldCharType="end"/>
        </w:r>
      </w:hyperlink>
    </w:p>
    <w:p>
      <w:pPr>
        <w:tabs>
          <w:tab w:val="right" w:leader="dot" w:pos="9350"/>
        </w:tabs>
        <w:spacing w:before="0" w:after="60" w:line="276" w:lineRule="auto"/>
        <w:ind w:left="440"/>
        <w:jc w:val="left"/>
      </w:pPr>
      <w:hyperlink w:anchor="_Toc800207" w:history="1">
        <w:r>
          <w:rPr>
            <w:rFonts w:ascii="Times New Roman" w:hAnsi="Times New Roman" w:cs="Times New Roman"/>
            <w:sz w:val="24"/>
            <w:szCs w:val="24"/>
            <w:lang w:val="es-GT"/>
          </w:rPr>
          <w:t xml:space="preserve">Árbol de objetivos</w:t>
        </w:r>
        <w:r>
          <w:rPr>
            <w:rFonts w:ascii="Times New Roman" w:hAnsi="Times New Roman" w:cs="Times New Roman"/>
            <w:sz w:val="24"/>
            <w:szCs w:val="24"/>
            <w:lang w:val="es-GT"/>
          </w:rPr>
          <w:tab/>
        </w:r>
        <w:r>
          <w:rPr>
            <w:rFonts w:ascii="Times New Roman" w:hAnsi="Times New Roman" w:cs="Times New Roman"/>
            <w:sz w:val="24"/>
            <w:szCs w:val="24"/>
            <w:lang w:val="es-GT"/>
          </w:rPr>
          <w:fldChar w:fldCharType="begin"/>
        </w:r>
        <w:r>
          <w:rPr>
            <w:rFonts w:ascii="Times New Roman" w:hAnsi="Times New Roman" w:cs="Times New Roman"/>
            <w:sz w:val="24"/>
            <w:szCs w:val="24"/>
            <w:lang w:val="es-GT"/>
          </w:rPr>
          <w:instrText xml:space="preserve"> PAGEREF _Toc800207 \h </w:instrText>
        </w:r>
        <w:r>
          <w:rPr>
            <w:rFonts w:ascii="Times New Roman" w:hAnsi="Times New Roman" w:cs="Times New Roman"/>
            <w:sz w:val="24"/>
            <w:szCs w:val="24"/>
            <w:lang w:val="es-GT"/>
          </w:rPr>
          <w:fldChar w:fldCharType="separate"/>
        </w:r>
        <w:r>
          <w:rPr>
            <w:rFonts w:ascii="Times New Roman" w:hAnsi="Times New Roman" w:cs="Times New Roman"/>
            <w:sz w:val="24"/>
            <w:szCs w:val="24"/>
            <w:lang w:val="es-GT"/>
          </w:rPr>
          <w:t>5</w:t>
        </w:r>
        <w:r>
          <w:rPr>
            <w:rFonts w:ascii="Times New Roman" w:hAnsi="Times New Roman" w:cs="Times New Roman"/>
            <w:sz w:val="24"/>
            <w:szCs w:val="24"/>
            <w:lang w:val="es-GT"/>
          </w:rPr>
          <w:fldChar w:fldCharType="end"/>
        </w:r>
      </w:hyperlink>
    </w:p>
    <w:p>
      <w:pPr>
        <w:tabs>
          <w:tab w:val="right" w:leader="dot" w:pos="9350"/>
        </w:tabs>
        <w:spacing w:before="0" w:after="60" w:line="276" w:lineRule="auto"/>
        <w:ind w:left="440"/>
        <w:jc w:val="left"/>
      </w:pPr>
      <w:hyperlink w:anchor="_Toc800208" w:history="1">
        <w:r>
          <w:rPr>
            <w:rFonts w:ascii="Times New Roman" w:hAnsi="Times New Roman" w:cs="Times New Roman"/>
            <w:sz w:val="24"/>
            <w:szCs w:val="24"/>
            <w:lang w:val="es-GT"/>
          </w:rPr>
          <w:t xml:space="preserve">Pregunta de investigación</w:t>
        </w:r>
        <w:r>
          <w:rPr>
            <w:rFonts w:ascii="Times New Roman" w:hAnsi="Times New Roman" w:cs="Times New Roman"/>
            <w:sz w:val="24"/>
            <w:szCs w:val="24"/>
            <w:lang w:val="es-GT"/>
          </w:rPr>
          <w:tab/>
        </w:r>
        <w:r>
          <w:rPr>
            <w:rFonts w:ascii="Times New Roman" w:hAnsi="Times New Roman" w:cs="Times New Roman"/>
            <w:sz w:val="24"/>
            <w:szCs w:val="24"/>
            <w:lang w:val="es-GT"/>
          </w:rPr>
          <w:fldChar w:fldCharType="begin"/>
        </w:r>
        <w:r>
          <w:rPr>
            <w:rFonts w:ascii="Times New Roman" w:hAnsi="Times New Roman" w:cs="Times New Roman"/>
            <w:sz w:val="24"/>
            <w:szCs w:val="24"/>
            <w:lang w:val="es-GT"/>
          </w:rPr>
          <w:instrText xml:space="preserve"> PAGEREF _Toc800208 \h </w:instrText>
        </w:r>
        <w:r>
          <w:rPr>
            <w:rFonts w:ascii="Times New Roman" w:hAnsi="Times New Roman" w:cs="Times New Roman"/>
            <w:sz w:val="24"/>
            <w:szCs w:val="24"/>
            <w:lang w:val="es-GT"/>
          </w:rPr>
          <w:fldChar w:fldCharType="separate"/>
        </w:r>
        <w:r>
          <w:rPr>
            <w:rFonts w:ascii="Times New Roman" w:hAnsi="Times New Roman" w:cs="Times New Roman"/>
            <w:sz w:val="24"/>
            <w:szCs w:val="24"/>
            <w:lang w:val="es-GT"/>
          </w:rPr>
          <w:t>6</w:t>
        </w:r>
        <w:r>
          <w:rPr>
            <w:rFonts w:ascii="Times New Roman" w:hAnsi="Times New Roman" w:cs="Times New Roman"/>
            <w:sz w:val="24"/>
            <w:szCs w:val="24"/>
            <w:lang w:val="es-GT"/>
          </w:rPr>
          <w:fldChar w:fldCharType="end"/>
        </w:r>
      </w:hyperlink>
    </w:p>
    <w:p>
      <w:pPr>
        <w:tabs>
          <w:tab w:val="right" w:leader="dot" w:pos="9350"/>
        </w:tabs>
        <w:spacing w:before="0" w:after="60" w:line="276" w:lineRule="auto"/>
        <w:jc w:val="left"/>
      </w:pPr>
      <w:hyperlink w:anchor="_Toc800209" w:history="1">
        <w:r>
          <w:rPr>
            <w:rFonts w:ascii="Times New Roman" w:hAnsi="Times New Roman" w:cs="Times New Roman"/>
            <w:b/>
            <w:sz w:val="24"/>
            <w:szCs w:val="24"/>
            <w:lang w:val="es-GT"/>
          </w:rPr>
          <w:t xml:space="preserve">Objetivos</w:t>
        </w:r>
        <w:r>
          <w:rPr>
            <w:rFonts w:ascii="Times New Roman" w:hAnsi="Times New Roman" w:cs="Times New Roman"/>
            <w:b/>
            <w:sz w:val="24"/>
            <w:szCs w:val="24"/>
            <w:lang w:val="es-GT"/>
          </w:rPr>
          <w:tab/>
        </w:r>
        <w:r>
          <w:rPr>
            <w:rFonts w:ascii="Times New Roman" w:hAnsi="Times New Roman" w:cs="Times New Roman"/>
            <w:b/>
            <w:sz w:val="24"/>
            <w:szCs w:val="24"/>
            <w:lang w:val="es-GT"/>
          </w:rPr>
          <w:fldChar w:fldCharType="begin"/>
        </w:r>
        <w:r>
          <w:rPr>
            <w:rFonts w:ascii="Times New Roman" w:hAnsi="Times New Roman" w:cs="Times New Roman"/>
            <w:b/>
            <w:sz w:val="24"/>
            <w:szCs w:val="24"/>
            <w:lang w:val="es-GT"/>
          </w:rPr>
          <w:instrText xml:space="preserve"> PAGEREF _Toc800209 \h </w:instrText>
        </w:r>
        <w:r>
          <w:rPr>
            <w:rFonts w:ascii="Times New Roman" w:hAnsi="Times New Roman" w:cs="Times New Roman"/>
            <w:b/>
            <w:sz w:val="24"/>
            <w:szCs w:val="24"/>
            <w:lang w:val="es-GT"/>
          </w:rPr>
          <w:fldChar w:fldCharType="separate"/>
        </w:r>
        <w:r>
          <w:rPr>
            <w:rFonts w:ascii="Times New Roman" w:hAnsi="Times New Roman" w:cs="Times New Roman"/>
            <w:b/>
            <w:sz w:val="24"/>
            <w:szCs w:val="24"/>
            <w:lang w:val="es-GT"/>
          </w:rPr>
          <w:t>7</w:t>
        </w:r>
        <w:r>
          <w:rPr>
            <w:rFonts w:ascii="Times New Roman" w:hAnsi="Times New Roman" w:cs="Times New Roman"/>
            <w:b/>
            <w:sz w:val="24"/>
            <w:szCs w:val="24"/>
            <w:lang w:val="es-GT"/>
          </w:rPr>
          <w:fldChar w:fldCharType="end"/>
        </w:r>
      </w:hyperlink>
    </w:p>
    <w:p>
      <w:pPr>
        <w:tabs>
          <w:tab w:val="right" w:leader="dot" w:pos="9350"/>
        </w:tabs>
        <w:spacing w:before="0" w:after="60" w:line="276" w:lineRule="auto"/>
        <w:ind w:left="440"/>
        <w:jc w:val="left"/>
      </w:pPr>
      <w:hyperlink w:anchor="_Toc800210" w:history="1">
        <w:r>
          <w:rPr>
            <w:rFonts w:ascii="Times New Roman" w:hAnsi="Times New Roman" w:cs="Times New Roman"/>
            <w:sz w:val="24"/>
            <w:szCs w:val="24"/>
            <w:lang w:val="es-GT"/>
          </w:rPr>
          <w:t xml:space="preserve">Objetivo general</w:t>
        </w:r>
        <w:r>
          <w:rPr>
            <w:rFonts w:ascii="Times New Roman" w:hAnsi="Times New Roman" w:cs="Times New Roman"/>
            <w:sz w:val="24"/>
            <w:szCs w:val="24"/>
            <w:lang w:val="es-GT"/>
          </w:rPr>
          <w:tab/>
        </w:r>
        <w:r>
          <w:rPr>
            <w:rFonts w:ascii="Times New Roman" w:hAnsi="Times New Roman" w:cs="Times New Roman"/>
            <w:sz w:val="24"/>
            <w:szCs w:val="24"/>
            <w:lang w:val="es-GT"/>
          </w:rPr>
          <w:fldChar w:fldCharType="begin"/>
        </w:r>
        <w:r>
          <w:rPr>
            <w:rFonts w:ascii="Times New Roman" w:hAnsi="Times New Roman" w:cs="Times New Roman"/>
            <w:sz w:val="24"/>
            <w:szCs w:val="24"/>
            <w:lang w:val="es-GT"/>
          </w:rPr>
          <w:instrText xml:space="preserve"> PAGEREF _Toc800210 \h </w:instrText>
        </w:r>
        <w:r>
          <w:rPr>
            <w:rFonts w:ascii="Times New Roman" w:hAnsi="Times New Roman" w:cs="Times New Roman"/>
            <w:sz w:val="24"/>
            <w:szCs w:val="24"/>
            <w:lang w:val="es-GT"/>
          </w:rPr>
          <w:fldChar w:fldCharType="separate"/>
        </w:r>
        <w:r>
          <w:rPr>
            <w:rFonts w:ascii="Times New Roman" w:hAnsi="Times New Roman" w:cs="Times New Roman"/>
            <w:sz w:val="24"/>
            <w:szCs w:val="24"/>
            <w:lang w:val="es-GT"/>
          </w:rPr>
          <w:t>7</w:t>
        </w:r>
        <w:r>
          <w:rPr>
            <w:rFonts w:ascii="Times New Roman" w:hAnsi="Times New Roman" w:cs="Times New Roman"/>
            <w:sz w:val="24"/>
            <w:szCs w:val="24"/>
            <w:lang w:val="es-GT"/>
          </w:rPr>
          <w:fldChar w:fldCharType="end"/>
        </w:r>
      </w:hyperlink>
    </w:p>
    <w:p>
      <w:pPr>
        <w:tabs>
          <w:tab w:val="right" w:leader="dot" w:pos="9350"/>
        </w:tabs>
        <w:spacing w:before="0" w:after="60" w:line="276" w:lineRule="auto"/>
        <w:ind w:left="440"/>
        <w:jc w:val="left"/>
      </w:pPr>
      <w:hyperlink w:anchor="_Toc800211" w:history="1">
        <w:r>
          <w:rPr>
            <w:rFonts w:ascii="Times New Roman" w:hAnsi="Times New Roman" w:cs="Times New Roman"/>
            <w:sz w:val="24"/>
            <w:szCs w:val="24"/>
            <w:lang w:val="es-GT"/>
          </w:rPr>
          <w:t xml:space="preserve">Objetivos específicos</w:t>
        </w:r>
        <w:r>
          <w:rPr>
            <w:rFonts w:ascii="Times New Roman" w:hAnsi="Times New Roman" w:cs="Times New Roman"/>
            <w:sz w:val="24"/>
            <w:szCs w:val="24"/>
            <w:lang w:val="es-GT"/>
          </w:rPr>
          <w:tab/>
        </w:r>
        <w:r>
          <w:rPr>
            <w:rFonts w:ascii="Times New Roman" w:hAnsi="Times New Roman" w:cs="Times New Roman"/>
            <w:sz w:val="24"/>
            <w:szCs w:val="24"/>
            <w:lang w:val="es-GT"/>
          </w:rPr>
          <w:fldChar w:fldCharType="begin"/>
        </w:r>
        <w:r>
          <w:rPr>
            <w:rFonts w:ascii="Times New Roman" w:hAnsi="Times New Roman" w:cs="Times New Roman"/>
            <w:sz w:val="24"/>
            <w:szCs w:val="24"/>
            <w:lang w:val="es-GT"/>
          </w:rPr>
          <w:instrText xml:space="preserve"> PAGEREF _Toc800211 \h </w:instrText>
        </w:r>
        <w:r>
          <w:rPr>
            <w:rFonts w:ascii="Times New Roman" w:hAnsi="Times New Roman" w:cs="Times New Roman"/>
            <w:sz w:val="24"/>
            <w:szCs w:val="24"/>
            <w:lang w:val="es-GT"/>
          </w:rPr>
          <w:fldChar w:fldCharType="separate"/>
        </w:r>
        <w:r>
          <w:rPr>
            <w:rFonts w:ascii="Times New Roman" w:hAnsi="Times New Roman" w:cs="Times New Roman"/>
            <w:sz w:val="24"/>
            <w:szCs w:val="24"/>
            <w:lang w:val="es-GT"/>
          </w:rPr>
          <w:t>7</w:t>
        </w:r>
        <w:r>
          <w:rPr>
            <w:rFonts w:ascii="Times New Roman" w:hAnsi="Times New Roman" w:cs="Times New Roman"/>
            <w:sz w:val="24"/>
            <w:szCs w:val="24"/>
            <w:lang w:val="es-GT"/>
          </w:rPr>
          <w:fldChar w:fldCharType="end"/>
        </w:r>
      </w:hyperlink>
    </w:p>
    <w:p>
      <w:pPr>
        <w:tabs>
          <w:tab w:val="right" w:leader="dot" w:pos="9350"/>
        </w:tabs>
        <w:spacing w:before="0" w:after="60" w:line="276" w:lineRule="auto"/>
        <w:jc w:val="left"/>
      </w:pPr>
      <w:hyperlink w:anchor="_Toc800212" w:history="1">
        <w:r>
          <w:rPr>
            <w:rFonts w:ascii="Times New Roman" w:hAnsi="Times New Roman" w:cs="Times New Roman"/>
            <w:b/>
            <w:sz w:val="24"/>
            <w:szCs w:val="24"/>
            <w:lang w:val="es-GT"/>
          </w:rPr>
          <w:t xml:space="preserve">Alcances y límites</w:t>
        </w:r>
        <w:r>
          <w:rPr>
            <w:rFonts w:ascii="Times New Roman" w:hAnsi="Times New Roman" w:cs="Times New Roman"/>
            <w:b/>
            <w:sz w:val="24"/>
            <w:szCs w:val="24"/>
            <w:lang w:val="es-GT"/>
          </w:rPr>
          <w:tab/>
        </w:r>
        <w:r>
          <w:rPr>
            <w:rFonts w:ascii="Times New Roman" w:hAnsi="Times New Roman" w:cs="Times New Roman"/>
            <w:b/>
            <w:sz w:val="24"/>
            <w:szCs w:val="24"/>
            <w:lang w:val="es-GT"/>
          </w:rPr>
          <w:fldChar w:fldCharType="begin"/>
        </w:r>
        <w:r>
          <w:rPr>
            <w:rFonts w:ascii="Times New Roman" w:hAnsi="Times New Roman" w:cs="Times New Roman"/>
            <w:b/>
            <w:sz w:val="24"/>
            <w:szCs w:val="24"/>
            <w:lang w:val="es-GT"/>
          </w:rPr>
          <w:instrText xml:space="preserve"> PAGEREF _Toc800212 \h </w:instrText>
        </w:r>
        <w:r>
          <w:rPr>
            <w:rFonts w:ascii="Times New Roman" w:hAnsi="Times New Roman" w:cs="Times New Roman"/>
            <w:b/>
            <w:sz w:val="24"/>
            <w:szCs w:val="24"/>
            <w:lang w:val="es-GT"/>
          </w:rPr>
          <w:fldChar w:fldCharType="separate"/>
        </w:r>
        <w:r>
          <w:rPr>
            <w:rFonts w:ascii="Times New Roman" w:hAnsi="Times New Roman" w:cs="Times New Roman"/>
            <w:b/>
            <w:sz w:val="24"/>
            <w:szCs w:val="24"/>
            <w:lang w:val="es-GT"/>
          </w:rPr>
          <w:t>7</w:t>
        </w:r>
        <w:r>
          <w:rPr>
            <w:rFonts w:ascii="Times New Roman" w:hAnsi="Times New Roman" w:cs="Times New Roman"/>
            <w:b/>
            <w:sz w:val="24"/>
            <w:szCs w:val="24"/>
            <w:lang w:val="es-GT"/>
          </w:rPr>
          <w:fldChar w:fldCharType="end"/>
        </w:r>
      </w:hyperlink>
    </w:p>
    <w:p>
      <w:pPr>
        <w:tabs>
          <w:tab w:val="right" w:leader="dot" w:pos="9350"/>
        </w:tabs>
        <w:spacing w:before="0" w:after="60" w:line="276" w:lineRule="auto"/>
        <w:jc w:val="left"/>
      </w:pPr>
      <w:hyperlink w:anchor="_Toc800213" w:history="1">
        <w:r>
          <w:rPr>
            <w:rFonts w:ascii="Times New Roman" w:hAnsi="Times New Roman" w:cs="Times New Roman"/>
            <w:b/>
            <w:sz w:val="24"/>
            <w:szCs w:val="24"/>
            <w:lang w:val="es-GT"/>
          </w:rPr>
          <w:t xml:space="preserve">Justificación</w:t>
        </w:r>
        <w:r>
          <w:rPr>
            <w:rFonts w:ascii="Times New Roman" w:hAnsi="Times New Roman" w:cs="Times New Roman"/>
            <w:b/>
            <w:sz w:val="24"/>
            <w:szCs w:val="24"/>
            <w:lang w:val="es-GT"/>
          </w:rPr>
          <w:tab/>
        </w:r>
        <w:r>
          <w:rPr>
            <w:rFonts w:ascii="Times New Roman" w:hAnsi="Times New Roman" w:cs="Times New Roman"/>
            <w:b/>
            <w:sz w:val="24"/>
            <w:szCs w:val="24"/>
            <w:lang w:val="es-GT"/>
          </w:rPr>
          <w:fldChar w:fldCharType="begin"/>
        </w:r>
        <w:r>
          <w:rPr>
            <w:rFonts w:ascii="Times New Roman" w:hAnsi="Times New Roman" w:cs="Times New Roman"/>
            <w:b/>
            <w:sz w:val="24"/>
            <w:szCs w:val="24"/>
            <w:lang w:val="es-GT"/>
          </w:rPr>
          <w:instrText xml:space="preserve"> PAGEREF _Toc800213 \h </w:instrText>
        </w:r>
        <w:r>
          <w:rPr>
            <w:rFonts w:ascii="Times New Roman" w:hAnsi="Times New Roman" w:cs="Times New Roman"/>
            <w:b/>
            <w:sz w:val="24"/>
            <w:szCs w:val="24"/>
            <w:lang w:val="es-GT"/>
          </w:rPr>
          <w:fldChar w:fldCharType="separate"/>
        </w:r>
        <w:r>
          <w:rPr>
            <w:rFonts w:ascii="Times New Roman" w:hAnsi="Times New Roman" w:cs="Times New Roman"/>
            <w:b/>
            <w:sz w:val="24"/>
            <w:szCs w:val="24"/>
            <w:lang w:val="es-GT"/>
          </w:rPr>
          <w:t>8</w:t>
        </w:r>
        <w:r>
          <w:rPr>
            <w:rFonts w:ascii="Times New Roman" w:hAnsi="Times New Roman" w:cs="Times New Roman"/>
            <w:b/>
            <w:sz w:val="24"/>
            <w:szCs w:val="24"/>
            <w:lang w:val="es-GT"/>
          </w:rPr>
          <w:fldChar w:fldCharType="end"/>
        </w:r>
      </w:hyperlink>
    </w:p>
    <w:p>
      <w:pPr>
        <w:tabs>
          <w:tab w:val="right" w:leader="dot" w:pos="9350"/>
        </w:tabs>
        <w:spacing w:before="0" w:after="60" w:line="276" w:lineRule="auto"/>
        <w:jc w:val="left"/>
      </w:pPr>
      <w:hyperlink w:anchor="_Toc800214" w:history="1">
        <w:r>
          <w:rPr>
            <w:rFonts w:ascii="Times New Roman" w:hAnsi="Times New Roman" w:cs="Times New Roman"/>
            <w:b/>
            <w:sz w:val="24"/>
            <w:szCs w:val="24"/>
            <w:lang w:val="es-GT"/>
          </w:rPr>
          <w:t xml:space="preserve">Viabilidad técnica y científica</w:t>
        </w:r>
        <w:r>
          <w:rPr>
            <w:rFonts w:ascii="Times New Roman" w:hAnsi="Times New Roman" w:cs="Times New Roman"/>
            <w:b/>
            <w:sz w:val="24"/>
            <w:szCs w:val="24"/>
            <w:lang w:val="es-GT"/>
          </w:rPr>
          <w:tab/>
        </w:r>
        <w:r>
          <w:rPr>
            <w:rFonts w:ascii="Times New Roman" w:hAnsi="Times New Roman" w:cs="Times New Roman"/>
            <w:b/>
            <w:sz w:val="24"/>
            <w:szCs w:val="24"/>
            <w:lang w:val="es-GT"/>
          </w:rPr>
          <w:fldChar w:fldCharType="begin"/>
        </w:r>
        <w:r>
          <w:rPr>
            <w:rFonts w:ascii="Times New Roman" w:hAnsi="Times New Roman" w:cs="Times New Roman"/>
            <w:b/>
            <w:sz w:val="24"/>
            <w:szCs w:val="24"/>
            <w:lang w:val="es-GT"/>
          </w:rPr>
          <w:instrText xml:space="preserve"> PAGEREF _Toc800214 \h </w:instrText>
        </w:r>
        <w:r>
          <w:rPr>
            <w:rFonts w:ascii="Times New Roman" w:hAnsi="Times New Roman" w:cs="Times New Roman"/>
            <w:b/>
            <w:sz w:val="24"/>
            <w:szCs w:val="24"/>
            <w:lang w:val="es-GT"/>
          </w:rPr>
          <w:fldChar w:fldCharType="separate"/>
        </w:r>
        <w:r>
          <w:rPr>
            <w:rFonts w:ascii="Times New Roman" w:hAnsi="Times New Roman" w:cs="Times New Roman"/>
            <w:b/>
            <w:sz w:val="24"/>
            <w:szCs w:val="24"/>
            <w:lang w:val="es-GT"/>
          </w:rPr>
          <w:t>9</w:t>
        </w:r>
        <w:r>
          <w:rPr>
            <w:rFonts w:ascii="Times New Roman" w:hAnsi="Times New Roman" w:cs="Times New Roman"/>
            <w:b/>
            <w:sz w:val="24"/>
            <w:szCs w:val="24"/>
            <w:lang w:val="es-GT"/>
          </w:rPr>
          <w:fldChar w:fldCharType="end"/>
        </w:r>
      </w:hyperlink>
    </w:p>
    <w:p>
      <w:pPr>
        <w:tabs>
          <w:tab w:val="right" w:leader="dot" w:pos="9350"/>
        </w:tabs>
        <w:spacing w:before="0" w:after="60" w:line="276" w:lineRule="auto"/>
        <w:jc w:val="left"/>
      </w:pPr>
      <w:hyperlink w:anchor="_Toc800215" w:history="1">
        <w:r>
          <w:rPr>
            <w:rFonts w:ascii="Times New Roman" w:hAnsi="Times New Roman" w:cs="Times New Roman"/>
            <w:b/>
            <w:sz w:val="24"/>
            <w:szCs w:val="24"/>
            <w:lang w:val="es-GT"/>
          </w:rPr>
          <w:t xml:space="preserve">Referencias</w:t>
        </w:r>
        <w:r>
          <w:rPr>
            <w:rFonts w:ascii="Times New Roman" w:hAnsi="Times New Roman" w:cs="Times New Roman"/>
            <w:b/>
            <w:sz w:val="24"/>
            <w:szCs w:val="24"/>
            <w:lang w:val="es-GT"/>
          </w:rPr>
          <w:tab/>
        </w:r>
        <w:r>
          <w:rPr>
            <w:rFonts w:ascii="Times New Roman" w:hAnsi="Times New Roman" w:cs="Times New Roman"/>
            <w:b/>
            <w:sz w:val="24"/>
            <w:szCs w:val="24"/>
            <w:lang w:val="es-GT"/>
          </w:rPr>
          <w:fldChar w:fldCharType="begin"/>
        </w:r>
        <w:r>
          <w:rPr>
            <w:rFonts w:ascii="Times New Roman" w:hAnsi="Times New Roman" w:cs="Times New Roman"/>
            <w:b/>
            <w:sz w:val="24"/>
            <w:szCs w:val="24"/>
            <w:lang w:val="es-GT"/>
          </w:rPr>
          <w:instrText xml:space="preserve"> PAGEREF _Toc800215 \h </w:instrText>
        </w:r>
        <w:r>
          <w:rPr>
            <w:rFonts w:ascii="Times New Roman" w:hAnsi="Times New Roman" w:cs="Times New Roman"/>
            <w:b/>
            <w:sz w:val="24"/>
            <w:szCs w:val="24"/>
            <w:lang w:val="es-GT"/>
          </w:rPr>
          <w:fldChar w:fldCharType="separate"/>
        </w:r>
        <w:r>
          <w:rPr>
            <w:rFonts w:ascii="Times New Roman" w:hAnsi="Times New Roman" w:cs="Times New Roman"/>
            <w:b/>
            <w:sz w:val="24"/>
            <w:szCs w:val="24"/>
            <w:lang w:val="es-GT"/>
          </w:rPr>
          <w:t>11</w:t>
        </w:r>
        <w:r>
          <w:rPr>
            <w:rFonts w:ascii="Times New Roman" w:hAnsi="Times New Roman" w:cs="Times New Roman"/>
            <w:b/>
            <w:sz w:val="24"/>
            <w:szCs w:val="24"/>
            <w:lang w:val="es-GT"/>
          </w:rPr>
          <w:fldChar w:fldCharType="end"/>
        </w:r>
      </w:hyperlink>
      <w:r>
        <w:fldChar w:fldCharType="end"/>
      </w:r>
    </w:p>
    <w:p>
      <w:pPr>
        <w:sectPr>
          <w:headerReference w:type="default" r:id="rIdHdrDef"/>
          <w:pgSz w:w="12240" w:h="15840"/>
          <w:pgMar w:top="1440" w:right="1440" w:bottom="1440" w:left="1440" w:header="720" w:footer="720" w:gutter="0"/>
          <w:pgNumType w:fmt="lowerRoman" w:start="2"/>
          <w:cols w:space="720"/>
          <w:docGrid w:linePitch="360"/>
        </w:sectPr>
      </w:pPr>
    </w:p>
    <w:p>
      <w:pPr>
        <w:keepNext/>
        <w:spacing w:before="240" w:after="0" w:line="360" w:lineRule="auto"/>
        <w:jc w:val="center"/>
        <w:outlineLvl w:val="0"/>
        <w:rPr>
          <w:rFonts w:ascii="Times New Roman" w:hAnsi="Times New Roman" w:cs="Times New Roman"/>
          <w:lang w:val="es-GT"/>
        </w:rPr>
      </w:pPr>
      <w:bookmarkStart w:id="201" w:name="_Toc800201"/>
      <w:r>
        <w:rPr>
          <w:rFonts w:ascii="Times New Roman" w:hAnsi="Times New Roman" w:cs="Times New Roman"/>
          <w:b/>
          <w:sz w:val="24"/>
          <w:szCs w:val="24"/>
          <w:lang w:val="es-GT"/>
        </w:rPr>
        <w:t xml:space="preserve">Planteamiento y formulación del problema</w:t>
      </w:r>
      <w:bookmarkEnd w:id="201"/>
    </w:p>
    <w:p>
      <w:pPr>
        <w:keepNext/>
        <w:spacing w:before="120" w:after="0" w:line="360" w:lineRule="auto"/>
        <w:jc w:val="left"/>
        <w:outlineLvl w:val="1"/>
        <w:rPr>
          <w:rFonts w:ascii="Times New Roman" w:hAnsi="Times New Roman" w:cs="Times New Roman"/>
          <w:lang w:val="es-GT"/>
        </w:rPr>
      </w:pPr>
      <w:bookmarkStart w:id="202" w:name="_Toc800202"/>
      <w:r>
        <w:rPr>
          <w:rFonts w:ascii="Times New Roman" w:hAnsi="Times New Roman" w:cs="Times New Roman"/>
          <w:b/>
          <w:sz w:val="24"/>
          <w:szCs w:val="24"/>
          <w:lang w:val="es-GT"/>
        </w:rPr>
        <w:t xml:space="preserve">Contexto y situación actual</w:t>
      </w:r>
      <w:bookmarkEnd w:id="202"/>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A nivel internacional el software vulnerable se afianzó como una de las principales puertas de entrada de los incidentes de seguridad. El informe de investigaciones de brechas de datos de 2026 señala que la explotación de vulnerabilidades (31 %) superó por primera vez en su historia al abuso de credenciales (13 %) como vector inicial de acceso (Verizon, 2026). Por su parte, el informe de Veracode (2026) señala que el 82 % de las organizaciones estudiadas acumulan deuda de seguridad, entendida como vulnerabilidades sin corregir durante más de un año, y que el 60 % de ellas tiene deuda de nivel crítico. El costo de las brechas sigue esta tendencia: el promedio global alcanzó 4.99 millones de dólares por incidente, un valor récord, según IBM (2026).</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El Cyber Insights Report de Mastercard (2025) en Guatemala reveló que los ataques cibernéticos crecieron 200 % en 2024 en comparación con el año anterior, y posicionó al país dentro de los diez con mayor exposición de América Latina. En cuanto al ámbito normativo, la iniciativa de Ley de Ciberseguridad 6347, introducida en 2024, fue devuelta a comisión en abril de 2026 para subsanar falencias técnicas (RSM Guatemala, s. f.), por lo que, de acuerdo con la fuente revisada, la ley aún está pendiente de aprobación.</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En el nivel micro se estudiarán los equipos de desarrollo de empresas medianas en el área metropolitana de Guatemala que construyen o mantienen aplicaciones propias o para terceros. El marco de referencia internacional para estos equipos es el Secure Software Development Framework (SSDF) del NIST, que agrupa las prácticas de desarrollo seguro en cuatro grupos: preparar la organización, proteger el software, producir software bien protegido y responder a las vulnerabilidades (Souppaya et al., 2022). La literatura existente sobre adopción de DevSecOps identifica 21 desafíos agrupados en personas, prácticas, herramientas e infraestructura, y señala que los factores relacionados con las personas son críticos, pero han sido menos estudiados (Rajapakse et al., 2022).</w:t>
      </w:r>
    </w:p>
    <w:p>
      <w:pPr>
        <w:keepNext/>
        <w:spacing w:before="120" w:after="0" w:line="360" w:lineRule="auto"/>
        <w:jc w:val="left"/>
        <w:outlineLvl w:val="1"/>
        <w:rPr>
          <w:rFonts w:ascii="Times New Roman" w:hAnsi="Times New Roman" w:cs="Times New Roman"/>
          <w:lang w:val="es-GT"/>
        </w:rPr>
      </w:pPr>
      <w:bookmarkStart w:id="203" w:name="_Toc800203"/>
      <w:r>
        <w:rPr>
          <w:rFonts w:ascii="Times New Roman" w:hAnsi="Times New Roman" w:cs="Times New Roman"/>
          <w:b/>
          <w:sz w:val="24"/>
          <w:szCs w:val="24"/>
          <w:lang w:val="es-GT"/>
        </w:rPr>
        <w:t xml:space="preserve">Planteamiento del problema</w:t>
      </w:r>
      <w:bookmarkEnd w:id="203"/>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Los antecedentes internacionales indican que los arreglos de las fallas después de la puesta en marcha son tardíos y caros. Verizon (2026) indica que únicamente el 26 % de las vulnerabilidades críticas del catálogo de vulnerabilidades explotadas conocidas (KEV) fueron remediadas en su totalidad, y que la mediana para subsanar una falla crítica se incrementó de 32 a 43 días. A la par, Veracode (2026) constata un incremento interanual del 36 % en las vulnerabilidades de alto riesgo.</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La integración de la seguridad desde el diseño no es algo que ocurra de forma automática. Está sujeta a factores organizacionales como la capacitación, las políticas institucionales, la cultura del equipo y el equilibrio entre velocidad de entrega y seguridad (Ortega Ovalle, 2026; Rajapakse et al., 2022). Desde la teoría de los paradigmas (Gadea et al., 2019; Kuhn, 2017), la resistencia a integrar la seguridad en el diseño puede interpretarse como la pervivencia de un paradigma vigente, el de la seguridad como etapa final o perimetral, frente a un enfoque emergente que la concibe como responsabilidad compartida durante todo el ciclo de vida (Rose et al., 2020; Souppaya et al., 2022). Esta lectura se ofrece como una analogía de trabajo y no como una afirmación sobre las ciencias naturales de las que Kuhn tomó prestado su modelo.</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En Guatemala, la revisión bibliográfica preliminar para este trabajo no encontró estudios publicados que describan el grado de incorporación de prácticas de seguridad por los equipos de desarrollo de empresas medianas en su ciclo de desarrollo, ni los factores que condicionan dicha integración. Esta falta de datos locales no permite basar decisiones de capacitación, políticas e inversión, y deja el problema sin dimensionar.</w:t>
      </w:r>
    </w:p>
    <w:p>
      <w:pPr>
        <w:keepNext/>
        <w:spacing w:before="120" w:after="0" w:line="360" w:lineRule="auto"/>
        <w:jc w:val="left"/>
        <w:outlineLvl w:val="1"/>
        <w:rPr>
          <w:rFonts w:ascii="Times New Roman" w:hAnsi="Times New Roman" w:cs="Times New Roman"/>
          <w:lang w:val="es-GT"/>
        </w:rPr>
      </w:pPr>
      <w:bookmarkStart w:id="204" w:name="_Toc800204"/>
      <w:r>
        <w:rPr>
          <w:rFonts w:ascii="Times New Roman" w:hAnsi="Times New Roman" w:cs="Times New Roman"/>
          <w:b/>
          <w:sz w:val="24"/>
          <w:szCs w:val="24"/>
          <w:lang w:val="es-GT"/>
        </w:rPr>
        <w:t xml:space="preserve">Propósito del estudio</w:t>
      </w:r>
      <w:bookmarkEnd w:id="204"/>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El propósito del estudio es identificar y explicar los factores organizacionales que influyen en la adopción de prácticas de seguridad durante el desarrollo de software en equipos de empresas medianas del área metropolitana de Guatemala, para aportar evidencia local que sirva para orientar la capacitación, la gobernanza y la selección de herramientas.</w:t>
      </w:r>
    </w:p>
    <w:p>
      <w:pPr>
        <w:keepNext/>
        <w:spacing w:before="120" w:after="0" w:line="360" w:lineRule="auto"/>
        <w:jc w:val="left"/>
        <w:outlineLvl w:val="1"/>
        <w:rPr>
          <w:rFonts w:ascii="Times New Roman" w:hAnsi="Times New Roman" w:cs="Times New Roman"/>
          <w:lang w:val="es-GT"/>
        </w:rPr>
      </w:pPr>
      <w:bookmarkStart w:id="205" w:name="_Toc800205"/>
      <w:r>
        <w:rPr>
          <w:rFonts w:ascii="Times New Roman" w:hAnsi="Times New Roman" w:cs="Times New Roman"/>
          <w:b/>
          <w:sz w:val="24"/>
          <w:szCs w:val="24"/>
          <w:lang w:val="es-GT"/>
        </w:rPr>
        <w:t xml:space="preserve">Deficiencias en el conocimiento</w:t>
      </w:r>
      <w:bookmarkEnd w:id="205"/>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Se observan tres fallas. La primera es empírica: no se dispone de datos locales sobre el grado de adopción de prácticas de desarrollo seguro. La segunda es teórica: en la literatura sobre adopción (Rajapakse et al., 2022), los factores humanos y organizacionales han recibido menor atención que los tecnológicos. La tercera es de orden metodológico: no se localizaron instrumentos ajustados al contexto guatemalteco que evalúen la adopción de prácticas bajo un marco reconocido como el SSDF.</w:t>
      </w:r>
    </w:p>
    <w:p>
      <w:pPr>
        <w:keepNext/>
        <w:spacing w:before="120" w:after="0" w:line="360" w:lineRule="auto"/>
        <w:jc w:val="left"/>
        <w:outlineLvl w:val="1"/>
        <w:rPr>
          <w:rFonts w:ascii="Times New Roman" w:hAnsi="Times New Roman" w:cs="Times New Roman"/>
          <w:lang w:val="es-GT"/>
        </w:rPr>
      </w:pPr>
      <w:bookmarkStart w:id="206" w:name="_Toc800206"/>
      <w:r>
        <w:rPr>
          <w:rFonts w:ascii="Times New Roman" w:hAnsi="Times New Roman" w:cs="Times New Roman"/>
          <w:b/>
          <w:sz w:val="24"/>
          <w:szCs w:val="24"/>
          <w:lang w:val="es-GT"/>
        </w:rPr>
        <w:t xml:space="preserve">Árbol de problemas</w:t>
      </w:r>
      <w:bookmarkEnd w:id="206"/>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El árbol de problemas (Figura 1) ordena el problema principal, sus causas inmediatas y sus efectos. Las causas y efectos están respaldados por evidencia internacional; su verificación en el contexto guatemalteco corresponde al estudio y se presenta como hipótesis a contrastar en la Tabla 1.</w:t>
      </w:r>
    </w:p>
    <w:p>
      <w:pPr>
        <w:keepNext/>
        <w:spacing w:before="200" w:after="0" w:line="240" w:lineRule="auto"/>
        <w:jc w:val="left"/>
        <w:rPr>
          <w:rFonts w:ascii="Times New Roman" w:hAnsi="Times New Roman" w:cs="Times New Roman"/>
          <w:lang w:val="es-GT"/>
        </w:rPr>
      </w:pPr>
      <w:r>
        <w:rPr>
          <w:rFonts w:ascii="Times New Roman" w:hAnsi="Times New Roman" w:cs="Times New Roman"/>
          <w:b/>
          <w:sz w:val="22"/>
          <w:szCs w:val="22"/>
          <w:lang w:val="es-GT"/>
        </w:rPr>
        <w:t xml:space="preserve">Figura 1</w:t>
      </w:r>
    </w:p>
    <w:p>
      <w:pPr>
        <w:keepNext/>
        <w:spacing w:before="0" w:after="60" w:line="240" w:lineRule="auto"/>
        <w:jc w:val="left"/>
        <w:rPr>
          <w:rFonts w:ascii="Times New Roman" w:hAnsi="Times New Roman" w:cs="Times New Roman"/>
          <w:lang w:val="es-GT"/>
        </w:rPr>
      </w:pPr>
      <w:r>
        <w:rPr>
          <w:rFonts w:ascii="Times New Roman" w:hAnsi="Times New Roman" w:cs="Times New Roman"/>
          <w:i/>
          <w:sz w:val="22"/>
          <w:szCs w:val="22"/>
          <w:lang w:val="es-GT"/>
        </w:rPr>
        <w:t xml:space="preserve">Árbol de problemas</w:t>
      </w:r>
    </w:p>
    <w:p>
      <w:pPr>
        <w:keepNext/>
        <w:spacing w:before="60" w:after="0" w:line="240" w:lineRule="auto"/>
        <w:jc w:val="center"/>
      </w:pPr>
      <w:r>
        <w:drawing>
          <wp:inline distT="0" distB="0" distL="0" distR="0">
            <wp:extent cx="5700000" cy="4779230"/>
            <wp:docPr id="701" name="Figura 1" descr="Árbol de problemas: cinco causas, problema central y cuatro ef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fig1.png"/>
                    <pic:cNvPicPr/>
                  </pic:nvPicPr>
                  <pic:blipFill>
                    <a:blip r:embed="rIdFig1"/>
                    <a:stretch>
                      <a:fillRect/>
                    </a:stretch>
                  </pic:blipFill>
                  <pic:spPr>
                    <a:xfrm>
                      <a:off x="0" y="0"/>
                      <a:ext cx="5700000" cy="4779230"/>
                    </a:xfrm>
                    <a:prstGeom prst="rect">
                      <a:avLst/>
                    </a:prstGeom>
                  </pic:spPr>
                </pic:pic>
              </a:graphicData>
            </a:graphic>
          </wp:inline>
        </w:drawing>
      </w:r>
    </w:p>
    <w:p>
      <w:pPr>
        <w:spacing w:before="60" w:after="200" w:line="240" w:lineRule="auto"/>
        <w:jc w:val="left"/>
        <w:rPr>
          <w:rFonts w:ascii="Times New Roman" w:hAnsi="Times New Roman" w:cs="Times New Roman"/>
          <w:lang w:val="es-GT"/>
        </w:rPr>
      </w:pPr>
      <w:r>
        <w:rPr>
          <w:rFonts w:ascii="Times New Roman" w:hAnsi="Times New Roman" w:cs="Times New Roman"/>
          <w:i/>
          <w:sz w:val="20"/>
          <w:szCs w:val="20"/>
          <w:lang w:val="es-GT"/>
        </w:rPr>
        <w:t xml:space="preserve">Nota. </w:t>
      </w:r>
      <w:r>
        <w:rPr>
          <w:rFonts w:ascii="Times New Roman" w:hAnsi="Times New Roman" w:cs="Times New Roman"/>
          <w:sz w:val="20"/>
          <w:szCs w:val="20"/>
          <w:lang w:val="es-GT"/>
        </w:rPr>
        <w:t xml:space="preserve">Elaboración propia con base en Verizon (2026), Veracode (2026), IBM (2026), Rajapakse et al. (2022) y Ortega Ovalle (2026).</w:t>
      </w:r>
    </w:p>
    <w:p>
      <w:pPr>
        <w:keepNext/>
        <w:spacing w:before="200" w:after="0" w:line="240" w:lineRule="auto"/>
        <w:jc w:val="left"/>
        <w:rPr>
          <w:rFonts w:ascii="Times New Roman" w:hAnsi="Times New Roman" w:cs="Times New Roman"/>
          <w:lang w:val="es-GT"/>
        </w:rPr>
      </w:pPr>
      <w:r>
        <w:rPr>
          <w:rFonts w:ascii="Times New Roman" w:hAnsi="Times New Roman" w:cs="Times New Roman"/>
          <w:b/>
          <w:sz w:val="22"/>
          <w:szCs w:val="22"/>
          <w:lang w:val="es-GT"/>
        </w:rPr>
        <w:t xml:space="preserve">Tabla 1</w:t>
      </w:r>
    </w:p>
    <w:p>
      <w:pPr>
        <w:keepNext/>
        <w:spacing w:before="0" w:after="60" w:line="240" w:lineRule="auto"/>
        <w:jc w:val="left"/>
        <w:rPr>
          <w:rFonts w:ascii="Times New Roman" w:hAnsi="Times New Roman" w:cs="Times New Roman"/>
          <w:lang w:val="es-GT"/>
        </w:rPr>
      </w:pPr>
      <w:r>
        <w:rPr>
          <w:rFonts w:ascii="Times New Roman" w:hAnsi="Times New Roman" w:cs="Times New Roman"/>
          <w:i/>
          <w:sz w:val="22"/>
          <w:szCs w:val="22"/>
          <w:lang w:val="es-GT"/>
        </w:rPr>
        <w:t xml:space="preserve">Respaldo de las causas y los efectos del árbol de problemas</w:t>
      </w:r>
    </w:p>
    <w:tbl>
      <w:tblPr>
        <w:tblW w:w="9360" w:type="dxa"/>
        <w:tblLayout w:type="fixed"/>
        <w:tblLook w:val="04A0" w:firstRow="1" w:lastRow="0" w:firstColumn="1" w:lastColumn="0" w:noHBand="0" w:noVBand="1"/>
      </w:tblPr>
      <w:tblGrid>
        <w:gridCol w:w="2700"/>
        <w:gridCol w:w="5160"/>
        <w:gridCol w:w="1500"/>
      </w:tblGrid>
      <w:tr>
        <w:trPr>
          <w:cantSplit/>
          <w:tblHeader/>
        </w:trPr>
        <w:tc>
          <w:tcPr>
            <w:tcW w:w="2700" w:type="dxa"/>
            <w:tcBorders>
              <w:top w:val="single" w:sz="6" w:space="0" w:color="000000"/>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b/>
                <w:sz w:val="20"/>
                <w:szCs w:val="20"/>
                <w:lang w:val="es-GT"/>
              </w:rPr>
              <w:t xml:space="preserve">Elemento</w:t>
            </w:r>
          </w:p>
        </w:tc>
        <w:tc>
          <w:tcPr>
            <w:tcW w:w="5160" w:type="dxa"/>
            <w:tcBorders>
              <w:top w:val="single" w:sz="6" w:space="0" w:color="000000"/>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b/>
                <w:sz w:val="20"/>
                <w:szCs w:val="20"/>
                <w:lang w:val="es-GT"/>
              </w:rPr>
              <w:t xml:space="preserve">Respaldo disponible</w:t>
            </w:r>
          </w:p>
        </w:tc>
        <w:tc>
          <w:tcPr>
            <w:tcW w:w="1500" w:type="dxa"/>
            <w:tcBorders>
              <w:top w:val="single" w:sz="6" w:space="0" w:color="000000"/>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b/>
                <w:sz w:val="20"/>
                <w:szCs w:val="20"/>
                <w:lang w:val="es-GT"/>
              </w:rPr>
              <w:t xml:space="preserve">En el contexto local</w:t>
            </w:r>
          </w:p>
        </w:tc>
      </w:tr>
      <w:tr>
        <w:trPr>
          <w:cantSplit/>
        </w:trPr>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Causa 1. Capacitación insuficiente en desarrollo seguro</w:t>
            </w:r>
          </w:p>
        </w:tc>
        <w:tc>
          <w:tcPr>
            <w:tcW w:w="51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La capacitación continua figura como condición para adoptar DevSecOps (Ortega Ovalle, 2026); los factores de personas son críticos (Rajapakse et al., 2022).</w:t>
            </w:r>
          </w:p>
        </w:tc>
        <w:tc>
          <w:tcPr>
            <w:tcW w:w="15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Por contrastar</w:t>
            </w:r>
          </w:p>
        </w:tc>
      </w:tr>
      <w:tr>
        <w:trPr>
          <w:cantSplit/>
        </w:trPr>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Causa 2. Plazos de entrega que desplazan la seguridad</w:t>
            </w:r>
          </w:p>
        </w:tc>
        <w:tc>
          <w:tcPr>
            <w:tcW w:w="51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El equilibrio entre velocidad de entrega y seguridad es un desafío relevante (Rajapakse et al., 2022).</w:t>
            </w:r>
          </w:p>
        </w:tc>
        <w:tc>
          <w:tcPr>
            <w:tcW w:w="15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Por contrastar</w:t>
            </w:r>
          </w:p>
        </w:tc>
      </w:tr>
      <w:tr>
        <w:trPr>
          <w:cantSplit/>
        </w:trPr>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Causa 3. Políticas y responsables ausentes o débiles</w:t>
            </w:r>
          </w:p>
        </w:tc>
        <w:tc>
          <w:tcPr>
            <w:tcW w:w="51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Las políticas institucionales claras acompañan la adopción (Ortega Ovalle, 2026); el SSDF dedica un grupo de prácticas a preparar la organización (Souppaya et al., 2022).</w:t>
            </w:r>
          </w:p>
        </w:tc>
        <w:tc>
          <w:tcPr>
            <w:tcW w:w="15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Por contrastar</w:t>
            </w:r>
          </w:p>
        </w:tc>
      </w:tr>
      <w:tr>
        <w:trPr>
          <w:cantSplit/>
        </w:trPr>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Causa 4. Persistencia del enfoque de seguridad como etapa final</w:t>
            </w:r>
          </w:p>
        </w:tc>
        <w:tc>
          <w:tcPr>
            <w:tcW w:w="51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Analogía con la ciencia normal y la resistencia a un nuevo paradigma (Kuhn, 2017); Zero Trust y el SSDF proponen otro enfoque (Rose et al., 2020; Souppaya et al., 2022).</w:t>
            </w:r>
          </w:p>
        </w:tc>
        <w:tc>
          <w:tcPr>
            <w:tcW w:w="15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Por contrastar</w:t>
            </w:r>
          </w:p>
        </w:tc>
      </w:tr>
      <w:tr>
        <w:trPr>
          <w:cantSplit/>
        </w:trPr>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Causa 5. Poco conocimiento o costo de herramientas y marcos</w:t>
            </w:r>
          </w:p>
        </w:tc>
        <w:tc>
          <w:tcPr>
            <w:tcW w:w="51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Los desafíos de herramientas son los más reportados en la literatura (Rajapakse et al., 2022).</w:t>
            </w:r>
          </w:p>
        </w:tc>
        <w:tc>
          <w:tcPr>
            <w:tcW w:w="15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Por contrastar</w:t>
            </w:r>
          </w:p>
        </w:tc>
      </w:tr>
      <w:tr>
        <w:trPr>
          <w:cantSplit/>
        </w:trPr>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Efecto 1. Vulnerabilidades en producción</w:t>
            </w:r>
          </w:p>
        </w:tc>
        <w:tc>
          <w:tcPr>
            <w:tcW w:w="51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Deuda de seguridad en el 82 % de las organizaciones (Veracode, 2026).</w:t>
            </w:r>
          </w:p>
        </w:tc>
        <w:tc>
          <w:tcPr>
            <w:tcW w:w="15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Por dimensionar</w:t>
            </w:r>
          </w:p>
        </w:tc>
      </w:tr>
      <w:tr>
        <w:trPr>
          <w:cantSplit/>
        </w:trPr>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Efecto 2. Mayor costo y tiempo de corrección</w:t>
            </w:r>
          </w:p>
        </w:tc>
        <w:tc>
          <w:tcPr>
            <w:tcW w:w="51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Mediana de 43 días para parchear fallas críticas (Verizon, 2026).</w:t>
            </w:r>
          </w:p>
        </w:tc>
        <w:tc>
          <w:tcPr>
            <w:tcW w:w="15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Por dimensionar</w:t>
            </w:r>
          </w:p>
        </w:tc>
      </w:tr>
      <w:tr>
        <w:trPr>
          <w:cantSplit/>
        </w:trPr>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Efecto 3. Mayor exposición a incidentes y pérdida de datos</w:t>
            </w:r>
          </w:p>
        </w:tc>
        <w:tc>
          <w:tcPr>
            <w:tcW w:w="51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La explotación de vulnerabilidades es el vector inicial más frecuente (Verizon, 2026); costo medio de 4.99 millones de dólares por brecha (IBM, 2026).</w:t>
            </w:r>
          </w:p>
        </w:tc>
        <w:tc>
          <w:tcPr>
            <w:tcW w:w="15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Por dimensionar</w:t>
            </w:r>
          </w:p>
        </w:tc>
      </w:tr>
      <w:tr>
        <w:trPr>
          <w:cantSplit/>
        </w:trPr>
        <w:tc>
          <w:tcPr>
            <w:tcW w:w="2700" w:type="dxa"/>
            <w:tcBorders>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Efecto 4. Pérdida de confianza y riesgo de incumplimiento</w:t>
            </w:r>
          </w:p>
        </w:tc>
        <w:tc>
          <w:tcPr>
            <w:tcW w:w="5160" w:type="dxa"/>
            <w:tcBorders>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Aumento de 200 % en los ciberataques en Guatemala durante 2024 (Mastercard, 2025); iniciativa de ley en discusión (RSM Guatemala, s. f.).</w:t>
            </w:r>
          </w:p>
        </w:tc>
        <w:tc>
          <w:tcPr>
            <w:tcW w:w="1500" w:type="dxa"/>
            <w:tcBorders>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Por dimensionar</w:t>
            </w:r>
          </w:p>
        </w:tc>
      </w:tr>
    </w:tbl>
    <w:p>
      <w:pPr>
        <w:spacing w:before="60" w:after="200" w:line="240" w:lineRule="auto"/>
        <w:jc w:val="left"/>
        <w:rPr>
          <w:rFonts w:ascii="Times New Roman" w:hAnsi="Times New Roman" w:cs="Times New Roman"/>
          <w:lang w:val="es-GT"/>
        </w:rPr>
      </w:pPr>
      <w:r>
        <w:rPr>
          <w:rFonts w:ascii="Times New Roman" w:hAnsi="Times New Roman" w:cs="Times New Roman"/>
          <w:i/>
          <w:sz w:val="20"/>
          <w:szCs w:val="20"/>
          <w:lang w:val="es-GT"/>
        </w:rPr>
        <w:t xml:space="preserve">Nota. </w:t>
      </w:r>
      <w:r>
        <w:rPr>
          <w:rFonts w:ascii="Times New Roman" w:hAnsi="Times New Roman" w:cs="Times New Roman"/>
          <w:sz w:val="20"/>
          <w:szCs w:val="20"/>
          <w:lang w:val="es-GT"/>
        </w:rPr>
        <w:t xml:space="preserve">Elaboración propia. Las condiciones «por contrastar» y «por dimensionar» indican que el estudio debe verificarlas con datos locales.</w:t>
      </w:r>
    </w:p>
    <w:p>
      <w:pPr>
        <w:keepNext/>
        <w:spacing w:before="120" w:after="0" w:line="360" w:lineRule="auto"/>
        <w:jc w:val="left"/>
        <w:outlineLvl w:val="1"/>
        <w:rPr>
          <w:rFonts w:ascii="Times New Roman" w:hAnsi="Times New Roman" w:cs="Times New Roman"/>
          <w:lang w:val="es-GT"/>
        </w:rPr>
      </w:pPr>
      <w:bookmarkStart w:id="207" w:name="_Toc800207"/>
      <w:r>
        <w:rPr>
          <w:rFonts w:ascii="Times New Roman" w:hAnsi="Times New Roman" w:cs="Times New Roman"/>
          <w:b/>
          <w:sz w:val="24"/>
          <w:szCs w:val="24"/>
          <w:lang w:val="es-GT"/>
        </w:rPr>
        <w:t xml:space="preserve">Árbol de objetivos</w:t>
      </w:r>
      <w:bookmarkEnd w:id="207"/>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A partir del árbol de problemas cada causa se convierte en medio y cada efecto en fin (Figura 2). El problema principal pasa a ser el objetivo principal del estudio.</w:t>
      </w:r>
    </w:p>
    <w:p>
      <w:pPr>
        <w:keepNext/>
        <w:spacing w:before="200" w:after="0" w:line="240" w:lineRule="auto"/>
        <w:jc w:val="left"/>
        <w:rPr>
          <w:rFonts w:ascii="Times New Roman" w:hAnsi="Times New Roman" w:cs="Times New Roman"/>
          <w:lang w:val="es-GT"/>
        </w:rPr>
      </w:pPr>
      <w:r>
        <w:rPr>
          <w:rFonts w:ascii="Times New Roman" w:hAnsi="Times New Roman" w:cs="Times New Roman"/>
          <w:b/>
          <w:sz w:val="22"/>
          <w:szCs w:val="22"/>
          <w:lang w:val="es-GT"/>
        </w:rPr>
        <w:t xml:space="preserve">Figura 2</w:t>
      </w:r>
    </w:p>
    <w:p>
      <w:pPr>
        <w:keepNext/>
        <w:spacing w:before="0" w:after="60" w:line="240" w:lineRule="auto"/>
        <w:jc w:val="left"/>
        <w:rPr>
          <w:rFonts w:ascii="Times New Roman" w:hAnsi="Times New Roman" w:cs="Times New Roman"/>
          <w:lang w:val="es-GT"/>
        </w:rPr>
      </w:pPr>
      <w:r>
        <w:rPr>
          <w:rFonts w:ascii="Times New Roman" w:hAnsi="Times New Roman" w:cs="Times New Roman"/>
          <w:i/>
          <w:sz w:val="22"/>
          <w:szCs w:val="22"/>
          <w:lang w:val="es-GT"/>
        </w:rPr>
        <w:t xml:space="preserve">Árbol de objetivos</w:t>
      </w:r>
    </w:p>
    <w:p>
      <w:pPr>
        <w:keepNext/>
        <w:spacing w:before="60" w:after="0" w:line="240" w:lineRule="auto"/>
        <w:jc w:val="center"/>
      </w:pPr>
      <w:r>
        <w:drawing>
          <wp:inline distT="0" distB="0" distL="0" distR="0">
            <wp:extent cx="5700000" cy="4779230"/>
            <wp:docPr id="702" name="Figura 2" descr="Árbol de objetivos: cinco medios, objetivo central y cuatro f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fig2.png"/>
                    <pic:cNvPicPr/>
                  </pic:nvPicPr>
                  <pic:blipFill>
                    <a:blip r:embed="rIdFig2"/>
                    <a:stretch>
                      <a:fillRect/>
                    </a:stretch>
                  </pic:blipFill>
                  <pic:spPr>
                    <a:xfrm>
                      <a:off x="0" y="0"/>
                      <a:ext cx="5700000" cy="4779230"/>
                    </a:xfrm>
                    <a:prstGeom prst="rect">
                      <a:avLst/>
                    </a:prstGeom>
                  </pic:spPr>
                </pic:pic>
              </a:graphicData>
            </a:graphic>
          </wp:inline>
        </w:drawing>
      </w:r>
    </w:p>
    <w:p>
      <w:pPr>
        <w:spacing w:before="60" w:after="200" w:line="240" w:lineRule="auto"/>
        <w:jc w:val="left"/>
        <w:rPr>
          <w:rFonts w:ascii="Times New Roman" w:hAnsi="Times New Roman" w:cs="Times New Roman"/>
          <w:lang w:val="es-GT"/>
        </w:rPr>
      </w:pPr>
      <w:r>
        <w:rPr>
          <w:rFonts w:ascii="Times New Roman" w:hAnsi="Times New Roman" w:cs="Times New Roman"/>
          <w:i/>
          <w:sz w:val="20"/>
          <w:szCs w:val="20"/>
          <w:lang w:val="es-GT"/>
        </w:rPr>
        <w:t xml:space="preserve">Nota. </w:t>
      </w:r>
      <w:r>
        <w:rPr>
          <w:rFonts w:ascii="Times New Roman" w:hAnsi="Times New Roman" w:cs="Times New Roman"/>
          <w:sz w:val="20"/>
          <w:szCs w:val="20"/>
          <w:lang w:val="es-GT"/>
        </w:rPr>
        <w:t xml:space="preserve">Elaboración propia a partir del árbol de problemas.</w:t>
      </w:r>
    </w:p>
    <w:p>
      <w:pPr>
        <w:keepNext/>
        <w:spacing w:before="120" w:after="0" w:line="360" w:lineRule="auto"/>
        <w:jc w:val="left"/>
        <w:outlineLvl w:val="1"/>
        <w:rPr>
          <w:rFonts w:ascii="Times New Roman" w:hAnsi="Times New Roman" w:cs="Times New Roman"/>
          <w:lang w:val="es-GT"/>
        </w:rPr>
      </w:pPr>
      <w:bookmarkStart w:id="208" w:name="_Toc800208"/>
      <w:r>
        <w:rPr>
          <w:rFonts w:ascii="Times New Roman" w:hAnsi="Times New Roman" w:cs="Times New Roman"/>
          <w:b/>
          <w:sz w:val="24"/>
          <w:szCs w:val="24"/>
          <w:lang w:val="es-GT"/>
        </w:rPr>
        <w:t xml:space="preserve">Pregunta de investigación</w:t>
      </w:r>
      <w:bookmarkEnd w:id="208"/>
    </w:p>
    <w:p>
      <w:pPr>
        <w:spacing w:before="0" w:after="0" w:line="360" w:lineRule="auto"/>
        <w:ind w:firstLine="720"/>
        <w:jc w:val="both"/>
        <w:rPr>
          <w:rFonts w:ascii="Times New Roman" w:hAnsi="Times New Roman" w:cs="Times New Roman"/>
          <w:lang w:val="es-GT"/>
        </w:rPr>
      </w:pPr>
      <w:r>
        <w:rPr>
          <w:rFonts w:ascii="Times New Roman" w:hAnsi="Times New Roman" w:cs="Times New Roman"/>
          <w:b/>
          <w:sz w:val="24"/>
          <w:szCs w:val="24"/>
          <w:lang w:val="es-GT"/>
        </w:rPr>
        <w:t xml:space="preserve">Pregunta central. </w:t>
      </w:r>
      <w:r>
        <w:rPr>
          <w:rFonts w:ascii="Times New Roman" w:hAnsi="Times New Roman" w:cs="Times New Roman"/>
          <w:sz w:val="24"/>
          <w:szCs w:val="24"/>
          <w:lang w:val="es-GT"/>
        </w:rPr>
        <w:t xml:space="preserve">¿Qué factores organizacionales influyen en la adopción de prácticas de seguridad en el ciclo de desarrollo de software en equipos de desarrollo de empresas medianas del área metropolitana de Guatemala durante el año 2027?</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Las subpreguntas descomponen el problema en tres dimensiones manejables:</w:t>
      </w:r>
    </w:p>
    <w:p>
      <w:pPr>
        <w:spacing w:before="0" w:after="0" w:line="360" w:lineRule="auto"/>
        <w:ind w:left="720" w:hanging="360"/>
        <w:jc w:val="both"/>
        <w:rPr>
          <w:rFonts w:ascii="Times New Roman" w:hAnsi="Times New Roman" w:cs="Times New Roman"/>
          <w:lang w:val="es-GT"/>
        </w:rPr>
      </w:pPr>
      <w:r>
        <w:rPr>
          <w:rFonts w:ascii="Times New Roman" w:hAnsi="Times New Roman" w:cs="Times New Roman"/>
          <w:sz w:val="24"/>
          <w:szCs w:val="24"/>
          <w:lang w:val="es-GT"/>
        </w:rPr>
        <w:t xml:space="preserve">1. </w:t>
      </w:r>
      <w:r>
        <w:rPr>
          <w:rFonts w:ascii="Times New Roman" w:hAnsi="Times New Roman" w:cs="Times New Roman"/>
          <w:sz w:val="24"/>
          <w:szCs w:val="24"/>
          <w:lang w:val="es-GT"/>
        </w:rPr>
        <w:t xml:space="preserve">¿Qué prácticas de seguridad del ciclo de desarrollo de software, según el marco SSDF del NIST, aplican actualmente estos equipos y con qué grado de formalidad?</w:t>
      </w:r>
    </w:p>
    <w:p>
      <w:pPr>
        <w:spacing w:before="0" w:after="0" w:line="360" w:lineRule="auto"/>
        <w:ind w:left="720" w:hanging="360"/>
        <w:jc w:val="both"/>
        <w:rPr>
          <w:rFonts w:ascii="Times New Roman" w:hAnsi="Times New Roman" w:cs="Times New Roman"/>
          <w:lang w:val="es-GT"/>
        </w:rPr>
      </w:pPr>
      <w:r>
        <w:rPr>
          <w:rFonts w:ascii="Times New Roman" w:hAnsi="Times New Roman" w:cs="Times New Roman"/>
          <w:sz w:val="24"/>
          <w:szCs w:val="24"/>
          <w:lang w:val="es-GT"/>
        </w:rPr>
        <w:t xml:space="preserve">2. </w:t>
      </w:r>
      <w:r>
        <w:rPr>
          <w:rFonts w:ascii="Times New Roman" w:hAnsi="Times New Roman" w:cs="Times New Roman"/>
          <w:sz w:val="24"/>
          <w:szCs w:val="24"/>
          <w:lang w:val="es-GT"/>
        </w:rPr>
        <w:t xml:space="preserve">¿Qué barreras relacionadas con las personas, las prácticas, las herramientas, la infraestructura y la gobernanza perciben los equipos para integrar la seguridad en su desarrollo?</w:t>
      </w:r>
    </w:p>
    <w:p>
      <w:pPr>
        <w:spacing w:before="0" w:after="0" w:line="360" w:lineRule="auto"/>
        <w:ind w:left="720" w:hanging="360"/>
        <w:jc w:val="both"/>
        <w:rPr>
          <w:rFonts w:ascii="Times New Roman" w:hAnsi="Times New Roman" w:cs="Times New Roman"/>
          <w:lang w:val="es-GT"/>
        </w:rPr>
      </w:pPr>
      <w:r>
        <w:rPr>
          <w:rFonts w:ascii="Times New Roman" w:hAnsi="Times New Roman" w:cs="Times New Roman"/>
          <w:sz w:val="24"/>
          <w:szCs w:val="24"/>
          <w:lang w:val="es-GT"/>
        </w:rPr>
        <w:t xml:space="preserve">3. </w:t>
      </w:r>
      <w:r>
        <w:rPr>
          <w:rFonts w:ascii="Times New Roman" w:hAnsi="Times New Roman" w:cs="Times New Roman"/>
          <w:sz w:val="24"/>
          <w:szCs w:val="24"/>
          <w:lang w:val="es-GT"/>
        </w:rPr>
        <w:t xml:space="preserve">¿Qué relación existe entre el nivel de capacitación en desarrollo seguro y el grado de adopción de prácticas de seguridad?</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La pregunta se valora con los criterios FINER (Tabla 2).</w:t>
      </w:r>
    </w:p>
    <w:p>
      <w:pPr>
        <w:keepNext/>
        <w:spacing w:before="200" w:after="0" w:line="240" w:lineRule="auto"/>
        <w:jc w:val="left"/>
        <w:rPr>
          <w:rFonts w:ascii="Times New Roman" w:hAnsi="Times New Roman" w:cs="Times New Roman"/>
          <w:lang w:val="es-GT"/>
        </w:rPr>
      </w:pPr>
      <w:r>
        <w:rPr>
          <w:rFonts w:ascii="Times New Roman" w:hAnsi="Times New Roman" w:cs="Times New Roman"/>
          <w:b/>
          <w:sz w:val="22"/>
          <w:szCs w:val="22"/>
          <w:lang w:val="es-GT"/>
        </w:rPr>
        <w:t xml:space="preserve">Tabla 2</w:t>
      </w:r>
    </w:p>
    <w:p>
      <w:pPr>
        <w:keepNext/>
        <w:spacing w:before="0" w:after="60" w:line="240" w:lineRule="auto"/>
        <w:jc w:val="left"/>
        <w:rPr>
          <w:rFonts w:ascii="Times New Roman" w:hAnsi="Times New Roman" w:cs="Times New Roman"/>
          <w:lang w:val="es-GT"/>
        </w:rPr>
      </w:pPr>
      <w:r>
        <w:rPr>
          <w:rFonts w:ascii="Times New Roman" w:hAnsi="Times New Roman" w:cs="Times New Roman"/>
          <w:i/>
          <w:sz w:val="22"/>
          <w:szCs w:val="22"/>
          <w:lang w:val="es-GT"/>
        </w:rPr>
        <w:t xml:space="preserve">Valoración de la pregunta de investigación según los criterios FINER</w:t>
      </w:r>
    </w:p>
    <w:tbl>
      <w:tblPr>
        <w:tblW w:w="9360" w:type="dxa"/>
        <w:tblLayout w:type="fixed"/>
        <w:tblLook w:val="04A0" w:firstRow="1" w:lastRow="0" w:firstColumn="1" w:lastColumn="0" w:noHBand="0" w:noVBand="1"/>
      </w:tblPr>
      <w:tblGrid>
        <w:gridCol w:w="2000"/>
        <w:gridCol w:w="7360"/>
      </w:tblGrid>
      <w:tr>
        <w:trPr>
          <w:cantSplit/>
          <w:tblHeader/>
        </w:trPr>
        <w:tc>
          <w:tcPr>
            <w:tcW w:w="2000" w:type="dxa"/>
            <w:tcBorders>
              <w:top w:val="single" w:sz="6" w:space="0" w:color="000000"/>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b/>
                <w:sz w:val="20"/>
                <w:szCs w:val="20"/>
                <w:lang w:val="es-GT"/>
              </w:rPr>
              <w:t xml:space="preserve">Criterio</w:t>
            </w:r>
          </w:p>
        </w:tc>
        <w:tc>
          <w:tcPr>
            <w:tcW w:w="7360" w:type="dxa"/>
            <w:tcBorders>
              <w:top w:val="single" w:sz="6" w:space="0" w:color="000000"/>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b/>
                <w:sz w:val="20"/>
                <w:szCs w:val="20"/>
                <w:lang w:val="es-GT"/>
              </w:rPr>
              <w:t xml:space="preserve">Valoración</w:t>
            </w:r>
          </w:p>
        </w:tc>
      </w:tr>
      <w:tr>
        <w:trPr>
          <w:cantSplit/>
        </w:trPr>
        <w:tc>
          <w:tcPr>
            <w:tcW w:w="20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Factible</w:t>
            </w:r>
          </w:p>
        </w:tc>
        <w:tc>
          <w:tcPr>
            <w:tcW w:w="73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Está delimitada a una ciudad, un periodo y una población accesible.</w:t>
            </w:r>
          </w:p>
        </w:tc>
      </w:tr>
      <w:tr>
        <w:trPr>
          <w:cantSplit/>
        </w:trPr>
        <w:tc>
          <w:tcPr>
            <w:tcW w:w="20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Interesante</w:t>
            </w:r>
          </w:p>
        </w:tc>
        <w:tc>
          <w:tcPr>
            <w:tcW w:w="73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Conecta la teoría de los paradigmas con una práctica profesional actual.</w:t>
            </w:r>
          </w:p>
        </w:tc>
      </w:tr>
      <w:tr>
        <w:trPr>
          <w:cantSplit/>
        </w:trPr>
        <w:tc>
          <w:tcPr>
            <w:tcW w:w="20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Novedosa</w:t>
            </w:r>
          </w:p>
        </w:tc>
        <w:tc>
          <w:tcPr>
            <w:tcW w:w="73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No se localizaron estudios guatemaltecos sobre el tema.</w:t>
            </w:r>
          </w:p>
        </w:tc>
      </w:tr>
      <w:tr>
        <w:trPr>
          <w:cantSplit/>
        </w:trPr>
        <w:tc>
          <w:tcPr>
            <w:tcW w:w="20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Ética</w:t>
            </w:r>
          </w:p>
        </w:tc>
        <w:tc>
          <w:tcPr>
            <w:tcW w:w="73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No recolecta código ni datos sensibles; la participación es voluntaria y anónima.</w:t>
            </w:r>
          </w:p>
        </w:tc>
      </w:tr>
      <w:tr>
        <w:trPr>
          <w:cantSplit/>
        </w:trPr>
        <w:tc>
          <w:tcPr>
            <w:tcW w:w="2000" w:type="dxa"/>
            <w:tcBorders>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Relevante</w:t>
            </w:r>
          </w:p>
        </w:tc>
        <w:tc>
          <w:tcPr>
            <w:tcW w:w="7360" w:type="dxa"/>
            <w:tcBorders>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Aporta evidencia para orientar la capacitación, las políticas y las herramientas de seguridad.</w:t>
            </w:r>
          </w:p>
        </w:tc>
      </w:tr>
    </w:tbl>
    <w:p>
      <w:pPr>
        <w:spacing w:before="60" w:after="200" w:line="240" w:lineRule="auto"/>
        <w:jc w:val="left"/>
        <w:rPr>
          <w:rFonts w:ascii="Times New Roman" w:hAnsi="Times New Roman" w:cs="Times New Roman"/>
          <w:lang w:val="es-GT"/>
        </w:rPr>
      </w:pPr>
      <w:r>
        <w:rPr>
          <w:rFonts w:ascii="Times New Roman" w:hAnsi="Times New Roman" w:cs="Times New Roman"/>
          <w:i/>
          <w:sz w:val="20"/>
          <w:szCs w:val="20"/>
          <w:lang w:val="es-GT"/>
        </w:rPr>
        <w:t xml:space="preserve">Nota. </w:t>
      </w:r>
      <w:r>
        <w:rPr>
          <w:rFonts w:ascii="Times New Roman" w:hAnsi="Times New Roman" w:cs="Times New Roman"/>
          <w:sz w:val="20"/>
          <w:szCs w:val="20"/>
          <w:lang w:val="es-GT"/>
        </w:rPr>
        <w:t xml:space="preserve">Elaboración propia.</w:t>
      </w:r>
    </w:p>
    <w:p>
      <w:pPr>
        <w:keepNext/>
        <w:spacing w:before="240" w:after="0" w:line="360" w:lineRule="auto"/>
        <w:jc w:val="center"/>
        <w:outlineLvl w:val="0"/>
        <w:rPr>
          <w:rFonts w:ascii="Times New Roman" w:hAnsi="Times New Roman" w:cs="Times New Roman"/>
          <w:lang w:val="es-GT"/>
        </w:rPr>
      </w:pPr>
      <w:bookmarkStart w:id="209" w:name="_Toc800209"/>
      <w:r>
        <w:rPr>
          <w:rFonts w:ascii="Times New Roman" w:hAnsi="Times New Roman" w:cs="Times New Roman"/>
          <w:b/>
          <w:sz w:val="24"/>
          <w:szCs w:val="24"/>
          <w:lang w:val="es-GT"/>
        </w:rPr>
        <w:t xml:space="preserve">Objetivos</w:t>
      </w:r>
      <w:bookmarkEnd w:id="209"/>
    </w:p>
    <w:p>
      <w:pPr>
        <w:keepNext/>
        <w:spacing w:before="120" w:after="0" w:line="360" w:lineRule="auto"/>
        <w:jc w:val="left"/>
        <w:outlineLvl w:val="1"/>
        <w:rPr>
          <w:rFonts w:ascii="Times New Roman" w:hAnsi="Times New Roman" w:cs="Times New Roman"/>
          <w:lang w:val="es-GT"/>
        </w:rPr>
      </w:pPr>
      <w:bookmarkStart w:id="210" w:name="_Toc800210"/>
      <w:r>
        <w:rPr>
          <w:rFonts w:ascii="Times New Roman" w:hAnsi="Times New Roman" w:cs="Times New Roman"/>
          <w:b/>
          <w:sz w:val="24"/>
          <w:szCs w:val="24"/>
          <w:lang w:val="es-GT"/>
        </w:rPr>
        <w:t xml:space="preserve">Objetivo general</w:t>
      </w:r>
      <w:bookmarkEnd w:id="210"/>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Analizar los factores organizacionales que inciden en la adopción de prácticas de seguridad durante el ciclo de desarrollo de software en equipos de desarrollo de empresas medianas del área metropolitana de Guatemala en el año 2027.</w:t>
      </w:r>
    </w:p>
    <w:p>
      <w:pPr>
        <w:keepNext/>
        <w:spacing w:before="120" w:after="0" w:line="360" w:lineRule="auto"/>
        <w:jc w:val="left"/>
        <w:outlineLvl w:val="1"/>
        <w:rPr>
          <w:rFonts w:ascii="Times New Roman" w:hAnsi="Times New Roman" w:cs="Times New Roman"/>
          <w:lang w:val="es-GT"/>
        </w:rPr>
      </w:pPr>
      <w:bookmarkStart w:id="211" w:name="_Toc800211"/>
      <w:r>
        <w:rPr>
          <w:rFonts w:ascii="Times New Roman" w:hAnsi="Times New Roman" w:cs="Times New Roman"/>
          <w:b/>
          <w:sz w:val="24"/>
          <w:szCs w:val="24"/>
          <w:lang w:val="es-GT"/>
        </w:rPr>
        <w:t xml:space="preserve">Objetivos específicos</w:t>
      </w:r>
      <w:bookmarkEnd w:id="211"/>
    </w:p>
    <w:p>
      <w:pPr>
        <w:spacing w:before="0" w:after="0" w:line="360" w:lineRule="auto"/>
        <w:ind w:left="720" w:hanging="360"/>
        <w:jc w:val="both"/>
        <w:rPr>
          <w:rFonts w:ascii="Times New Roman" w:hAnsi="Times New Roman" w:cs="Times New Roman"/>
          <w:lang w:val="es-GT"/>
        </w:rPr>
      </w:pPr>
      <w:r>
        <w:rPr>
          <w:rFonts w:ascii="Times New Roman" w:hAnsi="Times New Roman" w:cs="Times New Roman"/>
          <w:sz w:val="24"/>
          <w:szCs w:val="24"/>
          <w:lang w:val="es-GT"/>
        </w:rPr>
        <w:t xml:space="preserve">1. </w:t>
      </w:r>
      <w:r>
        <w:rPr>
          <w:rFonts w:ascii="Times New Roman" w:hAnsi="Times New Roman" w:cs="Times New Roman"/>
          <w:sz w:val="24"/>
          <w:szCs w:val="24"/>
          <w:lang w:val="es-GT"/>
        </w:rPr>
        <w:t xml:space="preserve">Identificar las prácticas de seguridad en el ciclo de vida de desarrollo de software que aplican los equipos de desarrollo, con base en los grupos de prácticas del marco SSDF del NIST.</w:t>
      </w:r>
    </w:p>
    <w:p>
      <w:pPr>
        <w:spacing w:before="0" w:after="0" w:line="360" w:lineRule="auto"/>
        <w:ind w:left="720" w:hanging="360"/>
        <w:jc w:val="both"/>
        <w:rPr>
          <w:rFonts w:ascii="Times New Roman" w:hAnsi="Times New Roman" w:cs="Times New Roman"/>
          <w:lang w:val="es-GT"/>
        </w:rPr>
      </w:pPr>
      <w:r>
        <w:rPr>
          <w:rFonts w:ascii="Times New Roman" w:hAnsi="Times New Roman" w:cs="Times New Roman"/>
          <w:sz w:val="24"/>
          <w:szCs w:val="24"/>
          <w:lang w:val="es-GT"/>
        </w:rPr>
        <w:t xml:space="preserve">2. </w:t>
      </w:r>
      <w:r>
        <w:rPr>
          <w:rFonts w:ascii="Times New Roman" w:hAnsi="Times New Roman" w:cs="Times New Roman"/>
          <w:sz w:val="24"/>
          <w:szCs w:val="24"/>
          <w:lang w:val="es-GT"/>
        </w:rPr>
        <w:t xml:space="preserve">Describir las barreras de personas, prácticas, herramientas, infraestructura y gobernanza que perciben los equipos para incorporar la seguridad en su desarrollo.</w:t>
      </w:r>
    </w:p>
    <w:p>
      <w:pPr>
        <w:spacing w:before="0" w:after="0" w:line="360" w:lineRule="auto"/>
        <w:ind w:left="720" w:hanging="360"/>
        <w:jc w:val="both"/>
        <w:rPr>
          <w:rFonts w:ascii="Times New Roman" w:hAnsi="Times New Roman" w:cs="Times New Roman"/>
          <w:lang w:val="es-GT"/>
        </w:rPr>
      </w:pPr>
      <w:r>
        <w:rPr>
          <w:rFonts w:ascii="Times New Roman" w:hAnsi="Times New Roman" w:cs="Times New Roman"/>
          <w:sz w:val="24"/>
          <w:szCs w:val="24"/>
          <w:lang w:val="es-GT"/>
        </w:rPr>
        <w:t xml:space="preserve">3. </w:t>
      </w:r>
      <w:r>
        <w:rPr>
          <w:rFonts w:ascii="Times New Roman" w:hAnsi="Times New Roman" w:cs="Times New Roman"/>
          <w:sz w:val="24"/>
          <w:szCs w:val="24"/>
          <w:lang w:val="es-GT"/>
        </w:rPr>
        <w:t xml:space="preserve">Determinar la relación entre el nivel de capacitación en desarrollo seguro y el grado de adopción de las prácticas de seguridad.</w:t>
      </w:r>
    </w:p>
    <w:p>
      <w:pPr>
        <w:keepNext/>
        <w:spacing w:before="240" w:after="0" w:line="360" w:lineRule="auto"/>
        <w:jc w:val="center"/>
        <w:outlineLvl w:val="0"/>
        <w:rPr>
          <w:rFonts w:ascii="Times New Roman" w:hAnsi="Times New Roman" w:cs="Times New Roman"/>
          <w:lang w:val="es-GT"/>
        </w:rPr>
      </w:pPr>
      <w:bookmarkStart w:id="212" w:name="_Toc800212"/>
      <w:r>
        <w:rPr>
          <w:rFonts w:ascii="Times New Roman" w:hAnsi="Times New Roman" w:cs="Times New Roman"/>
          <w:b/>
          <w:sz w:val="24"/>
          <w:szCs w:val="24"/>
          <w:lang w:val="es-GT"/>
        </w:rPr>
        <w:t xml:space="preserve">Alcances y límites</w:t>
      </w:r>
      <w:bookmarkEnd w:id="212"/>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El estudio es descriptivo y correlacional. Describe el nivel de adopción de las prácticas de desarrollo seguro y analiza su relación con los factores organizacionales. No evalúa la calidad técnica del código ni detecta vulnerabilidades específicas de las aplicaciones de las empresas participantes. En la Tabla 3 se resumen las delimitaciones.</w:t>
      </w:r>
    </w:p>
    <w:p>
      <w:pPr>
        <w:keepNext/>
        <w:spacing w:before="200" w:after="0" w:line="240" w:lineRule="auto"/>
        <w:jc w:val="left"/>
        <w:rPr>
          <w:rFonts w:ascii="Times New Roman" w:hAnsi="Times New Roman" w:cs="Times New Roman"/>
          <w:lang w:val="es-GT"/>
        </w:rPr>
      </w:pPr>
      <w:r>
        <w:rPr>
          <w:rFonts w:ascii="Times New Roman" w:hAnsi="Times New Roman" w:cs="Times New Roman"/>
          <w:b/>
          <w:sz w:val="22"/>
          <w:szCs w:val="22"/>
          <w:lang w:val="es-GT"/>
        </w:rPr>
        <w:t xml:space="preserve">Tabla 3</w:t>
      </w:r>
    </w:p>
    <w:p>
      <w:pPr>
        <w:keepNext/>
        <w:spacing w:before="0" w:after="60" w:line="240" w:lineRule="auto"/>
        <w:jc w:val="left"/>
        <w:rPr>
          <w:rFonts w:ascii="Times New Roman" w:hAnsi="Times New Roman" w:cs="Times New Roman"/>
          <w:lang w:val="es-GT"/>
        </w:rPr>
      </w:pPr>
      <w:r>
        <w:rPr>
          <w:rFonts w:ascii="Times New Roman" w:hAnsi="Times New Roman" w:cs="Times New Roman"/>
          <w:i/>
          <w:sz w:val="22"/>
          <w:szCs w:val="22"/>
          <w:lang w:val="es-GT"/>
        </w:rPr>
        <w:t xml:space="preserve">Delimitación del estudio</w:t>
      </w:r>
    </w:p>
    <w:tbl>
      <w:tblPr>
        <w:tblW w:w="9360" w:type="dxa"/>
        <w:tblLayout w:type="fixed"/>
        <w:tblLook w:val="04A0" w:firstRow="1" w:lastRow="0" w:firstColumn="1" w:lastColumn="0" w:noHBand="0" w:noVBand="1"/>
      </w:tblPr>
      <w:tblGrid>
        <w:gridCol w:w="2000"/>
        <w:gridCol w:w="7360"/>
      </w:tblGrid>
      <w:tr>
        <w:trPr>
          <w:cantSplit/>
          <w:tblHeader/>
        </w:trPr>
        <w:tc>
          <w:tcPr>
            <w:tcW w:w="2000" w:type="dxa"/>
            <w:tcBorders>
              <w:top w:val="single" w:sz="6" w:space="0" w:color="000000"/>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b/>
                <w:sz w:val="20"/>
                <w:szCs w:val="20"/>
                <w:lang w:val="es-GT"/>
              </w:rPr>
              <w:t xml:space="preserve">Dimensión</w:t>
            </w:r>
          </w:p>
        </w:tc>
        <w:tc>
          <w:tcPr>
            <w:tcW w:w="7360" w:type="dxa"/>
            <w:tcBorders>
              <w:top w:val="single" w:sz="6" w:space="0" w:color="000000"/>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b/>
                <w:sz w:val="20"/>
                <w:szCs w:val="20"/>
                <w:lang w:val="es-GT"/>
              </w:rPr>
              <w:t xml:space="preserve">Delimitación</w:t>
            </w:r>
          </w:p>
        </w:tc>
      </w:tr>
      <w:tr>
        <w:trPr>
          <w:cantSplit/>
        </w:trPr>
        <w:tc>
          <w:tcPr>
            <w:tcW w:w="20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Espacial</w:t>
            </w:r>
          </w:p>
        </w:tc>
        <w:tc>
          <w:tcPr>
            <w:tcW w:w="73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Área metropolitana de Guatemala.</w:t>
            </w:r>
          </w:p>
        </w:tc>
      </w:tr>
      <w:tr>
        <w:trPr>
          <w:cantSplit/>
        </w:trPr>
        <w:tc>
          <w:tcPr>
            <w:tcW w:w="20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Temporal</w:t>
            </w:r>
          </w:p>
        </w:tc>
        <w:tc>
          <w:tcPr>
            <w:tcW w:w="73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Recolección de datos entre abril y agosto de 2027, conforme al cronograma del curso.</w:t>
            </w:r>
          </w:p>
        </w:tc>
      </w:tr>
      <w:tr>
        <w:trPr>
          <w:cantSplit/>
        </w:trPr>
        <w:tc>
          <w:tcPr>
            <w:tcW w:w="20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Poblacional</w:t>
            </w:r>
          </w:p>
        </w:tc>
        <w:tc>
          <w:tcPr>
            <w:tcW w:w="73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Equipos de desarrollo (líderes técnicos y desarrolladores) de empresas medianas que construyen o mantienen software.</w:t>
            </w:r>
          </w:p>
        </w:tc>
      </w:tr>
      <w:tr>
        <w:trPr>
          <w:cantSplit/>
        </w:trPr>
        <w:tc>
          <w:tcPr>
            <w:tcW w:w="2000" w:type="dxa"/>
            <w:tcBorders>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Conceptual</w:t>
            </w:r>
          </w:p>
        </w:tc>
        <w:tc>
          <w:tcPr>
            <w:tcW w:w="7360" w:type="dxa"/>
            <w:tcBorders>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Prácticas de desarrollo seguro según el SSDF versión 1.1; factores organizacionales agrupados en personas, prácticas, herramientas, infraestructura y gobernanza.</w:t>
            </w:r>
          </w:p>
        </w:tc>
      </w:tr>
    </w:tbl>
    <w:p>
      <w:pPr>
        <w:spacing w:before="60" w:after="200" w:line="240" w:lineRule="auto"/>
        <w:jc w:val="left"/>
        <w:rPr>
          <w:rFonts w:ascii="Times New Roman" w:hAnsi="Times New Roman" w:cs="Times New Roman"/>
          <w:lang w:val="es-GT"/>
        </w:rPr>
      </w:pPr>
      <w:r>
        <w:rPr>
          <w:rFonts w:ascii="Times New Roman" w:hAnsi="Times New Roman" w:cs="Times New Roman"/>
          <w:i/>
          <w:sz w:val="20"/>
          <w:szCs w:val="20"/>
          <w:lang w:val="es-GT"/>
        </w:rPr>
        <w:t xml:space="preserve">Nota. </w:t>
      </w:r>
      <w:r>
        <w:rPr>
          <w:rFonts w:ascii="Times New Roman" w:hAnsi="Times New Roman" w:cs="Times New Roman"/>
          <w:sz w:val="20"/>
          <w:szCs w:val="20"/>
          <w:lang w:val="es-GT"/>
        </w:rPr>
        <w:t xml:space="preserve">Elaboración propia.</w:t>
      </w:r>
    </w:p>
    <w:p>
      <w:pPr>
        <w:keepNext/>
        <w:spacing w:before="240" w:after="0" w:line="360" w:lineRule="auto"/>
        <w:jc w:val="center"/>
        <w:outlineLvl w:val="0"/>
        <w:rPr>
          <w:rFonts w:ascii="Times New Roman" w:hAnsi="Times New Roman" w:cs="Times New Roman"/>
          <w:lang w:val="es-GT"/>
        </w:rPr>
      </w:pPr>
      <w:bookmarkStart w:id="213" w:name="_Toc800213"/>
      <w:r>
        <w:rPr>
          <w:rFonts w:ascii="Times New Roman" w:hAnsi="Times New Roman" w:cs="Times New Roman"/>
          <w:b/>
          <w:sz w:val="24"/>
          <w:szCs w:val="24"/>
          <w:lang w:val="es-GT"/>
        </w:rPr>
        <w:t xml:space="preserve">Justificación</w:t>
      </w:r>
      <w:bookmarkEnd w:id="213"/>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Es conveniente realizar investigación ya que el costo de corregir defectos después de realizar el despliegue crece en la medida en que crece la exposición a incidentes. Los datos internacionales indican que hoy en día la explotación de vulnerabilidades es el vector de acceso inicial más frecuente (Verizon, 2026), que la mayoría de las organizaciones acumulan deuda de seguridad (Veracode, 2026) y que cada brecha cuesta en promedio 4.99 millones de dólares (IBM, 2026). Saber qué dificulta integrar la seguridad en el desarrollo permite actuar sobre la causa y no solo sobre el síntoma.</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Su importancia social se debe a que los ataques cibernéticos en Guatemala aumentaron en un 200 % en 2024 (Mastercard, 2025) y a que el marco legal continúa en discusión (RSM Guatemala, s. f.). Son beneficiarios directos los equipos de desarrollo y las gerencias de las empresas medianas y, beneficiarios indirectos, sus clientes y usuarios que tienen sus datos a merced de la seguridad del software que utilizan.</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Desde el punto de vista teórico, el estudio aplica la teoría de los paradigmas (Kuhn, 2017) a un fenómeno de ingeniería de software, y evalúa si la resistencia a adoptar prácticas de desarrollo seguro se explica por la persistencia de un paradigma vigente. Asimismo, responde a la observación de que los factores relacionados con las personas se han estudiado menos que los tecnológicos (Rajapakse et al., 2022) y brinda evidencia empírica de un contexto no documentado en la literatura revisada.</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Desde lo metodológico, el estudio propone un instrumento que mide la adopción de prácticas con base en los cuatro grupos del SSDF (Souppaya et al., 2022) y las barreras agrupadas en personas, prácticas, herramientas, infraestructura y gobernanza (Ortega Ovalle, 2026; Rajapakse et al., 2022). Una vez que se haya validado mediante juicio de expertos y prueba piloto, el instrumento estará disponible para replicar la medición en otros contextos y periodos.</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En la práctica, los resultados guían decisiones concretas: qué capacitación priorizar, qué políticas establecer y qué herramientas incorporar primero según las barreras más frecuentes. Ofrecen, además, a las universidades y a las gerencias de tecnología, un diagnóstico local que hoy no existe, útil para diseñar programas de formación y planes de adopción gradual.</w:t>
      </w:r>
    </w:p>
    <w:p>
      <w:pPr>
        <w:keepNext/>
        <w:spacing w:before="240" w:after="0" w:line="360" w:lineRule="auto"/>
        <w:jc w:val="center"/>
        <w:outlineLvl w:val="0"/>
        <w:rPr>
          <w:rFonts w:ascii="Times New Roman" w:hAnsi="Times New Roman" w:cs="Times New Roman"/>
          <w:lang w:val="es-GT"/>
        </w:rPr>
      </w:pPr>
      <w:bookmarkStart w:id="214" w:name="_Toc800214"/>
      <w:r>
        <w:rPr>
          <w:rFonts w:ascii="Times New Roman" w:hAnsi="Times New Roman" w:cs="Times New Roman"/>
          <w:b/>
          <w:sz w:val="24"/>
          <w:szCs w:val="24"/>
          <w:lang w:val="es-GT"/>
        </w:rPr>
        <w:t xml:space="preserve">Viabilidad técnica y científica</w:t>
      </w:r>
      <w:bookmarkEnd w:id="214"/>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Se utilizó la matriz de chequeo vista en clase (Tabla 4) para analizar la viabilidad, la cual fue ampliada con los factores de recursos económicos, base científica y riesgo de sobrealcance.</w:t>
      </w:r>
    </w:p>
    <w:p>
      <w:pPr>
        <w:keepNext/>
        <w:spacing w:before="200" w:after="0" w:line="240" w:lineRule="auto"/>
        <w:jc w:val="left"/>
        <w:rPr>
          <w:rFonts w:ascii="Times New Roman" w:hAnsi="Times New Roman" w:cs="Times New Roman"/>
          <w:lang w:val="es-GT"/>
        </w:rPr>
      </w:pPr>
      <w:r>
        <w:rPr>
          <w:rFonts w:ascii="Times New Roman" w:hAnsi="Times New Roman" w:cs="Times New Roman"/>
          <w:b/>
          <w:sz w:val="22"/>
          <w:szCs w:val="22"/>
          <w:lang w:val="es-GT"/>
        </w:rPr>
        <w:t xml:space="preserve">Tabla 4</w:t>
      </w:r>
    </w:p>
    <w:p>
      <w:pPr>
        <w:keepNext/>
        <w:spacing w:before="0" w:after="60" w:line="240" w:lineRule="auto"/>
        <w:jc w:val="left"/>
        <w:rPr>
          <w:rFonts w:ascii="Times New Roman" w:hAnsi="Times New Roman" w:cs="Times New Roman"/>
          <w:lang w:val="es-GT"/>
        </w:rPr>
      </w:pPr>
      <w:r>
        <w:rPr>
          <w:rFonts w:ascii="Times New Roman" w:hAnsi="Times New Roman" w:cs="Times New Roman"/>
          <w:i/>
          <w:sz w:val="22"/>
          <w:szCs w:val="22"/>
          <w:lang w:val="es-GT"/>
        </w:rPr>
        <w:t xml:space="preserve">Matriz de chequeo de viabilidad</w:t>
      </w:r>
    </w:p>
    <w:tbl>
      <w:tblPr>
        <w:tblW w:w="9360" w:type="dxa"/>
        <w:tblLayout w:type="fixed"/>
        <w:tblLook w:val="04A0" w:firstRow="1" w:lastRow="0" w:firstColumn="1" w:lastColumn="0" w:noHBand="0" w:noVBand="1"/>
      </w:tblPr>
      <w:tblGrid>
        <w:gridCol w:w="1800"/>
        <w:gridCol w:w="2700"/>
        <w:gridCol w:w="4860"/>
      </w:tblGrid>
      <w:tr>
        <w:trPr>
          <w:cantSplit/>
          <w:tblHeader/>
        </w:trPr>
        <w:tc>
          <w:tcPr>
            <w:tcW w:w="1800" w:type="dxa"/>
            <w:tcBorders>
              <w:top w:val="single" w:sz="6" w:space="0" w:color="000000"/>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b/>
                <w:sz w:val="20"/>
                <w:szCs w:val="20"/>
                <w:lang w:val="es-GT"/>
              </w:rPr>
              <w:t xml:space="preserve">Factor</w:t>
            </w:r>
          </w:p>
        </w:tc>
        <w:tc>
          <w:tcPr>
            <w:tcW w:w="2700" w:type="dxa"/>
            <w:tcBorders>
              <w:top w:val="single" w:sz="6" w:space="0" w:color="000000"/>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b/>
                <w:sz w:val="20"/>
                <w:szCs w:val="20"/>
                <w:lang w:val="es-GT"/>
              </w:rPr>
              <w:t xml:space="preserve">Pregunta clave</w:t>
            </w:r>
          </w:p>
        </w:tc>
        <w:tc>
          <w:tcPr>
            <w:tcW w:w="4860" w:type="dxa"/>
            <w:tcBorders>
              <w:top w:val="single" w:sz="6" w:space="0" w:color="000000"/>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b/>
                <w:sz w:val="20"/>
                <w:szCs w:val="20"/>
                <w:lang w:val="es-GT"/>
              </w:rPr>
              <w:t xml:space="preserve">Valoración</w:t>
            </w:r>
          </w:p>
        </w:tc>
      </w:tr>
      <w:tr>
        <w:trPr>
          <w:cantSplit/>
        </w:trPr>
        <w:tc>
          <w:tcPr>
            <w:tcW w:w="18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Tiempo</w:t>
            </w:r>
          </w:p>
        </w:tc>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¿Alcanza el plazo para el trabajo de campo?</w:t>
            </w:r>
          </w:p>
        </w:tc>
        <w:tc>
          <w:tcPr>
            <w:tcW w:w="48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Viable. El cronograma del curso prevé la recolección de datos entre abril y agosto de 2027, tiempo suficiente para una encuesta y entrevistas breves.</w:t>
            </w:r>
          </w:p>
        </w:tc>
      </w:tr>
      <w:tr>
        <w:trPr>
          <w:cantSplit/>
        </w:trPr>
        <w:tc>
          <w:tcPr>
            <w:tcW w:w="18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Competencias técnicas</w:t>
            </w:r>
          </w:p>
        </w:tc>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¿El investigador domina el tema y las herramientas?</w:t>
            </w:r>
          </w:p>
        </w:tc>
        <w:tc>
          <w:tcPr>
            <w:tcW w:w="48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Viable. El autor cursó Seguridad en Aplicaciones, que incluyó modelado de amenazas y desarrollo seguro.</w:t>
            </w:r>
          </w:p>
        </w:tc>
      </w:tr>
      <w:tr>
        <w:trPr>
          <w:cantSplit/>
        </w:trPr>
        <w:tc>
          <w:tcPr>
            <w:tcW w:w="18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Acceso a participantes</w:t>
            </w:r>
          </w:p>
        </w:tc>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¿Existen cartas de autorización y permisos institucionales?</w:t>
            </w:r>
          </w:p>
        </w:tc>
        <w:tc>
          <w:tcPr>
            <w:tcW w:w="48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Condicionada. Requiere autorización de las empresas; se mitiga con participación voluntaria y anónima mediante comunidades profesionales.</w:t>
            </w:r>
          </w:p>
        </w:tc>
      </w:tr>
      <w:tr>
        <w:trPr>
          <w:cantSplit/>
        </w:trPr>
        <w:tc>
          <w:tcPr>
            <w:tcW w:w="18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Ética e integridad</w:t>
            </w:r>
          </w:p>
        </w:tc>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¿Se vulneran derechos de los participantes?</w:t>
            </w:r>
          </w:p>
        </w:tc>
        <w:tc>
          <w:tcPr>
            <w:tcW w:w="48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Viable. Se prevé consentimiento informado, anonimato, almacenamiento seguro y ninguna recolección de código ni de vulnerabilidades.</w:t>
            </w:r>
          </w:p>
        </w:tc>
      </w:tr>
      <w:tr>
        <w:trPr>
          <w:cantSplit/>
        </w:trPr>
        <w:tc>
          <w:tcPr>
            <w:tcW w:w="18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Recursos económicos</w:t>
            </w:r>
          </w:p>
        </w:tc>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¿Existe financiamiento para el proceso completo?</w:t>
            </w:r>
          </w:p>
        </w:tc>
        <w:tc>
          <w:tcPr>
            <w:tcW w:w="48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Viable. Se usan herramientas gratuitas de encuesta y análisis, sin gastos de traslado.</w:t>
            </w:r>
          </w:p>
        </w:tc>
      </w:tr>
      <w:tr>
        <w:trPr>
          <w:cantSplit/>
        </w:trPr>
        <w:tc>
          <w:tcPr>
            <w:tcW w:w="18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Base científica</w:t>
            </w:r>
          </w:p>
        </w:tc>
        <w:tc>
          <w:tcPr>
            <w:tcW w:w="270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¿Existen marco teórico y literatura de apoyo?</w:t>
            </w:r>
          </w:p>
        </w:tc>
        <w:tc>
          <w:tcPr>
            <w:tcW w:w="4860" w:type="dxa"/>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Viable. Se dispone del SSDF, revisiones sistemáticas sobre adopción (Rajapakse et al., 2022) y la teoría de los paradigmas (Kuhn, 2017).</w:t>
            </w:r>
          </w:p>
        </w:tc>
      </w:tr>
      <w:tr>
        <w:trPr>
          <w:cantSplit/>
        </w:trPr>
        <w:tc>
          <w:tcPr>
            <w:tcW w:w="1800" w:type="dxa"/>
            <w:tcBorders>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Riesgo de sobrealcance</w:t>
            </w:r>
          </w:p>
        </w:tc>
        <w:tc>
          <w:tcPr>
            <w:tcW w:w="2700" w:type="dxa"/>
            <w:tcBorders>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¿El alcance puede completarse?</w:t>
            </w:r>
          </w:p>
        </w:tc>
        <w:tc>
          <w:tcPr>
            <w:tcW w:w="4860" w:type="dxa"/>
            <w:tcBorders>
              <w:bottom w:val="single" w:sz="6" w:space="0" w:color="000000"/>
            </w:tcBorders>
          </w:tcPr>
          <w:p>
            <w:pPr>
              <w:spacing w:before="40" w:after="40" w:line="240" w:lineRule="auto"/>
              <w:jc w:val="left"/>
              <w:rPr>
                <w:rFonts w:ascii="Times New Roman" w:hAnsi="Times New Roman" w:cs="Times New Roman"/>
                <w:lang w:val="es-GT"/>
              </w:rPr>
            </w:pPr>
            <w:r>
              <w:rPr>
                <w:rFonts w:ascii="Times New Roman" w:hAnsi="Times New Roman" w:cs="Times New Roman"/>
                <w:sz w:val="20"/>
                <w:szCs w:val="20"/>
                <w:lang w:val="es-GT"/>
              </w:rPr>
              <w:t xml:space="preserve">Controlado. El estudio se limita a una ciudad, un periodo y una población acotados.</w:t>
            </w:r>
          </w:p>
        </w:tc>
      </w:tr>
    </w:tbl>
    <w:p>
      <w:pPr>
        <w:spacing w:before="60" w:after="200" w:line="240" w:lineRule="auto"/>
        <w:jc w:val="left"/>
        <w:rPr>
          <w:rFonts w:ascii="Times New Roman" w:hAnsi="Times New Roman" w:cs="Times New Roman"/>
          <w:lang w:val="es-GT"/>
        </w:rPr>
      </w:pPr>
      <w:r>
        <w:rPr>
          <w:rFonts w:ascii="Times New Roman" w:hAnsi="Times New Roman" w:cs="Times New Roman"/>
          <w:i/>
          <w:sz w:val="20"/>
          <w:szCs w:val="20"/>
          <w:lang w:val="es-GT"/>
        </w:rPr>
        <w:t xml:space="preserve">Nota. </w:t>
      </w:r>
      <w:r>
        <w:rPr>
          <w:rFonts w:ascii="Times New Roman" w:hAnsi="Times New Roman" w:cs="Times New Roman"/>
          <w:sz w:val="20"/>
          <w:szCs w:val="20"/>
          <w:lang w:val="es-GT"/>
        </w:rPr>
        <w:t xml:space="preserve">Elaboración propia con base en la matriz de chequeo de viabilidad de la Sesión 2 del curso.</w:t>
      </w:r>
    </w:p>
    <w:p>
      <w:pPr>
        <w:spacing w:before="0" w:after="0" w:line="360" w:lineRule="auto"/>
        <w:ind w:firstLine="720"/>
        <w:jc w:val="both"/>
        <w:rPr>
          <w:rFonts w:ascii="Times New Roman" w:hAnsi="Times New Roman" w:cs="Times New Roman"/>
          <w:lang w:val="es-GT"/>
        </w:rPr>
      </w:pPr>
      <w:r>
        <w:rPr>
          <w:rFonts w:ascii="Times New Roman" w:hAnsi="Times New Roman" w:cs="Times New Roman"/>
          <w:sz w:val="24"/>
          <w:szCs w:val="24"/>
          <w:lang w:val="es-GT"/>
        </w:rPr>
        <w:t xml:space="preserve">El estudio en conjunto es técnicamente y científicamente viable. El único factor condicionado es el acceso a los participantes y se atiende con una estrategia de participación voluntaria.</w:t>
      </w:r>
    </w:p>
    <w:p>
      <w:pPr>
        <w:keepNext/>
        <w:pageBreakBefore/>
        <w:spacing w:before="240" w:after="0" w:line="360" w:lineRule="auto"/>
        <w:jc w:val="center"/>
        <w:outlineLvl w:val="0"/>
        <w:rPr>
          <w:rFonts w:ascii="Times New Roman" w:hAnsi="Times New Roman" w:cs="Times New Roman"/>
          <w:lang w:val="es-GT"/>
        </w:rPr>
      </w:pPr>
      <w:bookmarkStart w:id="215" w:name="_Toc800215"/>
      <w:r>
        <w:rPr>
          <w:rFonts w:ascii="Times New Roman" w:hAnsi="Times New Roman" w:cs="Times New Roman"/>
          <w:b/>
          <w:sz w:val="24"/>
          <w:szCs w:val="24"/>
          <w:lang w:val="es-GT"/>
        </w:rPr>
        <w:t xml:space="preserve">Referencias</w:t>
      </w:r>
      <w:bookmarkEnd w:id="215"/>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Gadea, W. F., Cuenca Jiménez, R. C., &amp; Chaves-Montero, A. (2019). </w:t>
      </w:r>
      <w:r>
        <w:rPr>
          <w:rFonts w:ascii="Times New Roman" w:hAnsi="Times New Roman" w:cs="Times New Roman"/>
          <w:i/>
          <w:sz w:val="24"/>
          <w:szCs w:val="24"/>
          <w:lang w:val="es-GT"/>
        </w:rPr>
        <w:t xml:space="preserve">Epistemología y fundamentos de la investigación científica</w:t>
      </w:r>
      <w:r>
        <w:rPr>
          <w:rFonts w:ascii="Times New Roman" w:hAnsi="Times New Roman" w:cs="Times New Roman"/>
          <w:sz w:val="24"/>
          <w:szCs w:val="24"/>
          <w:lang w:val="es-GT"/>
        </w:rPr>
        <w:t xml:space="preserve">. Cengage Learning; Universidad Técnica Particular de Loja.</w:t>
      </w:r>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IBM. (2026). </w:t>
      </w:r>
      <w:r>
        <w:rPr>
          <w:rFonts w:ascii="Times New Roman" w:hAnsi="Times New Roman" w:cs="Times New Roman"/>
          <w:i/>
          <w:sz w:val="24"/>
          <w:szCs w:val="24"/>
          <w:lang w:val="es-GT"/>
        </w:rPr>
        <w:t xml:space="preserve">Cost of a data breach report 2026</w:t>
      </w:r>
      <w:r>
        <w:rPr>
          <w:rFonts w:ascii="Times New Roman" w:hAnsi="Times New Roman" w:cs="Times New Roman"/>
          <w:sz w:val="24"/>
          <w:szCs w:val="24"/>
          <w:lang w:val="es-GT"/>
        </w:rPr>
        <w:t xml:space="preserve">. https://www.ibm.com/reports/data-breach</w:t>
      </w:r>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Kuhn, T. S. (2017). </w:t>
      </w:r>
      <w:r>
        <w:rPr>
          <w:rFonts w:ascii="Times New Roman" w:hAnsi="Times New Roman" w:cs="Times New Roman"/>
          <w:i/>
          <w:sz w:val="24"/>
          <w:szCs w:val="24"/>
          <w:lang w:val="es-GT"/>
        </w:rPr>
        <w:t xml:space="preserve">La estructura de las revoluciones científicas</w:t>
      </w:r>
      <w:r>
        <w:rPr>
          <w:rFonts w:ascii="Times New Roman" w:hAnsi="Times New Roman" w:cs="Times New Roman"/>
          <w:sz w:val="24"/>
          <w:szCs w:val="24"/>
          <w:lang w:val="es-GT"/>
        </w:rPr>
        <w:t xml:space="preserve"> (4.ª ed.; C. Solís Santos, Trad.). Fondo de Cultura Económica. (Obra original publicada en 1962)</w:t>
      </w:r>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Mastercard. (2025, agosto). </w:t>
      </w:r>
      <w:r>
        <w:rPr>
          <w:rFonts w:ascii="Times New Roman" w:hAnsi="Times New Roman" w:cs="Times New Roman"/>
          <w:i/>
          <w:sz w:val="24"/>
          <w:szCs w:val="24"/>
          <w:lang w:val="es-GT"/>
        </w:rPr>
        <w:t xml:space="preserve">Guatemala avanza en su digitalización: Mastercard presenta hallazgos clave sobre ciberseguridad y refuerza su compromiso con la protección del ecosistema digital en el país</w:t>
      </w:r>
      <w:r>
        <w:rPr>
          <w:rFonts w:ascii="Times New Roman" w:hAnsi="Times New Roman" w:cs="Times New Roman"/>
          <w:sz w:val="24"/>
          <w:szCs w:val="24"/>
          <w:lang w:val="es-GT"/>
        </w:rPr>
        <w:t xml:space="preserve"> [Comunicado de prensa]. https://www.mastercard.com/ar/es/news-and-trends/press/2025/august/guatemala-avanza-en-su-digitalizacion-mastercard-presenta-hallazgos-clave-sobre-ciberseguridad-y-refuerza-su-compromiso-con-la-proteccion-del-ecosistema-digital-en-el-pais.html</w:t>
      </w:r>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Ortega Ovalle, M. T. (2026). DevSecOps y su impacto en la gobernanza TI en universidades latinoamericanas. </w:t>
      </w:r>
      <w:r>
        <w:rPr>
          <w:rFonts w:ascii="Times New Roman" w:hAnsi="Times New Roman" w:cs="Times New Roman"/>
          <w:i/>
          <w:sz w:val="24"/>
          <w:szCs w:val="24"/>
          <w:lang w:val="es-GT"/>
        </w:rPr>
        <w:t xml:space="preserve">Ciencia Latina Revista Científica Multidisciplinar, 10</w:t>
      </w:r>
      <w:r>
        <w:rPr>
          <w:rFonts w:ascii="Times New Roman" w:hAnsi="Times New Roman" w:cs="Times New Roman"/>
          <w:sz w:val="24"/>
          <w:szCs w:val="24"/>
          <w:lang w:val="es-GT"/>
        </w:rPr>
        <w:t xml:space="preserve">(1). https://doi.org/10.37811/cl_rcm.v10i1.22753</w:t>
      </w:r>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Rajapakse, R. N., Zahedi, M., Babar, M. A., &amp; Shen, H. (2022). Challenges and solutions when adopting DevSecOps: A systematic review. </w:t>
      </w:r>
      <w:r>
        <w:rPr>
          <w:rFonts w:ascii="Times New Roman" w:hAnsi="Times New Roman" w:cs="Times New Roman"/>
          <w:i/>
          <w:sz w:val="24"/>
          <w:szCs w:val="24"/>
          <w:lang w:val="es-GT"/>
        </w:rPr>
        <w:t xml:space="preserve">Information and Software Technology, 141</w:t>
      </w:r>
      <w:r>
        <w:rPr>
          <w:rFonts w:ascii="Times New Roman" w:hAnsi="Times New Roman" w:cs="Times New Roman"/>
          <w:sz w:val="24"/>
          <w:szCs w:val="24"/>
          <w:lang w:val="es-GT"/>
        </w:rPr>
        <w:t xml:space="preserve">, Artículo 106700. https://doi.org/10.1016/j.infsof.2021.106700</w:t>
      </w:r>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Rose, S., Borchert, O., Mitchell, S., &amp; Connelly, S. (2020). </w:t>
      </w:r>
      <w:r>
        <w:rPr>
          <w:rFonts w:ascii="Times New Roman" w:hAnsi="Times New Roman" w:cs="Times New Roman"/>
          <w:i/>
          <w:sz w:val="24"/>
          <w:szCs w:val="24"/>
          <w:lang w:val="es-GT"/>
        </w:rPr>
        <w:t xml:space="preserve">Zero trust architecture</w:t>
      </w:r>
      <w:r>
        <w:rPr>
          <w:rFonts w:ascii="Times New Roman" w:hAnsi="Times New Roman" w:cs="Times New Roman"/>
          <w:sz w:val="24"/>
          <w:szCs w:val="24"/>
          <w:lang w:val="es-GT"/>
        </w:rPr>
        <w:t xml:space="preserve"> (NIST Special Publication 800-207). National Institute of Standards and Technology. https://doi.org/10.6028/NIST.SP.800-207</w:t>
      </w:r>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RSM Guatemala. (s. f.). </w:t>
      </w:r>
      <w:r>
        <w:rPr>
          <w:rFonts w:ascii="Times New Roman" w:hAnsi="Times New Roman" w:cs="Times New Roman"/>
          <w:i/>
          <w:sz w:val="24"/>
          <w:szCs w:val="24"/>
          <w:lang w:val="es-GT"/>
        </w:rPr>
        <w:t xml:space="preserve">Estatus de la iniciativa de Ley 6347 en Guatemala: Un avance hacia la ciberseguridad nacional</w:t>
      </w:r>
      <w:r>
        <w:rPr>
          <w:rFonts w:ascii="Times New Roman" w:hAnsi="Times New Roman" w:cs="Times New Roman"/>
          <w:sz w:val="24"/>
          <w:szCs w:val="24"/>
          <w:lang w:val="es-GT"/>
        </w:rPr>
        <w:t xml:space="preserve">. https://www.rsm.global/guatemala/es/insights/ley-de-ciberseguridad-guatemala</w:t>
      </w:r>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Souppaya, M., Scarfone, K., &amp; Dodson, D. (2022). </w:t>
      </w:r>
      <w:r>
        <w:rPr>
          <w:rFonts w:ascii="Times New Roman" w:hAnsi="Times New Roman" w:cs="Times New Roman"/>
          <w:i/>
          <w:sz w:val="24"/>
          <w:szCs w:val="24"/>
          <w:lang w:val="es-GT"/>
        </w:rPr>
        <w:t xml:space="preserve">Secure software development framework (SSDF) version 1.1: Recommendations for mitigating the risk of software vulnerabilities</w:t>
      </w:r>
      <w:r>
        <w:rPr>
          <w:rFonts w:ascii="Times New Roman" w:hAnsi="Times New Roman" w:cs="Times New Roman"/>
          <w:sz w:val="24"/>
          <w:szCs w:val="24"/>
          <w:lang w:val="es-GT"/>
        </w:rPr>
        <w:t xml:space="preserve"> (NIST Special Publication 800-218). National Institute of Standards and Technology. https://doi.org/10.6028/NIST.SP.800-218</w:t>
      </w:r>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Veracode. (2026). </w:t>
      </w:r>
      <w:r>
        <w:rPr>
          <w:rFonts w:ascii="Times New Roman" w:hAnsi="Times New Roman" w:cs="Times New Roman"/>
          <w:i/>
          <w:sz w:val="24"/>
          <w:szCs w:val="24"/>
          <w:lang w:val="es-GT"/>
        </w:rPr>
        <w:t xml:space="preserve">2026 state of software security report</w:t>
      </w:r>
      <w:r>
        <w:rPr>
          <w:rFonts w:ascii="Times New Roman" w:hAnsi="Times New Roman" w:cs="Times New Roman"/>
          <w:sz w:val="24"/>
          <w:szCs w:val="24"/>
          <w:lang w:val="es-GT"/>
        </w:rPr>
        <w:t xml:space="preserve">. https://www.veracode.com/wp-content/uploads/2026-State-of-Software-Security-Report.pdf</w:t>
      </w:r>
    </w:p>
    <w:p>
      <w:pPr>
        <w:spacing w:before="0" w:after="0" w:line="360" w:lineRule="auto"/>
        <w:ind w:left="720" w:hanging="720"/>
        <w:jc w:val="left"/>
        <w:rPr>
          <w:rFonts w:ascii="Times New Roman" w:hAnsi="Times New Roman" w:cs="Times New Roman"/>
          <w:lang w:val="es-GT"/>
        </w:rPr>
      </w:pPr>
      <w:r>
        <w:rPr>
          <w:rFonts w:ascii="Times New Roman" w:hAnsi="Times New Roman" w:cs="Times New Roman"/>
          <w:sz w:val="24"/>
          <w:szCs w:val="24"/>
          <w:lang w:val="es-GT"/>
        </w:rPr>
        <w:t xml:space="preserve">Verizon. (2026). </w:t>
      </w:r>
      <w:r>
        <w:rPr>
          <w:rFonts w:ascii="Times New Roman" w:hAnsi="Times New Roman" w:cs="Times New Roman"/>
          <w:i/>
          <w:sz w:val="24"/>
          <w:szCs w:val="24"/>
          <w:lang w:val="es-GT"/>
        </w:rPr>
        <w:t xml:space="preserve">2026 data breach investigations report</w:t>
      </w:r>
      <w:r>
        <w:rPr>
          <w:rFonts w:ascii="Times New Roman" w:hAnsi="Times New Roman" w:cs="Times New Roman"/>
          <w:sz w:val="24"/>
          <w:szCs w:val="24"/>
          <w:lang w:val="es-GT"/>
        </w:rPr>
        <w:t xml:space="preserve">. Verizon Business. https://www.verizon.com/business/resources/reports/dbir/</w:t>
      </w:r>
    </w:p>
    <w:sectPr>
      <w:headerReference w:type="default" r:id="rIdHdrDef"/>
      <w:pgSz w:w="12240" w:h="15840"/>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Def.xml><?xml version="1.0" encoding="utf-8"?>
<w:hdr xmlns:w="http://schemas.openxmlformats.org/wordprocessingml/2006/main" xmlns:r="http://schemas.openxmlformats.org/officeDocument/2006/relationships">
  <w:p>
    <w:pPr>
      <w:jc w:val="right"/>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Pr>
        <w:rFonts w:ascii="Times New Roman" w:hAnsi="Times New Roman" w:cs="Times New Roman"/>
        <w:sz w:val="24"/>
      </w:rPr>
      <w:t>1</w:t>
    </w:r>
    <w:r>
      <w:rPr>
        <w:rFonts w:ascii="Times New Roman" w:hAnsi="Times New Roman" w:cs="Times New Roman"/>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82"/>
    <w:rsid w:val="00000A00"/>
    <w:rsid w:val="003643EF"/>
    <w:rsid w:val="009E5511"/>
    <w:rsid w:val="00C13482"/>
    <w:rsid w:val="00CC4DEE"/>
    <w:rsid w:val="00D14FAF"/>
    <w:rsid w:val="00E337AC"/>
    <w:rsid w:val="00F94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F58B"/>
  <w15:chartTrackingRefBased/>
  <w15:docId w15:val="{583A3E94-8909-4E7D-B1CD-361CDD911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82"/>
    <w:pPr>
      <w:spacing w:line="259" w:lineRule="auto"/>
    </w:pPr>
    <w:rPr>
      <w:kern w:val="0"/>
      <w:sz w:val="22"/>
      <w:szCs w:val="22"/>
      <w:lang w:val="es-PE"/>
      <w14:ligatures w14:val="none"/>
    </w:rPr>
  </w:style>
  <w:style w:type="paragraph" w:styleId="Ttulo1">
    <w:name w:val="heading 1"/>
    <w:basedOn w:val="Normal"/>
    <w:next w:val="Normal"/>
    <w:link w:val="Ttulo1Car"/>
    <w:uiPriority w:val="9"/>
    <w:qFormat/>
    <w:rsid w:val="00C1348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Ttulo2">
    <w:name w:val="heading 2"/>
    <w:basedOn w:val="Normal"/>
    <w:next w:val="Normal"/>
    <w:link w:val="Ttulo2Car"/>
    <w:uiPriority w:val="9"/>
    <w:semiHidden/>
    <w:unhideWhenUsed/>
    <w:qFormat/>
    <w:rsid w:val="00C1348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Ttulo3">
    <w:name w:val="heading 3"/>
    <w:basedOn w:val="Normal"/>
    <w:next w:val="Normal"/>
    <w:link w:val="Ttulo3Car"/>
    <w:uiPriority w:val="9"/>
    <w:semiHidden/>
    <w:unhideWhenUsed/>
    <w:qFormat/>
    <w:rsid w:val="00C13482"/>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C13482"/>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C13482"/>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C1348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C1348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C1348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C1348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4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4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4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4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4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4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4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4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482"/>
    <w:rPr>
      <w:rFonts w:eastAsiaTheme="majorEastAsia" w:cstheme="majorBidi"/>
      <w:color w:val="272727" w:themeColor="text1" w:themeTint="D8"/>
    </w:rPr>
  </w:style>
  <w:style w:type="paragraph" w:styleId="Ttulo">
    <w:name w:val="Title"/>
    <w:basedOn w:val="Normal"/>
    <w:next w:val="Normal"/>
    <w:link w:val="TtuloCar"/>
    <w:uiPriority w:val="10"/>
    <w:qFormat/>
    <w:rsid w:val="00C1348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C134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48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C134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482"/>
    <w:pPr>
      <w:spacing w:before="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C13482"/>
    <w:rPr>
      <w:i/>
      <w:iCs/>
      <w:color w:val="404040" w:themeColor="text1" w:themeTint="BF"/>
    </w:rPr>
  </w:style>
  <w:style w:type="paragraph" w:styleId="Prrafodelista">
    <w:name w:val="List Paragraph"/>
    <w:basedOn w:val="Normal"/>
    <w:uiPriority w:val="34"/>
    <w:qFormat/>
    <w:rsid w:val="00C13482"/>
    <w:pPr>
      <w:spacing w:line="278" w:lineRule="auto"/>
      <w:ind w:left="720"/>
      <w:contextualSpacing/>
    </w:pPr>
    <w:rPr>
      <w:kern w:val="2"/>
      <w:sz w:val="24"/>
      <w:szCs w:val="24"/>
      <w:lang w:val="en-US"/>
      <w14:ligatures w14:val="standardContextual"/>
    </w:rPr>
  </w:style>
  <w:style w:type="character" w:styleId="nfasisintenso">
    <w:name w:val="Intense Emphasis"/>
    <w:basedOn w:val="Fuentedeprrafopredeter"/>
    <w:uiPriority w:val="21"/>
    <w:qFormat/>
    <w:rsid w:val="00C13482"/>
    <w:rPr>
      <w:i/>
      <w:iCs/>
      <w:color w:val="0F4761" w:themeColor="accent1" w:themeShade="BF"/>
    </w:rPr>
  </w:style>
  <w:style w:type="paragraph" w:styleId="Citadestacada">
    <w:name w:val="Intense Quote"/>
    <w:basedOn w:val="Normal"/>
    <w:next w:val="Normal"/>
    <w:link w:val="CitadestacadaCar"/>
    <w:uiPriority w:val="30"/>
    <w:qFormat/>
    <w:rsid w:val="00C1348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C13482"/>
    <w:rPr>
      <w:i/>
      <w:iCs/>
      <w:color w:val="0F4761" w:themeColor="accent1" w:themeShade="BF"/>
    </w:rPr>
  </w:style>
  <w:style w:type="character" w:styleId="Referenciaintensa">
    <w:name w:val="Intense Reference"/>
    <w:basedOn w:val="Fuentedeprrafopredeter"/>
    <w:uiPriority w:val="32"/>
    <w:qFormat/>
    <w:rsid w:val="00C13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HdrDef" Type="http://schemas.openxmlformats.org/officeDocument/2006/relationships/header" Target="headerDef.xml"/><Relationship Id="rIdFig1" Type="http://schemas.openxmlformats.org/officeDocument/2006/relationships/image" Target="media/fig1.png"/><Relationship Id="rIdFig2" Type="http://schemas.openxmlformats.org/officeDocument/2006/relationships/image" Target="media/fig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678</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Cambio de paradigma en la seguridad del software: factores organizacionales que influyen en la adopción de prácticas de desarrollo seguro</dc:title>
  <dc:subject/>
  <dc:creator>Gerbert David García Loaiza</dc:creator>
  <cp:keywords/>
  <dc:description/>
  <cp:lastModifiedBy>Ericka Fuentes</cp:lastModifiedBy>
  <cp:revision>2</cp:revision>
  <dcterms:created xsi:type="dcterms:W3CDTF">2025-07-06T16:12:00Z</dcterms:created>
  <dcterms:modified xsi:type="dcterms:W3CDTF">2025-07-06T16:12:00Z</dcterms:modified>
</cp:coreProperties>
</file>