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6694" w14:textId="01754CFF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7123E515" wp14:editId="091839FD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1FD7F7EF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3B4F6032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6F2A25DE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3EFBAF55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5882291E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14704A8E" w14:textId="7BD48B79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2E8D73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29954A93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MAESTRÍA EN SEGURIDAD INFORMÁTICA</w:t>
      </w:r>
    </w:p>
    <w:p w14:paraId="5F5AAAF7" w14:textId="23F7AC70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5D9D1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66099FC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42FFFA1D" w14:textId="1E43632A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TAREA 2 - MODELO DE AMENAZAS</w:t>
      </w:r>
    </w:p>
    <w:p w14:paraId="712B12C2" w14:textId="6F9F1023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1C7B8FB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B45476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BD13826" w14:textId="43F42C0F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 xml:space="preserve">Modelo de amenazas de ParaBank con OWASP Threat Dragon</w:t>
      </w:r>
    </w:p>
    <w:p w14:paraId="6463DBB3" w14:textId="443B0B8C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5F05052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4F46420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555F6054" w14:textId="243E6DE6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Gerbert David García Loaiza - ggarcial17@miumg.edu.gt</w:t>
      </w:r>
    </w:p>
    <w:p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Carné: 1293-21-11608</w:t>
      </w:r>
    </w:p>
    <w:p w14:paraId="46FF5E4B" w14:textId="2836C504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DD12CAD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6CABC2FC" w14:textId="5EB54309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Ing. Mario Roberto López Sajquin</w:t>
      </w:r>
    </w:p>
    <w:p w14:paraId="14642B18" w14:textId="5830E50C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61D600C6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E88996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18F341A5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472A1DF9" w14:textId="398B03B4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SEGURIDAD EN APLICACIONES - 42026-1293-013-E</w:t>
      </w:r>
    </w:p>
    <w:p w14:paraId="35CCBACA" w14:textId="66CFD8D8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A26AF5A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921CC9E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0B3705C" w14:textId="6C1F436B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Guatemala, octubre de 2026</w:t>
      </w:r>
    </w:p>
    <w:p w14:paraId="2EEA64A5" w14:textId="4EBECE5A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76668F41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t>Tabla de Contenido</w:t>
      </w:r>
    </w:p>
    <w:p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 xml:space="preserve"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 xml:space="preserve"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 xml:space="preserve"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 xml:space="preserve"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 xml:space="preserve"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 xml:space="preserve"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 xml:space="preserve"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 xml:space="preserve"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 xml:space="preserve"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 xml:space="preserve"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 xml:space="preserve"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 xml:space="preserve"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 xml:space="preserve"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 xml:space="preserve"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 xml:space="preserve"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 xml:space="preserve"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 xml:space="preserve"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 xml:space="preserve"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 xml:space="preserve"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 xml:space="preserve"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 xml:space="preserve"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 xml:space="preserve"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 xml:space="preserve"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 xml:space="preserve"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 xml:space="preserve"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6" w:history="1">
        <w:r>
          <w:rPr>
            <w:rStyle w:val="Hipervnculo"/>
            <w:b/>
            <w:noProof/>
          </w:rPr>
          <w:t xml:space="preserve"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01" w:name="_Toc900101"/>
      <w:r>
        <w:rPr>
          <w:b/>
          <w:lang w:val="es-GT"/>
        </w:rPr>
        <w:t xml:space="preserve">Introducción</w:t>
      </w:r>
      <w:bookmarkEnd w:id="101"/>
    </w:p>
    <w:p>
      <w:pPr>
        <w:ind w:firstLine="720"/>
        <w:rPr>
          <w:lang w:val="es-GT"/>
        </w:rPr>
      </w:pPr>
      <w:r>
        <w:rPr>
          <w:lang w:val="es-GT"/>
        </w:rPr>
        <w:t xml:space="preserve"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2" w:name="_Toc900102"/>
      <w:r>
        <w:rPr>
          <w:b/>
          <w:lang w:val="es-GT"/>
        </w:rPr>
        <w:t xml:space="preserve">1. Alcance, fuentes y supuestos</w:t>
      </w:r>
      <w:bookmarkEnd w:id="102"/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Fuente de la arquitectura.</w:t>
      </w:r>
      <w:r>
        <w:rPr>
          <w:lang w:val="es-GT"/>
        </w:rPr>
        <w:t xml:space="preserve"> El código público del proyecto, publicado por Parasoft en 2026, el commit 13cc8d4c y su correspondiente archivo README. Durante el periodo laboral, la documentación en línea de Parasoft no se encontraba accesible, por lo que el análisis se fundamenta en el código fuente.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Validación pendiente.</w:t>
      </w:r>
      <w:r>
        <w:rPr>
          <w:lang w:val="es-GT"/>
        </w:rPr>
        <w:t xml:space="preserve"> La tarea solicita validar las amenazas con los equipos de Arquitectura y Desarrollo. En este contexto, únicamente se realizó un contraste con el código fuente; las hipótesis deben ser corroboradas mediante pruebas autorizadas en un entorno propio.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3" w:name="_Toc900103"/>
      <w:r>
        <w:rPr>
          <w:b/>
          <w:lang w:val="es-GT"/>
        </w:rPr>
        <w:t xml:space="preserve">2. Levantamiento de arquitectura</w:t>
      </w:r>
      <w:bookmarkEnd w:id="103"/>
    </w:p>
    <w:p>
      <w:pPr>
        <w:keepNext/>
        <w:spacing w:before="120"/>
        <w:jc w:val="left"/>
        <w:outlineLvl w:val="1"/>
        <w:rPr>
          <w:lang w:val="es-GT"/>
        </w:rPr>
      </w:pPr>
      <w:bookmarkStart w:id="104" w:name="_Toc900104"/>
      <w:r>
        <w:rPr>
          <w:b/>
          <w:lang w:val="es-GT"/>
        </w:rPr>
        <w:t xml:space="preserve">2.1 Inventario de componentes</w:t>
      </w:r>
      <w:bookmarkEnd w:id="104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 una aplicación desarrollada en Java e implementada en Apache Tomcat. La interfaz web se implementa mediante Spring MVC, mientras que los servicios SOAP y REST se publican utilizando Apache CXF. Ambos recurren a la misma lógica de negocio, cuyos datos se almacenan en HyperSQL y que utiliza ActiveMQ para el procesamiento de préstamos.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2000"/>
        <w:gridCol w:w="3106"/>
        <w:gridCol w:w="2500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Tipo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Componente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Tecnología o archivo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P_web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*.htm; usa LoginInterceptor para las páginas protegidas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DispatcherServlet, parabank-servlet.xml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P_api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/services/* (JAX-WS y JAX-RS) y /services_proxy/*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CXFServlet, cxf.xml, ParaBankService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P_bl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BankManager, AdminManager y capa DAO JDBC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domain.logic, dao.jdbc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P_loan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LoanProcessor con umbral configurable y listener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AbstractLoanProcessor, JmsLoanProcessor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P_admin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admin.htm, db.htm, initializeDB.htm, jms.htm y operaciones de mantenimiento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AdminController, JmsListenerController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D_db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Customer, Account, Transaction, Positions, Parameter, News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jdbc:hsqldb:hsql://localhost/parabank (9001)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D_mq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solicitud y respuesta de préstamos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applicationContext-jms.xml (61616)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D_log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Registros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E_cli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Usuario final que opera su banca en línea desde un navegador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E_adm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Persona que configura la demo: parámetros, base de datos,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E_int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externa que consume los servicios SOAP/REST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 SOAP/REST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E_prov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Proveedor externo de préstamos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ConfigurableLoanProvider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5" w:name="_Toc900105"/>
      <w:r>
        <w:rPr>
          <w:b/>
          <w:lang w:val="es-GT"/>
        </w:rPr>
        <w:t xml:space="preserve">2.2 Inventario de activos de información</w:t>
      </w:r>
      <w:bookmarkEnd w:id="10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(usuario y contraseña)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Customer, formularios y ruta de login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Permiten tomar cuentas bancarias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SSN y datos personales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Habilitan la suplantación de identidad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Saldos, cuentas y transacciones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Account y Transaction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Integridad financiera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Sesión del cliente (JSESSIONID)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Cookie del navegador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Su robo equivale a suplantar al cliente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Parámetros de configuración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Parameter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Alteran reglas de negocio, como el umbral de préstamos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Solicitudes y respuestas de préstamo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ActiveMQ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Contienen decisiones crediticias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Evidencia para auditoría</w:t>
            </w:r>
          </w:p>
        </w:tc>
      </w:tr>
      <w:tr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Información pública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6" w:name="_Toc900106"/>
      <w:r>
        <w:rPr>
          <w:b/>
          <w:lang w:val="es-GT"/>
        </w:rPr>
        <w:t xml:space="preserve">2.3 Clasificación de flujos por criticidad</w:t>
      </w:r>
      <w:bookmarkEnd w:id="106"/>
    </w:p>
    <w:p>
      <w:pPr>
        <w:ind w:firstLine="720"/>
        <w:rPr>
          <w:lang w:val="es-GT"/>
        </w:rPr>
      </w:pPr>
      <w:r>
        <w:rPr>
          <w:lang w:val="es-GT"/>
        </w:rPr>
        <w:t xml:space="preserve"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1100"/>
        <w:gridCol w:w="900"/>
        <w:gridCol w:w="13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Origen → Destino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Protocolo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Conf./Integ.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1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Criticidad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 → Interfaz web (Spring MVC + JSP)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Cliente (navegador web)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F03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 → Servicios SOAP/REST (Apache CXF)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F04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F05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F07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Procesador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F08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Broker ActiveMQ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JMS/TCP 61616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Proveedor externo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WS/JMS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F10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 → Administración y utilidades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Bitácoras (log4j2)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Archivo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F13</w:t>
            </w:r>
          </w:p>
        </w:tc>
        <w:tc>
          <w:tcPr>
            <w:tcW w:w="4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Procesador de préstamos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Conf./Integ. indica si el flujo provee confidencialidad e integridad. Elaboración propia con base en el modelo de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7" w:name="_Toc900107"/>
      <w:r>
        <w:rPr>
          <w:b/>
          <w:lang w:val="es-GT"/>
        </w:rPr>
        <w:t xml:space="preserve">3. Diagramas de flujo de datos</w:t>
      </w:r>
      <w:bookmarkEnd w:id="107"/>
    </w:p>
    <w:p>
      <w:pPr>
        <w:ind w:firstLine="720"/>
        <w:rPr>
          <w:lang w:val="es-GT"/>
        </w:rPr>
      </w:pPr>
      <w:r>
        <w:rPr>
          <w:lang w:val="es-GT"/>
        </w:rPr>
        <w:t xml:space="preserve"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8" w:name="_Toc900108"/>
      <w:r>
        <w:rPr>
          <w:b/>
          <w:lang w:val="es-GT"/>
        </w:rPr>
        <w:t xml:space="preserve">3.1 Nivel 0: contexto</w:t>
      </w:r>
      <w:bookmarkEnd w:id="108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0: contexto de ParaBank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0 – Contexto»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9" w:name="_Toc900109"/>
      <w:r>
        <w:rPr>
          <w:b/>
          <w:lang w:val="es-GT"/>
        </w:rPr>
        <w:t xml:space="preserve">3.2 Nivel 1: procesos, almacenes y fronteras</w:t>
      </w:r>
      <w:bookmarkEnd w:id="109"/>
    </w:p>
    <w:p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modelados de manera independiente para prevenir la confusión de las reglas de STRIDE entre ambos.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1: procesos, almacenes y fronteras de confianza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1»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elementos con borde rojo tienen amenazas asociadas. 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0" w:name="_Toc900110"/>
      <w:r>
        <w:rPr>
          <w:b/>
          <w:lang w:val="es-GT"/>
        </w:rPr>
        <w:t xml:space="preserve">3.3 Nivel 2: API de servicios y procesador de préstamos</w:t>
      </w:r>
      <w:bookmarkEnd w:id="110"/>
    </w:p>
    <w:p>
      <w:pPr>
        <w:ind w:firstLine="720"/>
        <w:rPr>
          <w:lang w:val="es-GT"/>
        </w:rPr>
      </w:pPr>
      <w:r>
        <w:rPr>
          <w:lang w:val="es-GT"/>
        </w:rPr>
        <w:t xml:space="preserve"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2: API de servicios y procesador de préstamos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2»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1" w:name="_Toc900111"/>
      <w:r>
        <w:rPr>
          <w:b/>
          <w:lang w:val="es-GT"/>
        </w:rPr>
        <w:t xml:space="preserve">3.4 Fronteras de confianza</w:t>
      </w:r>
      <w:bookmarkEnd w:id="111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00"/>
        <w:gridCol w:w="3300"/>
        <w:gridCol w:w="2000"/>
        <w:gridCol w:w="3206"/>
      </w:tblGrid>
      <w:tr>
        <w:trPr>
          <w:cantSplit/>
          <w:tblHeader/>
        </w:trPr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Motivo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Internet y redes no confiables | Aplicación en Tomcat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F01, F02, F03, F10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donde entra todo dato no confiable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Base de datos y broker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F06, F08, F11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Los datos de mayor valor están al otro lado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un tercero fuera del control del equipo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2" w:name="_Toc900112"/>
      <w:r>
        <w:rPr>
          <w:b/>
          <w:lang w:val="es-GT"/>
        </w:rPr>
        <w:t xml:space="preserve">4. Análisis de amenazas con STRIDE</w:t>
      </w:r>
      <w:bookmarkEnd w:id="112"/>
    </w:p>
    <w:p>
      <w:pPr>
        <w:ind w:firstLine="720"/>
        <w:rPr>
          <w:lang w:val="es-GT"/>
        </w:rPr>
      </w:pPr>
      <w:r>
        <w:rPr>
          <w:lang w:val="es-GT"/>
        </w:rPr>
        <w:t xml:space="preserve"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3" w:name="_Toc900113"/>
      <w:r>
        <w:rPr>
          <w:b/>
          <w:lang w:val="es-GT"/>
        </w:rPr>
        <w:t xml:space="preserve">4.1 Matriz STRIDE consolidada</w:t>
      </w:r>
      <w:bookmarkEnd w:id="11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Total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Gestión de clientes y cuentas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Autenticación y sesión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Transferencias, depósitos y pago de facturas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Listener JMS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F09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23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S = Spoofing, T = Tampering, R = Repudiation, I = Information Disclosure, D = Denial of Service, E = Elevation of Privilege.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4" w:name="_Toc900114"/>
      <w:r>
        <w:rPr>
          <w:b/>
          <w:lang w:val="es-GT"/>
        </w:rPr>
        <w:t xml:space="preserve">4.2 Inventario de amenazas y descripción técnica</w:t>
      </w:r>
      <w:bookmarkEnd w:id="114"/>
    </w:p>
    <w:p>
      <w:pPr>
        <w:ind w:firstLine="720"/>
        <w:rPr>
          <w:lang w:val="es-GT"/>
        </w:rPr>
      </w:pPr>
      <w:r>
        <w:rPr>
          <w:lang w:val="es-GT"/>
        </w:rPr>
        <w:t xml:space="preserve">La Tabla 6 detalla cada amenaza, indicando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6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Descripción técnica y evidencia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Gestión de clientes y cuentas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F01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Transferencias, depósitos y pago de facturas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Procesador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(log4j2)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Sin rate limiting ni cuotas, un cliente puede saturar Tomcat o la BD con peticiones masivas (F03, F05, F06). Evidencia: Hipótesis: no se identificó limitación de tasa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Listener JMS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F09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5" w:name="_Toc900115"/>
      <w:r>
        <w:rPr>
          <w:b/>
          <w:lang w:val="es-GT"/>
        </w:rPr>
        <w:t xml:space="preserve">4.3 Registro de validación técnica</w:t>
      </w:r>
      <w:bookmarkEnd w:id="11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7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Rutas protegidas por LoginInterceptor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Solo nueve páginas de cliente en secureHandlerMapping; no incluye admin, db, initializeDB ni jms (T03)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El UPDATE de Customer concatena firstName (T01); el resto de los DAO usa parámetros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de la base de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jdbc.username=sa con contraseña vacía (T07)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de mensajería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tcp://0.0.0.0:61616 sin plugin de seguridad en ese bloque (T08)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CORS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@CrossOriginResourceSharing(allowAllOrigins = true) (T14)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Token anti-CSRF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La búsqueda de «csrf» en el código no arrojó resultados (T10)</w:t>
            </w:r>
          </w:p>
        </w:tc>
      </w:tr>
      <w:tr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Pendiente: las hipótesis requieren pruebas autorizadas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Lista de amenazas de un elemento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«Amenazas» al seleccionar un elemento con borde rojo, por ejemplo «Administración y utilidades»]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Propiedades de un flujo de datos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«Propiedades» de un flujo, mostrando protocolo HTTP y cifrado desactivado]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6" w:name="_Toc900116"/>
      <w:r>
        <w:rPr>
          <w:b/>
          <w:lang w:val="es-GT"/>
        </w:rPr>
        <w:t xml:space="preserve">5. Priorización de riesgos</w:t>
      </w:r>
      <w:bookmarkEnd w:id="116"/>
    </w:p>
    <w:p>
      <w:pPr>
        <w:ind w:firstLine="720"/>
        <w:rPr>
          <w:lang w:val="es-GT"/>
        </w:rPr>
      </w:pPr>
      <w:r>
        <w:rPr>
          <w:lang w:val="es-GT"/>
        </w:rPr>
        <w:t xml:space="preserve"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7" w:name="_Toc900117"/>
      <w:r>
        <w:rPr>
          <w:b/>
          <w:lang w:val="es-GT"/>
        </w:rPr>
        <w:t xml:space="preserve">5.1 Matriz de riesgos</w:t>
      </w:r>
      <w:bookmarkEnd w:id="117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8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Baja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T03, T04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T06, T07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T02, T05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T08, T09, T10, T11, T12, T13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T20, T21, T22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T14, T15, T16, T18, T19, T23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T17</w:t>
            </w:r>
          </w:p>
        </w:tc>
      </w:tr>
      <w:tr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Cada celda indica el nivel de riesgo y las amenazas que le corresponden.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8" w:name="_Toc900118"/>
      <w:r>
        <w:rPr>
          <w:b/>
          <w:lang w:val="es-GT"/>
        </w:rPr>
        <w:t xml:space="preserve">5.2 Top 10 de hallazgos prioritarios</w:t>
      </w:r>
      <w:bookmarkEnd w:id="118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9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Nivel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Inyección SQL en la actualización de clientes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3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T04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T05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7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T07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8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9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T09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 ranking completo de las 23 amenazas se presenta en la Tabla 12.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9" w:name="_Toc900119"/>
      <w:r>
        <w:rPr>
          <w:b/>
          <w:lang w:val="es-GT"/>
        </w:rPr>
        <w:t xml:space="preserve">5.3 Tratamiento del riesgo</w:t>
      </w:r>
      <w:bookmarkEnd w:id="119"/>
    </w:p>
    <w:p>
      <w:pPr>
        <w:ind w:firstLine="720"/>
        <w:rPr>
          <w:lang w:val="es-GT"/>
        </w:rPr>
      </w:pPr>
      <w:r>
        <w:rPr>
          <w:lang w:val="es-GT"/>
        </w:rPr>
        <w:t xml:space="preserve"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0" w:name="_Toc900120"/>
      <w:r>
        <w:rPr>
          <w:b/>
          <w:lang w:val="es-GT"/>
        </w:rPr>
        <w:t xml:space="preserve">6. Casos de abuso</w:t>
      </w:r>
      <w:bookmarkEnd w:id="120"/>
    </w:p>
    <w:p>
      <w:pPr>
        <w:ind w:firstLine="720"/>
        <w:rPr>
          <w:lang w:val="es-GT"/>
        </w:rPr>
      </w:pPr>
      <w:r>
        <w:rPr>
          <w:lang w:val="es-GT"/>
        </w:rPr>
        <w:t xml:space="preserve">Para cada amenaza crítica o elevada, se registró el objetivo del atacante, el vector, las precondiciones, el método de explotación, el impacto y los controles preventivos, detectivos y correctivos propuestos.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10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con acceso a la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o modificar datos de todos los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/customers/update/{id} con firstName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servicio y un ID de cliente válido.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Cerrar la cadena con una comilla y concatenar sentencias o subconsultas sobre la tabla Customer.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integridad y confidencialidad de la base de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Consultas parametrizadas, validación de entrada, BD con mínimo privilegio.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WAF y SIEM con reglas de inyección, alerta de errores SQL.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Revocar credenciales, restaurar desde respaldo, corregir el DAO y notificar el incidente.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red o con acceso a logs.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Obtener credenciales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logs de Tomcat, proxies o historial con la URL de 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logs o al tráfico.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Extraer usuario y contraseña de la ruta /login/{usuario}/{contraseña}.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Toma de cuentas bancarias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Login por POST con token y TLS.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DLP sobre logs, alerta de accesos desde ubicaciones nuevas.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Forzar cambio de contraseñas expuestas y depurar logs.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control administrativo de la aplicación.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Navegar a /parabank/admin.htm, db.htm o jms.htm.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HTTP al servidor.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datos, fraude por parámetros alterados y caída del servicio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Rol ADMIN con MFA y acceso solo desde red de gestión.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acceso a rutas administrativas.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Restaurar parámetros y BD, rotar credenciales y cerrar la exposición.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API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Destruir datos o dejar fuera de servicio el sistema.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/services/bank/cleanDB, /initializeDB, /shutdownJmsListener.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 /services.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Invocar directamente las operaciones de mantenimiento.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total de datos y disponibilidad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Retirar o proteger con OAuth 2.0 y scope administrativo.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Registro y alerta de invocaciones de mantenimiento.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Restauración desde respaldo y revisión del gateway.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autenticado malicioso 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datos financieros y personales ajenos.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GET /accounts/{id} y /customers/{id} con IDs secuenciales.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Conocer o adivinar el formato del ID.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Enumeración de identificadores.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Exposición de PII y saldos de múltiples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Autorización a nivel de objeto e IDs no predecibles.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barridos secuenciales de IDs.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sesiones, notificar y corregir las comprobaciones.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 datos.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Usar credenciales y SSN en claro.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la tabla Customer (inyección SQL o acceso directo a la BD).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Cualquier acceso de lectura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SELECT de usernames, passwords y SSN.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Robo masivo de identidades y reutilización de contraseñas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Hash Argon2id y cifrado de SSN.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consultas masivas sobre Customer.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Rotación forzada de credenciales y notificación a clientes.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Controlar la base de datos.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JDBC/TCP al puerto 9001 como sa sin contraseña.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puerto.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Conectar con un cliente JDBC y ejecutar SQL libre.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Lectura, modificación y destrucción total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Cuenta de servicio de mínimo privilegio, bóveda de secretos y segmentación.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Logging de conexiones y alertas por orígenes nuevos.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Rotar credenciales y reconstruir desde respaldo.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Falsificar o leer solicitudes de préstamo.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a tcp://host:61616.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al puerto del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Publicar mensajes de respuesta con aprobación o consumir solicitudes.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Préstamos fraudulentos y fuga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Autenticación, ACL, TLS y enlace a red interna.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Alertas de conexiones y mensajes anómalos.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Purgar colas, rotar credenciales y revisar préstamos aprobados.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ruta de red (MITM).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Capturar credenciales y sesiones.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Intercepción del tráfico HTTP del cliente.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Posición de red intermedia (Wi-Fi público, proxy).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Sniffing de F01/F02 para obtener contraseña o JSESSIONID.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y fraude con la cuenta de la víctima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TLS 1.2+, HSTS y cookies Secure.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Monitoreo de sesiones simultáneas.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 y forzar cambio de contraseña.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Transferir fondos desde cuentas de víctimas.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Página maliciosa que dispara POST a transfer.htm.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La víctima tiene sesión activa.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Formulario auto-enviado o petición cruzada de sitio.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 no autorizadas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Token CSRF, SameSite y OTP en operaciones de valor.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Reglas antifraude por monto y beneficiario nuevo.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Reversar transferencias y reforzar controles.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Alterar monto o cuenta de una operación.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parámetros en POST /transfer o /billpay.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Sesión válida o acceso al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amount o cuenta origen en la petición.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financiero y descuadre contable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Validación de negocio en servidor, firma e idempotencia.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Conciliación y reglas antifraude.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Reversión y ajuste contable.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listas de credenciales filtradas.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cuentas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Peticiones automatizadas a /login.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Listas de usuarios y contraseñas.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Credential stuffing sin límite de intentos.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y daño reputacional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MFA, bloqueo progresivo y rate limiting.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SIEM con alerta de fallos repetidos.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Bloquear cuentas, forzar restablecimiento y notificar.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administrativo (por T03/T04).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loanProcessorThreshold vía setParameter o admin.htm.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la administración.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Doble aprobación y rangos válidos.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de cambios de parámetros.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Revertir parámetros y auditar préstamos aprobados.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21" w:name="_Toc900121"/>
      <w:r>
        <w:rPr>
          <w:b/>
          <w:lang w:val="es-GT"/>
        </w:rPr>
        <w:t xml:space="preserve">6.1 Árbol de ataque</w:t>
      </w:r>
      <w:bookmarkEnd w:id="121"/>
    </w:p>
    <w:p>
      <w:pPr>
        <w:ind w:firstLine="720"/>
        <w:rPr>
          <w:lang w:val="es-GT"/>
        </w:rPr>
      </w:pPr>
      <w:r>
        <w:rPr>
          <w:lang w:val="es-GT"/>
        </w:rPr>
        <w:t xml:space="preserve"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2" w:name="_Toc900122"/>
      <w:r>
        <w:rPr>
          <w:b/>
          <w:lang w:val="es-GT"/>
        </w:rPr>
        <w:t xml:space="preserve">7. Controles de seguridad</w:t>
      </w:r>
      <w:bookmarkEnd w:id="122"/>
    </w:p>
    <w:p>
      <w:pPr>
        <w:ind w:firstLine="720"/>
        <w:rPr>
          <w:lang w:val="es-GT"/>
        </w:rPr>
      </w:pPr>
      <w:r>
        <w:rPr>
          <w:lang w:val="es-GT"/>
        </w:rPr>
        <w:t xml:space="preserve"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 inicial → residual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Sentencias parametrizadas y uso de SecureJdbcCustomerDao en toda ruta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esquema y longitud de campos en el endpoint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BD con privilegios mínimos distinta de sa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WAF/SIEM por patrones de inyección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Autenticar con POST y cuerpo, o con OAuth 2.0/OIDC con tokens de corta vida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Excluir rutas sensibles del registro de acceso y de proxies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credenciales en logs (DLP)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Autorización por rol (ADMIN) con deny-by-default en todas las rutas /admin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Publicar el módulo administrativo solo en red de gestión o VPN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para administradores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acceso a rutas administrativas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Separar la API operativa de la administrativa y exigir token con scope admin en esta última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API Gateway con listas de control de acceso por ruta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 de red: operaciones de mantenimiento solo desde red interna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Registro y alerta de invocaciones de mantenimiento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Autorización a nivel de objeto: comparar el ID del recurso con el sujeto del token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Identificadores no predecibles (UUID)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por enumeración secuencial de IDs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Hash con Argon2id o bcrypt con sal por usuario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Cifrado de columnas sensibles (SSN) y gestión de claves en bóveda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consultas masivas sobre Customer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aplicación con privilegios mínimos y contraseña robusta en bóveda de secretos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Segmentación: BD accesible solo desde el servidor de aplicaciones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Hardening: deshabilitar la cuenta sa por defecto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Logging de conexiones a la BD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Medio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Enlazar el broker a localhost o red interna y exigir TLS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Autenticación y ACL por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Firmar los mensajes de préstamo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conexiones y mensajes anómalos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1.2+ obligatorio con redirección y HSTS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con Secure y HttpOnly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Monitoreo de certificados y de suites débiles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Token anti-CSRF por sesión en formularios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SameSite=Lax/Strict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Reautenticación o OTP para transferencias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transferencias atípicas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negocio en el servidor: propiedad de la cuenta, saldo y límites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Firma o HMAC de la solicitud y control de idempotencia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en tránsito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Reglas antifraude por monto y frecuencia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y bloqueo progresivo de cuenta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por IP y por usuario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Política de contraseñas y verificación contra listas filtradas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SIEM con alerta de fallos de login repetidos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Cambios de parámetros críticos con doble aprobación (cuatro ojos)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Rangos válidos y límites máximos para el umbral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y auditoría de cambios de parámetros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Lista blanca de orígenes permitidos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No combinar CORS abierto con credenciales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Confirmación con OTP o firma para operaciones relevantes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Bitácora de auditoría con hash encadenado y sincronización de tiempo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Cuentas nominales con roles para administración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 centralizado de acciones administrativas hacia el SIEM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Envío en tiempo real a un SIEM con almacenamiento de solo anexado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Enmascarar datos personales en logs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y cuotas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Protección anti-DDoS y autoescalado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picos de tráfico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Límite de solicitudes por cliente y tamaño de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Cola persistente y dead-letter queue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profundidad de cola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TLS mutuo y firma de mensajes con validación de correlación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Conciliación de aprobaciones contra el proveedor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Deshabilitar DTD y entidades externas en el parser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Validar contra XSD y limitar tamaño de mensaje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Egress filtering desde el servidor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SCA en el pipeline (OWASP Dependency-Check) y SBOM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Parcheo periódico de Tomcat y ActiveMQ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Secure/HttpOnly/SameSite, regeneración del ID al autenticar y timeout de 15 minutos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3" w:name="_Toc900123"/>
      <w:r>
        <w:rPr>
          <w:b/>
          <w:lang w:val="es-GT"/>
        </w:rPr>
        <w:t xml:space="preserve">8. Matriz de riesgos y remediación</w:t>
      </w:r>
      <w:bookmarkEnd w:id="12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Fecha objetivo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responsables son roles genéricos y las fechas parten del 5 de octubre de 2026. Las amenazas críticas se programan primero. 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4" w:name="_Toc900124"/>
      <w:r>
        <w:rPr>
          <w:b/>
          <w:lang w:val="es-GT"/>
        </w:rPr>
        <w:t xml:space="preserve">9. Roadmap de mejoras</w:t>
      </w:r>
      <w:bookmarkEnd w:id="124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5" w:name="_Toc900125"/>
      <w:r>
        <w:rPr>
          <w:b/>
          <w:lang w:val="es-GT"/>
        </w:rPr>
        <w:t xml:space="preserve">Conclusión</w:t>
      </w:r>
      <w:bookmarkEnd w:id="125"/>
    </w:p>
    <w:p>
      <w:pPr>
        <w:ind w:firstLine="720"/>
        <w:rPr>
          <w:lang w:val="es-GT"/>
        </w:rPr>
      </w:pPr>
      <w:r>
        <w:rPr>
          <w:lang w:val="es-GT"/>
        </w:rPr>
        <w:t xml:space="preserve">La modelización de amenazas de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Hacerlo después implica reingeniería, adquisiciones de emergencia y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6" w:name="_Toc900126"/>
      <w:r>
        <w:rPr>
          <w:b/>
          <w:lang w:val="es-GT"/>
        </w:rPr>
        <w:t xml:space="preserve">Referencias</w:t>
      </w:r>
      <w:bookmarkEnd w:id="126"/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López Sajquin, M. R. (2026). </w:t>
      </w:r>
      <w:r>
        <w:rPr>
          <w:i/>
          <w:lang w:val="es-GT"/>
        </w:rPr>
        <w:t xml:space="preserve">Modelado de amenazas en el diseño: DFD, STRIDE, PASTA y priorización</w:t>
      </w:r>
      <w:r>
        <w:rPr>
          <w:lang w:val="es-GT"/>
        </w:rPr>
        <w:t xml:space="preserve"> [Diapositivas de la semana 2]. Seguridad en Aplicaciones, Universidad Mariano Gálvez de Guatemala.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National Institute of Standards and Technology. (2022). </w:t>
      </w:r>
      <w:r>
        <w:rPr>
          <w:i/>
          <w:lang w:val="es-GT"/>
        </w:rPr>
        <w:t xml:space="preserve">Secure software development framework (SSDF) version 1.1: Recommendations for mitigating the risk of software vulnerabilities</w:t>
      </w:r>
      <w:r>
        <w:rPr>
          <w:lang w:val="es-GT"/>
        </w:rPr>
        <w:t xml:space="preserve"> (NIST SP 800-218). https://doi.org/10.6028/NIST.SP.800-218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Open Worldwide Application Security Project. (s. f.). </w:t>
      </w:r>
      <w:r>
        <w:rPr>
          <w:i/>
          <w:lang w:val="es-GT"/>
        </w:rPr>
        <w:t xml:space="preserve">OWASP Threat Dragon</w:t>
      </w:r>
      <w:r>
        <w:rPr>
          <w:lang w:val="es-GT"/>
        </w:rPr>
        <w:t xml:space="preserve">. https://owasp.org/www-project-threat-dragon/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Parasoft. (2026). </w:t>
      </w:r>
      <w:r>
        <w:rPr>
          <w:i/>
          <w:lang w:val="es-GT"/>
        </w:rPr>
        <w:t xml:space="preserve">ParaBank</w:t>
      </w:r>
      <w:r>
        <w:rPr>
          <w:lang w:val="es-GT"/>
        </w:rPr>
        <w:t xml:space="preserve"> [Software]. GitHub. https://github.com/parasoft/parabank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Shostack, A. (2014). </w:t>
      </w:r>
      <w:r>
        <w:rPr>
          <w:i/>
          <w:lang w:val="es-GT"/>
        </w:rPr>
        <w:t xml:space="preserve">Threat modeling: Designing for security</w:t>
      </w:r>
      <w:r>
        <w:rPr>
          <w:lang w:val="es-GT"/>
        </w:rPr>
        <w:t xml:space="preserve">. Wiley.</w:t>
      </w:r>
    </w:p>
    <w:sectPr w:rsidR="005F209D" w:rsidRPr="00900852" w:rsidSect="00900852">
      <w:headerReference w:type="first" r:id="rId12"/>
      <w:pgSz w:w="12240" w:h="15840"/>
      <w:pgMar w:top="1417" w:right="1417" w:bottom="1417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FE16F" w14:textId="77777777" w:rsidR="003C64C8" w:rsidRDefault="003C64C8" w:rsidP="003C64C8">
      <w:pPr>
        <w:spacing w:after="0"/>
      </w:pPr>
      <w:r>
        <w:separator/>
      </w:r>
    </w:p>
  </w:endnote>
  <w:endnote w:type="continuationSeparator" w:id="0">
    <w:p w14:paraId="3B2362D7" w14:textId="77777777" w:rsidR="003C64C8" w:rsidRDefault="003C64C8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691B" w14:textId="77777777" w:rsidR="003C64C8" w:rsidRDefault="003C64C8" w:rsidP="003C64C8">
      <w:pPr>
        <w:spacing w:after="0"/>
      </w:pPr>
      <w:r>
        <w:separator/>
      </w:r>
    </w:p>
  </w:footnote>
  <w:footnote w:type="continuationSeparator" w:id="0">
    <w:p w14:paraId="344C5243" w14:textId="77777777" w:rsidR="003C64C8" w:rsidRDefault="003C64C8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71661"/>
      <w:docPartObj>
        <w:docPartGallery w:val="Page Numbers (Top of Page)"/>
        <w:docPartUnique/>
      </w:docPartObj>
    </w:sdtPr>
    <w:sdtEndPr/>
    <w:sdtContent>
      <w:p w14:paraId="5C35C666" w14:textId="7ABFD8F1" w:rsidR="00900852" w:rsidRDefault="0090085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5B19F01" w14:textId="77777777" w:rsidR="00900852" w:rsidRDefault="009008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F209D"/>
    <w:rsid w:val="006A2202"/>
    <w:rsid w:val="008600F3"/>
    <w:rsid w:val="00900852"/>
    <w:rsid w:val="00AA1D8D"/>
    <w:rsid w:val="00B15BFE"/>
    <w:rsid w:val="00B3153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22C00F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d53121ff-3373-4de2-81b2-65d996ac094e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1074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2</cp:revision>
  <cp:lastPrinted>2026-07-07T04:41:00Z</cp:lastPrinted>
  <dcterms:created xsi:type="dcterms:W3CDTF">2026-10-05T15:23:00Z</dcterms:created>
  <dcterms:modified xsi:type="dcterms:W3CDTF">2026-10-05T15:23:00Z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