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Def.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8A208" w14:textId="77777777" w:rsidR="00C13482" w:rsidRPr="009A1B6B" w:rsidRDefault="00C13482" w:rsidP="00C13482">
      <w:pPr>
        <w:widowControl w:val="0"/>
        <w:autoSpaceDE w:val="0"/>
        <w:autoSpaceDN w:val="0"/>
        <w:spacing w:after="0" w:line="240" w:lineRule="auto"/>
        <w:ind w:left="402"/>
        <w:jc w:val="both"/>
        <w:rPr>
          <w:rFonts w:ascii="Times New Roman" w:eastAsia="Times New Roman" w:hAnsi="Times New Roman" w:cs="Times New Roman"/>
          <w:b/>
          <w:sz w:val="48"/>
          <w:szCs w:val="48"/>
          <w:lang w:eastAsia="es-PE" w:bidi="es-PE"/>
        </w:rPr>
      </w:pPr>
      <w:r>
        <w:rPr>
          <w:rFonts w:ascii="Times New Roman" w:eastAsia="Times New Roman" w:hAnsi="Times New Roman" w:cs="Times New Roman"/>
          <w:b/>
          <w:noProof/>
          <w:sz w:val="48"/>
          <w:szCs w:val="48"/>
          <w:lang w:eastAsia="es-PE" w:bidi="es-PE"/>
        </w:rPr>
        <w:drawing>
          <wp:anchor distT="0" distB="0" distL="114300" distR="114300" simplePos="0" relativeHeight="251659264" behindDoc="0" locked="0" layoutInCell="1" allowOverlap="1" wp14:anchorId="1228446A" wp14:editId="4ABB6FC9">
            <wp:simplePos x="0" y="0"/>
            <wp:positionH relativeFrom="column">
              <wp:posOffset>488315</wp:posOffset>
            </wp:positionH>
            <wp:positionV relativeFrom="paragraph">
              <wp:posOffset>90805</wp:posOffset>
            </wp:positionV>
            <wp:extent cx="1237615" cy="1200785"/>
            <wp:effectExtent l="0" t="0" r="635" b="0"/>
            <wp:wrapNone/>
            <wp:docPr id="2046160855" name="Picture 2" descr="A logo with a person in the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60855" name="Picture 2" descr="A logo with a person in the back&#10;&#10;Description automatically generated with medium confidenc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237615" cy="1200785"/>
                    </a:xfrm>
                    <a:prstGeom prst="rect">
                      <a:avLst/>
                    </a:prstGeom>
                    <a:noFill/>
                  </pic:spPr>
                </pic:pic>
              </a:graphicData>
            </a:graphic>
            <wp14:sizeRelH relativeFrom="page">
              <wp14:pctWidth>0</wp14:pctWidth>
            </wp14:sizeRelH>
            <wp14:sizeRelV relativeFrom="page">
              <wp14:pctHeight>0</wp14:pctHeight>
            </wp14:sizeRelV>
          </wp:anchor>
        </w:drawing>
      </w:r>
      <w:bookmarkStart w:id="0" w:name="_bookmark7"/>
      <w:bookmarkEnd w:id="0"/>
    </w:p>
    <w:p w14:paraId="552CE5C5" w14:textId="79C240E4" w:rsidR="00C13482" w:rsidRPr="009A1B6B" w:rsidRDefault="00C13482" w:rsidP="00C13482">
      <w:pPr>
        <w:widowControl w:val="0"/>
        <w:autoSpaceDE w:val="0"/>
        <w:autoSpaceDN w:val="0"/>
        <w:spacing w:after="0" w:line="240" w:lineRule="auto"/>
        <w:jc w:val="right"/>
        <w:rPr>
          <w:rFonts w:ascii="Times New Roman" w:eastAsia="Times New Roman" w:hAnsi="Times New Roman" w:cs="Times New Roman"/>
          <w:b/>
          <w:sz w:val="48"/>
          <w:szCs w:val="48"/>
          <w:lang w:eastAsia="es-PE" w:bidi="es-PE"/>
        </w:rPr>
      </w:pPr>
      <w:r w:rsidRPr="009A1B6B">
        <w:rPr>
          <w:rFonts w:ascii="Times New Roman" w:eastAsia="Times New Roman" w:hAnsi="Times New Roman" w:cs="Times New Roman"/>
          <w:b/>
          <w:sz w:val="48"/>
          <w:szCs w:val="48"/>
          <w:lang w:eastAsia="es-PE" w:bidi="es-PE"/>
        </w:rPr>
        <w:t>UNIVERSIDAD MARIANO</w:t>
      </w:r>
      <w:r>
        <w:rPr>
          <w:rFonts w:ascii="Times New Roman" w:eastAsia="Times New Roman" w:hAnsi="Times New Roman" w:cs="Times New Roman"/>
          <w:b/>
          <w:sz w:val="48"/>
          <w:szCs w:val="48"/>
          <w:lang w:eastAsia="es-PE" w:bidi="es-PE"/>
        </w:rPr>
        <w:t xml:space="preserve"> </w:t>
      </w:r>
      <w:r>
        <w:rPr>
          <w:rFonts w:ascii="Times New Roman" w:eastAsia="Times New Roman" w:hAnsi="Times New Roman" w:cs="Times New Roman"/>
          <w:b/>
          <w:sz w:val="48"/>
          <w:szCs w:val="48"/>
          <w:lang w:eastAsia="es-PE" w:bidi="es-PE"/>
        </w:rPr>
        <w:tab/>
      </w:r>
    </w:p>
    <w:p w14:paraId="3677A0BE" w14:textId="2C406D6E" w:rsidR="00C13482" w:rsidRPr="009A1B6B" w:rsidRDefault="00C13482" w:rsidP="00C13482">
      <w:pPr>
        <w:widowControl w:val="0"/>
        <w:autoSpaceDE w:val="0"/>
        <w:autoSpaceDN w:val="0"/>
        <w:spacing w:after="0" w:line="240" w:lineRule="auto"/>
        <w:jc w:val="right"/>
        <w:rPr>
          <w:rFonts w:ascii="Times New Roman" w:eastAsia="Times New Roman" w:hAnsi="Times New Roman" w:cs="Times New Roman"/>
          <w:b/>
          <w:sz w:val="48"/>
          <w:szCs w:val="48"/>
          <w:lang w:eastAsia="es-PE" w:bidi="es-PE"/>
        </w:rPr>
      </w:pPr>
      <w:r w:rsidRPr="009A1B6B">
        <w:rPr>
          <w:rFonts w:ascii="Times New Roman" w:eastAsia="Times New Roman" w:hAnsi="Times New Roman" w:cs="Times New Roman"/>
          <w:b/>
          <w:sz w:val="48"/>
          <w:szCs w:val="48"/>
          <w:lang w:eastAsia="es-PE" w:bidi="es-PE"/>
        </w:rPr>
        <w:t>GÁLVEZ DE GUATEMALA</w:t>
      </w:r>
      <w:r>
        <w:rPr>
          <w:rFonts w:ascii="Times New Roman" w:eastAsia="Times New Roman" w:hAnsi="Times New Roman" w:cs="Times New Roman"/>
          <w:b/>
          <w:sz w:val="48"/>
          <w:szCs w:val="48"/>
          <w:lang w:eastAsia="es-PE" w:bidi="es-PE"/>
        </w:rPr>
        <w:tab/>
      </w:r>
    </w:p>
    <w:p w14:paraId="265E5B43" w14:textId="77777777" w:rsidR="00C13482" w:rsidRPr="00A0471F" w:rsidRDefault="00C13482" w:rsidP="00C13482">
      <w:pPr>
        <w:widowControl w:val="0"/>
        <w:autoSpaceDE w:val="0"/>
        <w:autoSpaceDN w:val="0"/>
        <w:spacing w:after="0" w:line="360" w:lineRule="auto"/>
        <w:jc w:val="both"/>
        <w:rPr>
          <w:rFonts w:ascii="Times New Roman" w:eastAsia="Times New Roman" w:hAnsi="Times New Roman" w:cs="Times New Roman"/>
          <w:b/>
          <w:sz w:val="24"/>
          <w:lang w:eastAsia="es-PE" w:bidi="es-PE"/>
        </w:rPr>
      </w:pPr>
    </w:p>
    <w:p w14:paraId="040899D7" w14:textId="77777777" w:rsidR="00C13482" w:rsidRPr="00A0471F" w:rsidRDefault="00C13482" w:rsidP="00C13482">
      <w:pPr>
        <w:spacing w:after="0"/>
        <w:ind w:left="10" w:right="39" w:hanging="10"/>
        <w:jc w:val="center"/>
        <w:rPr>
          <w:rFonts w:ascii="Times New Roman" w:eastAsia="Times New Roman" w:hAnsi="Times New Roman" w:cs="Times New Roman"/>
          <w:b/>
          <w:color w:val="000000"/>
          <w:sz w:val="36"/>
          <w:szCs w:val="36"/>
          <w:lang w:eastAsia="es-PE"/>
        </w:rPr>
      </w:pPr>
    </w:p>
    <w:p w14:paraId="5902720B" w14:textId="77777777" w:rsidR="00C13482" w:rsidRDefault="00C13482" w:rsidP="00C13482">
      <w:pPr>
        <w:spacing w:after="0"/>
        <w:ind w:left="10" w:right="39" w:hanging="10"/>
        <w:jc w:val="center"/>
        <w:rPr>
          <w:rFonts w:ascii="Times New Roman" w:eastAsia="Times New Roman" w:hAnsi="Times New Roman" w:cs="Times New Roman"/>
          <w:b/>
          <w:color w:val="000000"/>
          <w:sz w:val="36"/>
          <w:szCs w:val="36"/>
          <w:lang w:eastAsia="es-PE"/>
        </w:rPr>
      </w:pPr>
      <w:r w:rsidRPr="00A0471F">
        <w:rPr>
          <w:rFonts w:ascii="Times New Roman" w:eastAsia="Times New Roman" w:hAnsi="Times New Roman" w:cs="Times New Roman"/>
          <w:b/>
          <w:color w:val="000000"/>
          <w:sz w:val="36"/>
          <w:szCs w:val="36"/>
          <w:lang w:eastAsia="es-PE"/>
        </w:rPr>
        <w:t>FACULTAD DE</w:t>
      </w:r>
      <w:r>
        <w:rPr>
          <w:rFonts w:ascii="Times New Roman" w:eastAsia="Times New Roman" w:hAnsi="Times New Roman" w:cs="Times New Roman"/>
          <w:b/>
          <w:color w:val="000000"/>
          <w:sz w:val="36"/>
          <w:szCs w:val="36"/>
          <w:lang w:eastAsia="es-PE"/>
        </w:rPr>
        <w:t xml:space="preserve"> INGENIERÍA EN SISTEMAS DE INFORMACIÓN</w:t>
      </w:r>
    </w:p>
    <w:p w14:paraId="58884413"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7EA85F2C" w14:textId="77777777" w:rsidR="00C13482" w:rsidRPr="00A0471F" w:rsidRDefault="00C13482" w:rsidP="00C13482">
      <w:pPr>
        <w:spacing w:after="5" w:line="248" w:lineRule="auto"/>
        <w:ind w:right="30" w:hanging="10"/>
        <w:jc w:val="center"/>
        <w:rPr>
          <w:rFonts w:ascii="Times New Roman" w:eastAsia="Times New Roman" w:hAnsi="Times New Roman" w:cs="Times New Roman"/>
          <w:b/>
          <w:color w:val="000000"/>
          <w:sz w:val="32"/>
          <w:szCs w:val="32"/>
          <w:lang w:eastAsia="es-PE"/>
        </w:rPr>
      </w:pPr>
      <w:r>
        <w:rPr>
          <w:rFonts w:ascii="Times New Roman" w:eastAsia="Times New Roman" w:hAnsi="Times New Roman" w:cs="Times New Roman"/>
          <w:b/>
          <w:color w:val="000000"/>
          <w:sz w:val="32"/>
          <w:szCs w:val="32"/>
          <w:lang w:eastAsia="es-PE"/>
        </w:rPr>
        <w:t>PROGRAMA DE POSGRADOS</w:t>
      </w:r>
    </w:p>
    <w:p w14:paraId="77E1B72B"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293CE8B4" w14:textId="77777777" w:rsidR="00C13482" w:rsidRPr="00A0471F" w:rsidRDefault="00C13482" w:rsidP="00C13482">
      <w:pPr>
        <w:spacing w:after="0"/>
        <w:rPr>
          <w:rFonts w:ascii="Times New Roman" w:eastAsia="Times New Roman" w:hAnsi="Times New Roman" w:cs="Times New Roman"/>
          <w:color w:val="000000"/>
          <w:sz w:val="24"/>
          <w:lang w:eastAsia="es-PE"/>
        </w:rPr>
      </w:pPr>
    </w:p>
    <w:p w14:paraId="20B81370" w14:textId="77777777" w:rsidR="00C13482" w:rsidRPr="00A0471F" w:rsidRDefault="00C13482" w:rsidP="00C13482">
      <w:pPr>
        <w:spacing w:after="5" w:line="248" w:lineRule="auto"/>
        <w:ind w:right="30" w:hanging="10"/>
        <w:jc w:val="center"/>
        <w:rPr>
          <w:rFonts w:ascii="Times New Roman" w:eastAsia="Times New Roman" w:hAnsi="Times New Roman" w:cs="Times New Roman"/>
          <w:b/>
          <w:color w:val="000000"/>
          <w:sz w:val="32"/>
          <w:szCs w:val="32"/>
          <w:lang w:eastAsia="es-PE"/>
        </w:rPr>
      </w:pPr>
      <w:r>
        <w:rPr>
          <w:rFonts w:ascii="Times New Roman" w:eastAsia="Times New Roman" w:hAnsi="Times New Roman" w:cs="Times New Roman"/>
          <w:b/>
          <w:color w:val="000000"/>
          <w:sz w:val="32"/>
          <w:szCs w:val="32"/>
          <w:lang w:eastAsia="es-PE"/>
        </w:rPr>
        <w:t>TRABAJO FINAL /</w:t>
      </w:r>
      <w:r w:rsidRPr="00A0471F">
        <w:rPr>
          <w:rFonts w:ascii="Times New Roman" w:eastAsia="Times New Roman" w:hAnsi="Times New Roman" w:cs="Times New Roman"/>
          <w:b/>
          <w:color w:val="000000"/>
          <w:sz w:val="32"/>
          <w:szCs w:val="32"/>
          <w:lang w:eastAsia="es-PE"/>
        </w:rPr>
        <w:t>PROYECTO DE INVESTIGACIÓN</w:t>
      </w:r>
    </w:p>
    <w:p w14:paraId="1DE67892"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2DAC46AB" w14:textId="77777777" w:rsidR="00C13482" w:rsidRPr="00A0471F" w:rsidRDefault="00C13482" w:rsidP="00C13482">
      <w:pPr>
        <w:spacing w:after="0"/>
        <w:rPr>
          <w:rFonts w:ascii="Times New Roman" w:eastAsia="Times New Roman" w:hAnsi="Times New Roman" w:cs="Times New Roman"/>
          <w:color w:val="000000"/>
          <w:sz w:val="24"/>
          <w:lang w:eastAsia="es-PE"/>
        </w:rPr>
      </w:pPr>
    </w:p>
    <w:p w14:paraId="451FC87E" w14:textId="77777777" w:rsidR="00C13482" w:rsidRPr="00A0471F" w:rsidRDefault="00C13482" w:rsidP="00C13482">
      <w:pPr>
        <w:spacing w:after="0"/>
        <w:ind w:left="10" w:right="41" w:hanging="10"/>
        <w:jc w:val="center"/>
        <w:rPr>
          <w:rFonts w:ascii="Times New Roman" w:eastAsia="Times New Roman" w:hAnsi="Times New Roman" w:cs="Times New Roman"/>
          <w:b/>
          <w:color w:val="000000"/>
          <w:sz w:val="36"/>
          <w:szCs w:val="36"/>
          <w:lang w:eastAsia="es-PE"/>
        </w:rPr>
      </w:pPr>
      <w:r w:rsidRPr="00A0471F">
        <w:rPr>
          <w:rFonts w:ascii="Times New Roman" w:eastAsia="Times New Roman" w:hAnsi="Times New Roman" w:cs="Times New Roman"/>
          <w:b/>
          <w:color w:val="000000"/>
          <w:sz w:val="36"/>
          <w:szCs w:val="36"/>
          <w:lang w:eastAsia="es-PE"/>
        </w:rPr>
        <w:t xml:space="preserve">TALLER PRÁCTICO: CONSTRUCCIÓN DE LA MATRIZ DE CONSISTENCIA</w:t>
      </w:r>
    </w:p>
    <w:p w14:paraId="1D2690F2" w14:textId="77777777" w:rsidR="00C13482" w:rsidRPr="00A0471F" w:rsidRDefault="00C13482" w:rsidP="00C13482">
      <w:pPr>
        <w:spacing w:after="26"/>
        <w:rPr>
          <w:rFonts w:ascii="Times New Roman" w:eastAsia="Times New Roman" w:hAnsi="Times New Roman" w:cs="Times New Roman"/>
          <w:color w:val="000000"/>
          <w:sz w:val="24"/>
          <w:lang w:eastAsia="es-PE"/>
        </w:rPr>
      </w:pPr>
    </w:p>
    <w:p w14:paraId="6B935E51" w14:textId="77777777" w:rsidR="00C13482" w:rsidRPr="00A0471F" w:rsidRDefault="00C13482" w:rsidP="00C13482">
      <w:pPr>
        <w:spacing w:after="0"/>
        <w:ind w:left="10" w:right="38" w:hanging="10"/>
        <w:jc w:val="center"/>
        <w:rPr>
          <w:rFonts w:ascii="Times New Roman" w:eastAsia="Times New Roman" w:hAnsi="Times New Roman" w:cs="Times New Roman"/>
          <w:b/>
          <w:color w:val="000000"/>
          <w:sz w:val="34"/>
          <w:szCs w:val="34"/>
          <w:lang w:eastAsia="es-PE"/>
        </w:rPr>
      </w:pPr>
      <w:r w:rsidRPr="00A0471F">
        <w:rPr>
          <w:rFonts w:ascii="Times New Roman" w:eastAsia="Times New Roman" w:hAnsi="Times New Roman" w:cs="Times New Roman"/>
          <w:b/>
          <w:color w:val="000000"/>
          <w:sz w:val="34"/>
          <w:szCs w:val="34"/>
          <w:lang w:eastAsia="es-PE"/>
        </w:rPr>
        <w:t xml:space="preserve">Autor (es): </w:t>
      </w:r>
    </w:p>
    <w:p w14:paraId="0F96316E" w14:textId="77777777" w:rsidR="00C13482" w:rsidRPr="00BF2264" w:rsidRDefault="00C13482" w:rsidP="00C13482">
      <w:pPr>
        <w:spacing w:after="0"/>
        <w:ind w:left="10" w:right="38" w:hanging="10"/>
        <w:jc w:val="center"/>
        <w:rPr>
          <w:rFonts w:ascii="Times New Roman" w:eastAsia="Times New Roman" w:hAnsi="Times New Roman" w:cs="Times New Roman"/>
          <w:b/>
          <w:color w:val="000000"/>
          <w:sz w:val="28"/>
          <w:szCs w:val="28"/>
          <w:lang w:eastAsia="es-PE"/>
        </w:rPr>
      </w:pPr>
      <w:r w:rsidRPr="00BF2264">
        <w:rPr>
          <w:rFonts w:ascii="Times New Roman" w:eastAsia="Times New Roman" w:hAnsi="Times New Roman" w:cs="Times New Roman"/>
          <w:b/>
          <w:color w:val="000000"/>
          <w:sz w:val="28"/>
          <w:szCs w:val="28"/>
          <w:lang w:eastAsia="es-PE"/>
        </w:rPr>
        <w:t xml:space="preserve">García Loaiza, Gerbert David - ggarcial17@miumg.edu.gt</w:t>
      </w:r>
    </w:p>
    <w:p w14:paraId="78779E99" w14:textId="073265DF" w:rsidR="00C13482" w:rsidRPr="00A0471F" w:rsidRDefault="00C13482" w:rsidP="00C13482">
      <w:pPr>
        <w:spacing w:after="0"/>
        <w:ind w:left="10" w:right="34" w:hanging="10"/>
        <w:jc w:val="center"/>
        <w:rPr>
          <w:rFonts w:ascii="Times New Roman" w:eastAsia="Times New Roman" w:hAnsi="Times New Roman" w:cs="Times New Roman"/>
          <w:b/>
          <w:color w:val="000000"/>
          <w:sz w:val="34"/>
          <w:szCs w:val="34"/>
          <w:lang w:eastAsia="es-PE"/>
        </w:rPr>
      </w:pPr>
      <w:r>
        <w:rPr>
          <w:rFonts w:ascii="Times New Roman" w:eastAsia="Times New Roman" w:hAnsi="Times New Roman" w:cs="Times New Roman"/>
          <w:b/>
          <w:color w:val="000000"/>
          <w:sz w:val="34"/>
          <w:szCs w:val="34"/>
          <w:lang w:eastAsia="es-PE"/>
        </w:rPr>
        <w:t>Profesor</w:t>
      </w:r>
      <w:r w:rsidRPr="00A0471F">
        <w:rPr>
          <w:rFonts w:ascii="Times New Roman" w:eastAsia="Times New Roman" w:hAnsi="Times New Roman" w:cs="Times New Roman"/>
          <w:b/>
          <w:color w:val="000000"/>
          <w:sz w:val="34"/>
          <w:szCs w:val="34"/>
          <w:lang w:eastAsia="es-PE"/>
        </w:rPr>
        <w:t xml:space="preserve"> </w:t>
      </w:r>
    </w:p>
    <w:p w14:paraId="200C4241" w14:textId="77777777" w:rsidR="00C13482" w:rsidRPr="00A0471F" w:rsidRDefault="00C13482" w:rsidP="00C13482">
      <w:pPr>
        <w:spacing w:after="0"/>
        <w:ind w:left="10" w:right="33" w:hanging="10"/>
        <w:jc w:val="center"/>
        <w:rPr>
          <w:rFonts w:ascii="Times New Roman" w:eastAsia="Times New Roman" w:hAnsi="Times New Roman" w:cs="Times New Roman"/>
          <w:b/>
          <w:color w:val="000000"/>
          <w:sz w:val="34"/>
          <w:szCs w:val="34"/>
          <w:lang w:eastAsia="es-PE"/>
        </w:rPr>
      </w:pPr>
      <w:r w:rsidRPr="00A0471F">
        <w:rPr>
          <w:rFonts w:ascii="Times New Roman" w:eastAsia="Times New Roman" w:hAnsi="Times New Roman" w:cs="Times New Roman"/>
          <w:b/>
          <w:color w:val="000000"/>
          <w:sz w:val="34"/>
          <w:szCs w:val="34"/>
          <w:lang w:eastAsia="es-PE"/>
        </w:rPr>
        <w:t xml:space="preserve">Ing. Buratti Aldana, Albino Cesare</w:t>
      </w:r>
    </w:p>
    <w:p w14:paraId="3CFAD025"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7D1000F7" w14:textId="77777777" w:rsidR="00C13482" w:rsidRPr="00A0471F" w:rsidRDefault="00C13482" w:rsidP="00C13482">
      <w:pPr>
        <w:spacing w:after="0"/>
        <w:ind w:left="21"/>
        <w:jc w:val="center"/>
        <w:rPr>
          <w:rFonts w:ascii="Times New Roman" w:eastAsia="Times New Roman" w:hAnsi="Times New Roman" w:cs="Times New Roman"/>
          <w:color w:val="000000"/>
          <w:sz w:val="24"/>
          <w:lang w:eastAsia="es-PE"/>
        </w:rPr>
      </w:pPr>
    </w:p>
    <w:p w14:paraId="6A0208A7" w14:textId="071A5C26" w:rsidR="00C13482" w:rsidRPr="00A0471F" w:rsidRDefault="00C13482" w:rsidP="00C13482">
      <w:pPr>
        <w:spacing w:after="0"/>
        <w:ind w:left="10" w:right="38" w:hanging="10"/>
        <w:jc w:val="center"/>
        <w:rPr>
          <w:rFonts w:ascii="Times New Roman" w:eastAsia="Times New Roman" w:hAnsi="Times New Roman" w:cs="Times New Roman"/>
          <w:b/>
          <w:color w:val="000000"/>
          <w:sz w:val="32"/>
          <w:szCs w:val="32"/>
          <w:lang w:eastAsia="es-PE"/>
        </w:rPr>
      </w:pPr>
      <w:r>
        <w:rPr>
          <w:rFonts w:ascii="Times New Roman" w:eastAsia="Times New Roman" w:hAnsi="Times New Roman" w:cs="Times New Roman"/>
          <w:b/>
          <w:color w:val="000000"/>
          <w:sz w:val="32"/>
          <w:szCs w:val="32"/>
          <w:lang w:eastAsia="es-PE"/>
        </w:rPr>
        <w:t>Curso</w:t>
      </w:r>
    </w:p>
    <w:p w14:paraId="6B12D17F" w14:textId="4AA41849" w:rsidR="00C13482" w:rsidRPr="00A0471F" w:rsidRDefault="00C13482" w:rsidP="00C13482">
      <w:pPr>
        <w:spacing w:after="5" w:line="248" w:lineRule="auto"/>
        <w:ind w:right="30" w:hanging="10"/>
        <w:jc w:val="center"/>
        <w:rPr>
          <w:rFonts w:ascii="Times New Roman" w:eastAsia="Times New Roman" w:hAnsi="Times New Roman" w:cs="Times New Roman"/>
          <w:b/>
          <w:color w:val="000000"/>
          <w:sz w:val="32"/>
          <w:szCs w:val="32"/>
          <w:lang w:eastAsia="es-PE"/>
        </w:rPr>
      </w:pPr>
      <w:r w:rsidRPr="00A0471F">
        <w:rPr>
          <w:rFonts w:ascii="Times New Roman" w:eastAsia="Times New Roman" w:hAnsi="Times New Roman" w:cs="Times New Roman"/>
          <w:b/>
          <w:color w:val="000000"/>
          <w:sz w:val="32"/>
          <w:szCs w:val="32"/>
          <w:lang w:eastAsia="es-PE"/>
        </w:rPr>
        <w:t xml:space="preserve">Proyecto de Investigación I - 2026</w:t>
      </w:r>
    </w:p>
    <w:p w14:paraId="199B97FA" w14:textId="77777777" w:rsidR="00C13482" w:rsidRPr="00A0471F" w:rsidRDefault="00C13482" w:rsidP="00C13482">
      <w:pPr>
        <w:spacing w:after="0"/>
        <w:ind w:left="21"/>
        <w:jc w:val="center"/>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01220E37" w14:textId="77777777" w:rsidR="00C13482" w:rsidRPr="00A0471F" w:rsidRDefault="00C13482" w:rsidP="00C13482">
      <w:pPr>
        <w:spacing w:after="0"/>
        <w:rPr>
          <w:rFonts w:ascii="Times New Roman" w:eastAsia="Times New Roman" w:hAnsi="Times New Roman" w:cs="Times New Roman"/>
          <w:color w:val="000000"/>
          <w:sz w:val="24"/>
          <w:lang w:eastAsia="es-PE"/>
        </w:rPr>
      </w:pPr>
    </w:p>
    <w:p w14:paraId="128816E5" w14:textId="77777777" w:rsidR="00C13482" w:rsidRPr="00A0471F" w:rsidRDefault="00C13482" w:rsidP="00C13482">
      <w:pPr>
        <w:spacing w:after="0"/>
        <w:ind w:left="10" w:right="37" w:hanging="10"/>
        <w:jc w:val="center"/>
        <w:rPr>
          <w:rFonts w:ascii="Times New Roman" w:eastAsia="Times New Roman" w:hAnsi="Times New Roman" w:cs="Times New Roman"/>
          <w:b/>
          <w:color w:val="000000"/>
          <w:sz w:val="28"/>
          <w:szCs w:val="28"/>
          <w:lang w:eastAsia="es-PE"/>
        </w:rPr>
      </w:pPr>
      <w:r>
        <w:rPr>
          <w:rFonts w:ascii="Times New Roman" w:eastAsia="Times New Roman" w:hAnsi="Times New Roman" w:cs="Times New Roman"/>
          <w:b/>
          <w:color w:val="000000"/>
          <w:sz w:val="28"/>
          <w:szCs w:val="28"/>
          <w:lang w:eastAsia="es-PE"/>
        </w:rPr>
        <w:t xml:space="preserve">Guatemala, octubre de 2026</w:t>
      </w:r>
    </w:p>
    <w:p>
      <w:pPr>
        <w:sectPr>
          <w:pgSz w:w="12240" w:h="15840"/>
          <w:pgMar w:top="1417" w:right="1417" w:bottom="1417" w:left="1984" w:header="720" w:footer="720" w:gutter="0"/>
          <w:cols w:space="720"/>
          <w:docGrid w:linePitch="360"/>
        </w:sectPr>
      </w:pPr>
    </w:p>
    <w:p>
      <w:pPr>
        <w:spacing w:before="0" w:after="0" w:line="360" w:lineRule="auto"/>
        <w:jc w:val="center"/>
        <w:rPr>
          <w:rFonts w:ascii="Arial" w:hAnsi="Arial" w:cs="Arial"/>
          <w:lang w:val="es-GT"/>
        </w:rPr>
      </w:pPr>
      <w:r>
        <w:rPr>
          <w:rFonts w:ascii="Arial" w:hAnsi="Arial" w:cs="Arial"/>
          <w:b/>
          <w:sz w:val="24"/>
          <w:szCs w:val="24"/>
          <w:lang w:val="es-GT"/>
        </w:rPr>
        <w:t xml:space="preserve">Tabla de contenido</w:t>
      </w:r>
    </w:p>
    <w:p>
      <w:pPr>
        <w:tabs>
          <w:tab w:val="right" w:leader="dot" w:pos="8830"/>
        </w:tabs>
        <w:spacing w:before="0" w:after="60" w:line="276" w:lineRule="auto"/>
        <w:jc w:val="left"/>
      </w:pPr>
      <w:r>
        <w:fldChar w:fldCharType="begin"/>
      </w:r>
      <w:r>
        <w:instrText xml:space="preserve">TOC \o "1-2" \h \z \u</w:instrText>
      </w:r>
      <w:r>
        <w:fldChar w:fldCharType="separate"/>
      </w:r>
      <w:hyperlink w:anchor="_Toc800201" w:history="1">
        <w:r>
          <w:rPr>
            <w:rFonts w:ascii="Arial" w:hAnsi="Arial" w:cs="Arial"/>
            <w:b/>
            <w:sz w:val="24"/>
            <w:szCs w:val="24"/>
            <w:lang w:val="es-GT"/>
          </w:rPr>
          <w:t xml:space="preserve">RESUMEN</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_Toc800201 \h </w:instrText>
        </w:r>
        <w:r>
          <w:rPr>
            <w:rFonts w:ascii="Arial" w:hAnsi="Arial" w:cs="Arial"/>
            <w:b/>
            <w:sz w:val="24"/>
            <w:szCs w:val="24"/>
            <w:lang w:val="es-GT"/>
          </w:rPr>
          <w:fldChar w:fldCharType="separate"/>
        </w:r>
        <w:r>
          <w:rPr>
            <w:rFonts w:ascii="Arial" w:hAnsi="Arial" w:cs="Arial"/>
            <w:b/>
            <w:sz w:val="24"/>
            <w:szCs w:val="24"/>
            <w:lang w:val="es-GT"/>
          </w:rPr>
          <w:t>1</w:t>
        </w:r>
        <w:r>
          <w:rPr>
            <w:rFonts w:ascii="Arial" w:hAnsi="Arial" w:cs="Arial"/>
            <w:b/>
            <w:sz w:val="24"/>
            <w:szCs w:val="24"/>
            <w:lang w:val="es-GT"/>
          </w:rPr>
          <w:fldChar w:fldCharType="end"/>
        </w:r>
      </w:hyperlink>
    </w:p>
    <w:p>
      <w:pPr>
        <w:tabs>
          <w:tab w:val="right" w:leader="dot" w:pos="8830"/>
        </w:tabs>
        <w:spacing w:before="0" w:after="60" w:line="276" w:lineRule="auto"/>
        <w:jc w:val="left"/>
      </w:pPr>
      <w:hyperlink w:anchor="_Toc800202" w:history="1">
        <w:r>
          <w:rPr>
            <w:rFonts w:ascii="Arial" w:hAnsi="Arial" w:cs="Arial"/>
            <w:b/>
            <w:sz w:val="24"/>
            <w:szCs w:val="24"/>
            <w:lang w:val="es-GT"/>
          </w:rPr>
          <w:t xml:space="preserve">INTRODUCCIÓN</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_Toc800202 \h </w:instrText>
        </w:r>
        <w:r>
          <w:rPr>
            <w:rFonts w:ascii="Arial" w:hAnsi="Arial" w:cs="Arial"/>
            <w:b/>
            <w:sz w:val="24"/>
            <w:szCs w:val="24"/>
            <w:lang w:val="es-GT"/>
          </w:rPr>
          <w:fldChar w:fldCharType="separate"/>
        </w:r>
        <w:r>
          <w:rPr>
            <w:rFonts w:ascii="Arial" w:hAnsi="Arial" w:cs="Arial"/>
            <w:b/>
            <w:sz w:val="24"/>
            <w:szCs w:val="24"/>
            <w:lang w:val="es-GT"/>
          </w:rPr>
          <w:t>1</w:t>
        </w:r>
        <w:r>
          <w:rPr>
            <w:rFonts w:ascii="Arial" w:hAnsi="Arial" w:cs="Arial"/>
            <w:b/>
            <w:sz w:val="24"/>
            <w:szCs w:val="24"/>
            <w:lang w:val="es-GT"/>
          </w:rPr>
          <w:fldChar w:fldCharType="end"/>
        </w:r>
      </w:hyperlink>
    </w:p>
    <w:p>
      <w:pPr>
        <w:tabs>
          <w:tab w:val="right" w:leader="dot" w:pos="8830"/>
        </w:tabs>
        <w:spacing w:before="0" w:after="60" w:line="276" w:lineRule="auto"/>
        <w:jc w:val="left"/>
      </w:pPr>
      <w:hyperlink w:anchor="_Toc800203" w:history="1">
        <w:r>
          <w:rPr>
            <w:rFonts w:ascii="Arial" w:hAnsi="Arial" w:cs="Arial"/>
            <w:b/>
            <w:sz w:val="24"/>
            <w:szCs w:val="24"/>
            <w:lang w:val="es-GT"/>
          </w:rPr>
          <w:t xml:space="preserve">JUSTIFICACIÓN</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_Toc800203 \h </w:instrText>
        </w:r>
        <w:r>
          <w:rPr>
            <w:rFonts w:ascii="Arial" w:hAnsi="Arial" w:cs="Arial"/>
            <w:b/>
            <w:sz w:val="24"/>
            <w:szCs w:val="24"/>
            <w:lang w:val="es-GT"/>
          </w:rPr>
          <w:fldChar w:fldCharType="separate"/>
        </w:r>
        <w:r>
          <w:rPr>
            <w:rFonts w:ascii="Arial" w:hAnsi="Arial" w:cs="Arial"/>
            <w:b/>
            <w:sz w:val="24"/>
            <w:szCs w:val="24"/>
            <w:lang w:val="es-GT"/>
          </w:rPr>
          <w:t>1</w:t>
        </w:r>
        <w:r>
          <w:rPr>
            <w:rFonts w:ascii="Arial" w:hAnsi="Arial" w:cs="Arial"/>
            <w:b/>
            <w:sz w:val="24"/>
            <w:szCs w:val="24"/>
            <w:lang w:val="es-GT"/>
          </w:rPr>
          <w:fldChar w:fldCharType="end"/>
        </w:r>
      </w:hyperlink>
    </w:p>
    <w:p>
      <w:pPr>
        <w:tabs>
          <w:tab w:val="right" w:leader="dot" w:pos="8830"/>
        </w:tabs>
        <w:spacing w:before="0" w:after="60" w:line="276" w:lineRule="auto"/>
        <w:jc w:val="left"/>
      </w:pPr>
      <w:hyperlink w:anchor="_Toc800204" w:history="1">
        <w:r>
          <w:rPr>
            <w:rFonts w:ascii="Arial" w:hAnsi="Arial" w:cs="Arial"/>
            <w:b/>
            <w:sz w:val="24"/>
            <w:szCs w:val="24"/>
            <w:lang w:val="es-GT"/>
          </w:rPr>
          <w:t xml:space="preserve">MARCO TEÓRICO</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_Toc800204 \h </w:instrText>
        </w:r>
        <w:r>
          <w:rPr>
            <w:rFonts w:ascii="Arial" w:hAnsi="Arial" w:cs="Arial"/>
            <w:b/>
            <w:sz w:val="24"/>
            <w:szCs w:val="24"/>
            <w:lang w:val="es-GT"/>
          </w:rPr>
          <w:fldChar w:fldCharType="separate"/>
        </w:r>
        <w:r>
          <w:rPr>
            <w:rFonts w:ascii="Arial" w:hAnsi="Arial" w:cs="Arial"/>
            <w:b/>
            <w:sz w:val="24"/>
            <w:szCs w:val="24"/>
            <w:lang w:val="es-GT"/>
          </w:rPr>
          <w:t>2</w:t>
        </w:r>
        <w:r>
          <w:rPr>
            <w:rFonts w:ascii="Arial" w:hAnsi="Arial" w:cs="Arial"/>
            <w:b/>
            <w:sz w:val="24"/>
            <w:szCs w:val="24"/>
            <w:lang w:val="es-GT"/>
          </w:rPr>
          <w:fldChar w:fldCharType="end"/>
        </w:r>
      </w:hyperlink>
    </w:p>
    <w:p>
      <w:pPr>
        <w:tabs>
          <w:tab w:val="right" w:leader="dot" w:pos="8830"/>
        </w:tabs>
        <w:spacing w:before="0" w:after="60" w:line="276" w:lineRule="auto"/>
        <w:jc w:val="left"/>
      </w:pPr>
      <w:hyperlink w:anchor="_Toc800205" w:history="1">
        <w:r>
          <w:rPr>
            <w:rFonts w:ascii="Arial" w:hAnsi="Arial" w:cs="Arial"/>
            <w:b/>
            <w:sz w:val="24"/>
            <w:szCs w:val="24"/>
            <w:lang w:val="es-GT"/>
          </w:rPr>
          <w:t xml:space="preserve">CONTENIDO DE LA TAREA</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_Toc800205 \h </w:instrText>
        </w:r>
        <w:r>
          <w:rPr>
            <w:rFonts w:ascii="Arial" w:hAnsi="Arial" w:cs="Arial"/>
            <w:b/>
            <w:sz w:val="24"/>
            <w:szCs w:val="24"/>
            <w:lang w:val="es-GT"/>
          </w:rPr>
          <w:fldChar w:fldCharType="separate"/>
        </w:r>
        <w:r>
          <w:rPr>
            <w:rFonts w:ascii="Arial" w:hAnsi="Arial" w:cs="Arial"/>
            <w:b/>
            <w:sz w:val="24"/>
            <w:szCs w:val="24"/>
            <w:lang w:val="es-GT"/>
          </w:rPr>
          <w:t>2</w:t>
        </w:r>
        <w:r>
          <w:rPr>
            <w:rFonts w:ascii="Arial" w:hAnsi="Arial" w:cs="Arial"/>
            <w:b/>
            <w:sz w:val="24"/>
            <w:szCs w:val="24"/>
            <w:lang w:val="es-GT"/>
          </w:rPr>
          <w:fldChar w:fldCharType="end"/>
        </w:r>
      </w:hyperlink>
    </w:p>
    <w:p>
      <w:pPr>
        <w:tabs>
          <w:tab w:val="right" w:leader="dot" w:pos="8830"/>
        </w:tabs>
        <w:spacing w:before="0" w:after="60" w:line="276" w:lineRule="auto"/>
        <w:ind w:left="440"/>
        <w:jc w:val="left"/>
      </w:pPr>
      <w:hyperlink w:anchor="_Toc800206" w:history="1">
        <w:r>
          <w:rPr>
            <w:rFonts w:ascii="Arial" w:hAnsi="Arial" w:cs="Arial"/>
            <w:sz w:val="24"/>
            <w:szCs w:val="24"/>
            <w:lang w:val="es-GT"/>
          </w:rPr>
          <w:t xml:space="preserve">Parte 1. Desarrollo del tema de investigación</w:t>
        </w:r>
        <w:r>
          <w:rPr>
            <w:rFonts w:ascii="Arial" w:hAnsi="Arial" w:cs="Arial"/>
            <w:sz w:val="24"/>
            <w:szCs w:val="24"/>
            <w:lang w:val="es-GT"/>
          </w:rPr>
          <w:tab/>
        </w:r>
        <w:r>
          <w:rPr>
            <w:rFonts w:ascii="Arial" w:hAnsi="Arial" w:cs="Arial"/>
            <w:sz w:val="24"/>
            <w:szCs w:val="24"/>
            <w:lang w:val="es-GT"/>
          </w:rPr>
          <w:fldChar w:fldCharType="begin"/>
        </w:r>
        <w:r>
          <w:rPr>
            <w:rFonts w:ascii="Arial" w:hAnsi="Arial" w:cs="Arial"/>
            <w:sz w:val="24"/>
            <w:szCs w:val="24"/>
            <w:lang w:val="es-GT"/>
          </w:rPr>
          <w:instrText xml:space="preserve"> PAGEREF _Toc800206 \h </w:instrText>
        </w:r>
        <w:r>
          <w:rPr>
            <w:rFonts w:ascii="Arial" w:hAnsi="Arial" w:cs="Arial"/>
            <w:sz w:val="24"/>
            <w:szCs w:val="24"/>
            <w:lang w:val="es-GT"/>
          </w:rPr>
          <w:fldChar w:fldCharType="separate"/>
        </w:r>
        <w:r>
          <w:rPr>
            <w:rFonts w:ascii="Arial" w:hAnsi="Arial" w:cs="Arial"/>
            <w:sz w:val="24"/>
            <w:szCs w:val="24"/>
            <w:lang w:val="es-GT"/>
          </w:rPr>
          <w:t>2</w:t>
        </w:r>
        <w:r>
          <w:rPr>
            <w:rFonts w:ascii="Arial" w:hAnsi="Arial" w:cs="Arial"/>
            <w:sz w:val="24"/>
            <w:szCs w:val="24"/>
            <w:lang w:val="es-GT"/>
          </w:rPr>
          <w:fldChar w:fldCharType="end"/>
        </w:r>
      </w:hyperlink>
    </w:p>
    <w:p>
      <w:pPr>
        <w:tabs>
          <w:tab w:val="right" w:leader="dot" w:pos="8830"/>
        </w:tabs>
        <w:spacing w:before="0" w:after="60" w:line="276" w:lineRule="auto"/>
        <w:ind w:left="440"/>
        <w:jc w:val="left"/>
      </w:pPr>
      <w:hyperlink w:anchor="_Toc800207" w:history="1">
        <w:r>
          <w:rPr>
            <w:rFonts w:ascii="Arial" w:hAnsi="Arial" w:cs="Arial"/>
            <w:sz w:val="24"/>
            <w:szCs w:val="24"/>
            <w:lang w:val="es-GT"/>
          </w:rPr>
          <w:t xml:space="preserve">Parte 2. Hipótesis de investigación</w:t>
        </w:r>
        <w:r>
          <w:rPr>
            <w:rFonts w:ascii="Arial" w:hAnsi="Arial" w:cs="Arial"/>
            <w:sz w:val="24"/>
            <w:szCs w:val="24"/>
            <w:lang w:val="es-GT"/>
          </w:rPr>
          <w:tab/>
        </w:r>
        <w:r>
          <w:rPr>
            <w:rFonts w:ascii="Arial" w:hAnsi="Arial" w:cs="Arial"/>
            <w:sz w:val="24"/>
            <w:szCs w:val="24"/>
            <w:lang w:val="es-GT"/>
          </w:rPr>
          <w:fldChar w:fldCharType="begin"/>
        </w:r>
        <w:r>
          <w:rPr>
            <w:rFonts w:ascii="Arial" w:hAnsi="Arial" w:cs="Arial"/>
            <w:sz w:val="24"/>
            <w:szCs w:val="24"/>
            <w:lang w:val="es-GT"/>
          </w:rPr>
          <w:instrText xml:space="preserve"> PAGEREF _Toc800207 \h </w:instrText>
        </w:r>
        <w:r>
          <w:rPr>
            <w:rFonts w:ascii="Arial" w:hAnsi="Arial" w:cs="Arial"/>
            <w:sz w:val="24"/>
            <w:szCs w:val="24"/>
            <w:lang w:val="es-GT"/>
          </w:rPr>
          <w:fldChar w:fldCharType="separate"/>
        </w:r>
        <w:r>
          <w:rPr>
            <w:rFonts w:ascii="Arial" w:hAnsi="Arial" w:cs="Arial"/>
            <w:sz w:val="24"/>
            <w:szCs w:val="24"/>
            <w:lang w:val="es-GT"/>
          </w:rPr>
          <w:t>3</w:t>
        </w:r>
        <w:r>
          <w:rPr>
            <w:rFonts w:ascii="Arial" w:hAnsi="Arial" w:cs="Arial"/>
            <w:sz w:val="24"/>
            <w:szCs w:val="24"/>
            <w:lang w:val="es-GT"/>
          </w:rPr>
          <w:fldChar w:fldCharType="end"/>
        </w:r>
      </w:hyperlink>
    </w:p>
    <w:p>
      <w:pPr>
        <w:tabs>
          <w:tab w:val="right" w:leader="dot" w:pos="8830"/>
        </w:tabs>
        <w:spacing w:before="0" w:after="60" w:line="276" w:lineRule="auto"/>
        <w:ind w:left="440"/>
        <w:jc w:val="left"/>
      </w:pPr>
      <w:hyperlink w:anchor="_Toc800208" w:history="1">
        <w:r>
          <w:rPr>
            <w:rFonts w:ascii="Arial" w:hAnsi="Arial" w:cs="Arial"/>
            <w:sz w:val="24"/>
            <w:szCs w:val="24"/>
            <w:lang w:val="es-GT"/>
          </w:rPr>
          <w:t xml:space="preserve">Parte 3. Operacionalización de las variables</w:t>
        </w:r>
        <w:r>
          <w:rPr>
            <w:rFonts w:ascii="Arial" w:hAnsi="Arial" w:cs="Arial"/>
            <w:sz w:val="24"/>
            <w:szCs w:val="24"/>
            <w:lang w:val="es-GT"/>
          </w:rPr>
          <w:tab/>
        </w:r>
        <w:r>
          <w:rPr>
            <w:rFonts w:ascii="Arial" w:hAnsi="Arial" w:cs="Arial"/>
            <w:sz w:val="24"/>
            <w:szCs w:val="24"/>
            <w:lang w:val="es-GT"/>
          </w:rPr>
          <w:fldChar w:fldCharType="begin"/>
        </w:r>
        <w:r>
          <w:rPr>
            <w:rFonts w:ascii="Arial" w:hAnsi="Arial" w:cs="Arial"/>
            <w:sz w:val="24"/>
            <w:szCs w:val="24"/>
            <w:lang w:val="es-GT"/>
          </w:rPr>
          <w:instrText xml:space="preserve"> PAGEREF _Toc800208 \h </w:instrText>
        </w:r>
        <w:r>
          <w:rPr>
            <w:rFonts w:ascii="Arial" w:hAnsi="Arial" w:cs="Arial"/>
            <w:sz w:val="24"/>
            <w:szCs w:val="24"/>
            <w:lang w:val="es-GT"/>
          </w:rPr>
          <w:fldChar w:fldCharType="separate"/>
        </w:r>
        <w:r>
          <w:rPr>
            <w:rFonts w:ascii="Arial" w:hAnsi="Arial" w:cs="Arial"/>
            <w:sz w:val="24"/>
            <w:szCs w:val="24"/>
            <w:lang w:val="es-GT"/>
          </w:rPr>
          <w:t>4</w:t>
        </w:r>
        <w:r>
          <w:rPr>
            <w:rFonts w:ascii="Arial" w:hAnsi="Arial" w:cs="Arial"/>
            <w:sz w:val="24"/>
            <w:szCs w:val="24"/>
            <w:lang w:val="es-GT"/>
          </w:rPr>
          <w:fldChar w:fldCharType="end"/>
        </w:r>
      </w:hyperlink>
    </w:p>
    <w:p>
      <w:pPr>
        <w:tabs>
          <w:tab w:val="right" w:leader="dot" w:pos="8830"/>
        </w:tabs>
        <w:spacing w:before="0" w:after="60" w:line="276" w:lineRule="auto"/>
        <w:ind w:left="440"/>
        <w:jc w:val="left"/>
      </w:pPr>
      <w:hyperlink w:anchor="_Toc800209" w:history="1">
        <w:r>
          <w:rPr>
            <w:rFonts w:ascii="Arial" w:hAnsi="Arial" w:cs="Arial"/>
            <w:sz w:val="24"/>
            <w:szCs w:val="24"/>
            <w:lang w:val="es-GT"/>
          </w:rPr>
          <w:t xml:space="preserve">Parte 4. Matriz de consistencia</w:t>
        </w:r>
        <w:r>
          <w:rPr>
            <w:rFonts w:ascii="Arial" w:hAnsi="Arial" w:cs="Arial"/>
            <w:sz w:val="24"/>
            <w:szCs w:val="24"/>
            <w:lang w:val="es-GT"/>
          </w:rPr>
          <w:tab/>
        </w:r>
        <w:r>
          <w:rPr>
            <w:rFonts w:ascii="Arial" w:hAnsi="Arial" w:cs="Arial"/>
            <w:sz w:val="24"/>
            <w:szCs w:val="24"/>
            <w:lang w:val="es-GT"/>
          </w:rPr>
          <w:fldChar w:fldCharType="begin"/>
        </w:r>
        <w:r>
          <w:rPr>
            <w:rFonts w:ascii="Arial" w:hAnsi="Arial" w:cs="Arial"/>
            <w:sz w:val="24"/>
            <w:szCs w:val="24"/>
            <w:lang w:val="es-GT"/>
          </w:rPr>
          <w:instrText xml:space="preserve"> PAGEREF _Toc800209 \h </w:instrText>
        </w:r>
        <w:r>
          <w:rPr>
            <w:rFonts w:ascii="Arial" w:hAnsi="Arial" w:cs="Arial"/>
            <w:sz w:val="24"/>
            <w:szCs w:val="24"/>
            <w:lang w:val="es-GT"/>
          </w:rPr>
          <w:fldChar w:fldCharType="separate"/>
        </w:r>
        <w:r>
          <w:rPr>
            <w:rFonts w:ascii="Arial" w:hAnsi="Arial" w:cs="Arial"/>
            <w:sz w:val="24"/>
            <w:szCs w:val="24"/>
            <w:lang w:val="es-GT"/>
          </w:rPr>
          <w:t>4</w:t>
        </w:r>
        <w:r>
          <w:rPr>
            <w:rFonts w:ascii="Arial" w:hAnsi="Arial" w:cs="Arial"/>
            <w:sz w:val="24"/>
            <w:szCs w:val="24"/>
            <w:lang w:val="es-GT"/>
          </w:rPr>
          <w:fldChar w:fldCharType="end"/>
        </w:r>
      </w:hyperlink>
    </w:p>
    <w:p>
      <w:pPr>
        <w:tabs>
          <w:tab w:val="right" w:leader="dot" w:pos="8830"/>
        </w:tabs>
        <w:spacing w:before="0" w:after="60" w:line="276" w:lineRule="auto"/>
        <w:jc w:val="left"/>
      </w:pPr>
      <w:hyperlink w:anchor="_Toc800210" w:history="1">
        <w:r>
          <w:rPr>
            <w:rFonts w:ascii="Arial" w:hAnsi="Arial" w:cs="Arial"/>
            <w:b/>
            <w:sz w:val="24"/>
            <w:szCs w:val="24"/>
            <w:lang w:val="es-GT"/>
          </w:rPr>
          <w:t xml:space="preserve">CONCLUSIONES</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_Toc800210 \h </w:instrText>
        </w:r>
        <w:r>
          <w:rPr>
            <w:rFonts w:ascii="Arial" w:hAnsi="Arial" w:cs="Arial"/>
            <w:b/>
            <w:sz w:val="24"/>
            <w:szCs w:val="24"/>
            <w:lang w:val="es-GT"/>
          </w:rPr>
          <w:fldChar w:fldCharType="separate"/>
        </w:r>
        <w:r>
          <w:rPr>
            <w:rFonts w:ascii="Arial" w:hAnsi="Arial" w:cs="Arial"/>
            <w:b/>
            <w:sz w:val="24"/>
            <w:szCs w:val="24"/>
            <w:lang w:val="es-GT"/>
          </w:rPr>
          <w:t>5</w:t>
        </w:r>
        <w:r>
          <w:rPr>
            <w:rFonts w:ascii="Arial" w:hAnsi="Arial" w:cs="Arial"/>
            <w:b/>
            <w:sz w:val="24"/>
            <w:szCs w:val="24"/>
            <w:lang w:val="es-GT"/>
          </w:rPr>
          <w:fldChar w:fldCharType="end"/>
        </w:r>
      </w:hyperlink>
    </w:p>
    <w:p>
      <w:pPr>
        <w:tabs>
          <w:tab w:val="right" w:leader="dot" w:pos="8830"/>
        </w:tabs>
        <w:spacing w:before="0" w:after="60" w:line="276" w:lineRule="auto"/>
        <w:jc w:val="left"/>
      </w:pPr>
      <w:hyperlink w:anchor="_Toc800211" w:history="1">
        <w:r>
          <w:rPr>
            <w:rFonts w:ascii="Arial" w:hAnsi="Arial" w:cs="Arial"/>
            <w:b/>
            <w:sz w:val="24"/>
            <w:szCs w:val="24"/>
            <w:lang w:val="es-GT"/>
          </w:rPr>
          <w:t xml:space="preserve">RECOMENDACIONES</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_Toc800211 \h </w:instrText>
        </w:r>
        <w:r>
          <w:rPr>
            <w:rFonts w:ascii="Arial" w:hAnsi="Arial" w:cs="Arial"/>
            <w:b/>
            <w:sz w:val="24"/>
            <w:szCs w:val="24"/>
            <w:lang w:val="es-GT"/>
          </w:rPr>
          <w:fldChar w:fldCharType="separate"/>
        </w:r>
        <w:r>
          <w:rPr>
            <w:rFonts w:ascii="Arial" w:hAnsi="Arial" w:cs="Arial"/>
            <w:b/>
            <w:sz w:val="24"/>
            <w:szCs w:val="24"/>
            <w:lang w:val="es-GT"/>
          </w:rPr>
          <w:t>5</w:t>
        </w:r>
        <w:r>
          <w:rPr>
            <w:rFonts w:ascii="Arial" w:hAnsi="Arial" w:cs="Arial"/>
            <w:b/>
            <w:sz w:val="24"/>
            <w:szCs w:val="24"/>
            <w:lang w:val="es-GT"/>
          </w:rPr>
          <w:fldChar w:fldCharType="end"/>
        </w:r>
      </w:hyperlink>
    </w:p>
    <w:p>
      <w:pPr>
        <w:tabs>
          <w:tab w:val="right" w:leader="dot" w:pos="8830"/>
        </w:tabs>
        <w:spacing w:before="0" w:after="60" w:line="276" w:lineRule="auto"/>
        <w:jc w:val="left"/>
      </w:pPr>
      <w:hyperlink w:anchor="_Toc800212" w:history="1">
        <w:r>
          <w:rPr>
            <w:rFonts w:ascii="Arial" w:hAnsi="Arial" w:cs="Arial"/>
            <w:b/>
            <w:sz w:val="24"/>
            <w:szCs w:val="24"/>
            <w:lang w:val="es-GT"/>
          </w:rPr>
          <w:t xml:space="preserve">REFERENCIAS</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_Toc800212 \h </w:instrText>
        </w:r>
        <w:r>
          <w:rPr>
            <w:rFonts w:ascii="Arial" w:hAnsi="Arial" w:cs="Arial"/>
            <w:b/>
            <w:sz w:val="24"/>
            <w:szCs w:val="24"/>
            <w:lang w:val="es-GT"/>
          </w:rPr>
          <w:fldChar w:fldCharType="separate"/>
        </w:r>
        <w:r>
          <w:rPr>
            <w:rFonts w:ascii="Arial" w:hAnsi="Arial" w:cs="Arial"/>
            <w:b/>
            <w:sz w:val="24"/>
            <w:szCs w:val="24"/>
            <w:lang w:val="es-GT"/>
          </w:rPr>
          <w:t>6</w:t>
        </w:r>
        <w:r>
          <w:rPr>
            <w:rFonts w:ascii="Arial" w:hAnsi="Arial" w:cs="Arial"/>
            <w:b/>
            <w:sz w:val="24"/>
            <w:szCs w:val="24"/>
            <w:lang w:val="es-GT"/>
          </w:rPr>
          <w:fldChar w:fldCharType="end"/>
        </w:r>
      </w:hyperlink>
      <w:r>
        <w:fldChar w:fldCharType="end"/>
      </w:r>
    </w:p>
    <w:p>
      <w:pPr>
        <w:sectPr>
          <w:pgSz w:w="12240" w:h="15840"/>
          <w:pgMar w:top="1417" w:right="1417" w:bottom="1417" w:left="1984" w:header="720" w:footer="720" w:gutter="0"/>
          <w:cols w:space="720"/>
          <w:docGrid w:linePitch="360"/>
        </w:sectPr>
      </w:pPr>
    </w:p>
    <w:p>
      <w:pPr>
        <w:keepNext/>
        <w:spacing w:before="240" w:after="0" w:line="360" w:lineRule="auto"/>
        <w:jc w:val="center"/>
        <w:outlineLvl w:val="0"/>
        <w:rPr>
          <w:rFonts w:ascii="Arial" w:hAnsi="Arial" w:cs="Arial"/>
          <w:lang w:val="es-GT"/>
        </w:rPr>
      </w:pPr>
      <w:bookmarkStart w:id="201" w:name="_Toc800201"/>
      <w:r>
        <w:rPr>
          <w:rFonts w:ascii="Arial" w:hAnsi="Arial" w:cs="Arial"/>
          <w:b/>
          <w:sz w:val="28"/>
          <w:szCs w:val="28"/>
          <w:lang w:val="es-GT"/>
        </w:rPr>
        <w:t xml:space="preserve">RESUMEN</w:t>
      </w:r>
      <w:bookmarkEnd w:id="201"/>
    </w:p>
    <w:p>
      <w:pPr>
        <w:spacing w:before="0" w:after="0" w:line="360" w:lineRule="auto"/>
        <w:ind w:firstLine="340"/>
        <w:jc w:val="both"/>
        <w:rPr>
          <w:rFonts w:ascii="Arial" w:hAnsi="Arial" w:cs="Arial"/>
          <w:lang w:val="es-GT"/>
        </w:rPr>
      </w:pPr>
      <w:r>
        <w:rPr>
          <w:rFonts w:ascii="Arial" w:hAnsi="Arial" w:cs="Arial"/>
          <w:sz w:val="24"/>
          <w:szCs w:val="24"/>
          <w:lang w:val="es-GT"/>
        </w:rPr>
        <w:t xml:space="preserve">Este taller construye el diseño de una investigación cuantitativa sobre el fraude interno en el desembolso de microcréditos digitales. A partir de un caso real ocurrido en una institución microfinanciera de Guatemala, en el que un promotor desvió aproximadamente Q100,000 y afectó a cerca de 100 clientes, se formulan la pregunta central, el objetivo general y los específicos, la hipótesis general y la hipótesis nula. Se definen y operacionalizan las dos variables principales, los controles de verificación al cliente y la discrepancia entre el monto autorizado y el monto recibido, y se sintetiza todo en una matriz de consistencia. El diseño propuesto es cuasi-experimental, con mediciones antes y después de implementar los controles en una agencia durante 2027.</w:t>
      </w:r>
    </w:p>
    <w:p>
      <w:pPr>
        <w:spacing w:before="0" w:after="0" w:line="360" w:lineRule="auto"/>
        <w:ind w:firstLine="340"/>
        <w:jc w:val="both"/>
        <w:rPr>
          <w:rFonts w:ascii="Arial" w:hAnsi="Arial" w:cs="Arial"/>
          <w:lang w:val="es-GT"/>
        </w:rPr>
      </w:pPr>
      <w:r>
        <w:rPr>
          <w:rFonts w:ascii="Arial" w:hAnsi="Arial" w:cs="Arial"/>
          <w:b/>
          <w:sz w:val="24"/>
          <w:szCs w:val="24"/>
          <w:lang w:val="es-GT"/>
        </w:rPr>
        <w:t xml:space="preserve">Palabras clave: </w:t>
      </w:r>
      <w:r>
        <w:rPr>
          <w:rFonts w:ascii="Arial" w:hAnsi="Arial" w:cs="Arial"/>
          <w:sz w:val="24"/>
          <w:szCs w:val="24"/>
          <w:lang w:val="es-GT"/>
        </w:rPr>
        <w:t xml:space="preserve">fraude interno, microcréditos digitales, controles de verificación, hipótesis, operacionalización</w:t>
      </w:r>
    </w:p>
    <w:p>
      <w:pPr>
        <w:keepNext/>
        <w:spacing w:before="240" w:after="0" w:line="360" w:lineRule="auto"/>
        <w:jc w:val="center"/>
        <w:outlineLvl w:val="0"/>
        <w:rPr>
          <w:rFonts w:ascii="Arial" w:hAnsi="Arial" w:cs="Arial"/>
          <w:lang w:val="es-GT"/>
        </w:rPr>
      </w:pPr>
      <w:bookmarkStart w:id="202" w:name="_Toc800202"/>
      <w:r>
        <w:rPr>
          <w:rFonts w:ascii="Arial" w:hAnsi="Arial" w:cs="Arial"/>
          <w:b/>
          <w:sz w:val="28"/>
          <w:szCs w:val="28"/>
          <w:lang w:val="es-GT"/>
        </w:rPr>
        <w:t xml:space="preserve">INTRODUCCIÓN</w:t>
      </w:r>
      <w:bookmarkEnd w:id="202"/>
    </w:p>
    <w:p>
      <w:pPr>
        <w:spacing w:before="0" w:after="0" w:line="360" w:lineRule="auto"/>
        <w:ind w:firstLine="340"/>
        <w:jc w:val="both"/>
        <w:rPr>
          <w:rFonts w:ascii="Arial" w:hAnsi="Arial" w:cs="Arial"/>
          <w:lang w:val="es-GT"/>
        </w:rPr>
      </w:pPr>
      <w:r>
        <w:rPr>
          <w:rFonts w:ascii="Arial" w:hAnsi="Arial" w:cs="Arial"/>
          <w:sz w:val="24"/>
          <w:szCs w:val="24"/>
          <w:lang w:val="es-GT"/>
        </w:rPr>
        <w:t xml:space="preserve">El fraude cometido por personal de las propias organizaciones es una de las principales formas de pérdida económica. La Asociación de Examinadores de Fraude Certificados (ACFE, 2024) estima que una organización típica pierde alrededor del 5 % de sus ingresos anuales por fraude ocupacional, y que la apropiación indebida de activos aparece en el 89 % de los casos estudiados. En las microfinancieras, donde los clientes son personas con ingresos bajos y poca información financiera, el efecto de un fraude recae directamente sobre quienes menos pueden absorberlo.</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Este documento desarrolla las tres tareas del taller para un caso concreto: la formulación de la hipótesis general y la hipótesis nula, la operacionalización de dos variables principales y la síntesis en la matriz de consistencia. La institución se mantiene en el anonimato, y los datos del caso fueron proporcionados por un supervisor de la entidad y están pendientes de formalizar con la autorización correspondiente.</w:t>
      </w:r>
    </w:p>
    <w:p>
      <w:pPr>
        <w:keepNext/>
        <w:spacing w:before="240" w:after="0" w:line="360" w:lineRule="auto"/>
        <w:jc w:val="center"/>
        <w:outlineLvl w:val="0"/>
        <w:rPr>
          <w:rFonts w:ascii="Arial" w:hAnsi="Arial" w:cs="Arial"/>
          <w:lang w:val="es-GT"/>
        </w:rPr>
      </w:pPr>
      <w:bookmarkStart w:id="203" w:name="_Toc800203"/>
      <w:r>
        <w:rPr>
          <w:rFonts w:ascii="Arial" w:hAnsi="Arial" w:cs="Arial"/>
          <w:b/>
          <w:sz w:val="28"/>
          <w:szCs w:val="28"/>
          <w:lang w:val="es-GT"/>
        </w:rPr>
        <w:t xml:space="preserve">JUSTIFICACIÓN</w:t>
      </w:r>
      <w:bookmarkEnd w:id="203"/>
    </w:p>
    <w:p>
      <w:pPr>
        <w:spacing w:before="0" w:after="0" w:line="360" w:lineRule="auto"/>
        <w:ind w:firstLine="340"/>
        <w:jc w:val="both"/>
        <w:rPr>
          <w:rFonts w:ascii="Arial" w:hAnsi="Arial" w:cs="Arial"/>
          <w:lang w:val="es-GT"/>
        </w:rPr>
      </w:pPr>
      <w:r>
        <w:rPr>
          <w:rFonts w:ascii="Arial" w:hAnsi="Arial" w:cs="Arial"/>
          <w:sz w:val="24"/>
          <w:szCs w:val="24"/>
          <w:lang w:val="es-GT"/>
        </w:rPr>
        <w:t xml:space="preserve">Desde la perspectiva teórica, la literatura describe el fraude ocupacional y sus factores (ACFE, 2024; Cressey, 1953), pero en la búsqueda preliminar realizada no se localizó evidencia cuantitativa sobre el efecto de controles de verificación al cliente en el desembolso digital de microcréditos en Guatemala. El estudio aportaría datos sobre ese vacío.</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Desde la perspectiva metodológica, el diseño propone un procedimiento replicable: una verificación telefónica con guion fijo, aplicada a una muestra de desembolsos antes y después de implementar los controles, bajo un diseño cuasi-experimental (Campbell &amp; Stanley, 1966). Desde la perspectiva práctica, los resultados permitirían a la institución decidir con cifras qué controles conviene extender a otras agencias, para proteger a sus clientes y reducir pérdidas como la del caso que originó el estudio.</w:t>
      </w:r>
    </w:p>
    <w:p>
      <w:pPr>
        <w:keepNext/>
        <w:spacing w:before="240" w:after="0" w:line="360" w:lineRule="auto"/>
        <w:jc w:val="center"/>
        <w:outlineLvl w:val="0"/>
        <w:rPr>
          <w:rFonts w:ascii="Arial" w:hAnsi="Arial" w:cs="Arial"/>
          <w:lang w:val="es-GT"/>
        </w:rPr>
      </w:pPr>
      <w:bookmarkStart w:id="204" w:name="_Toc800204"/>
      <w:r>
        <w:rPr>
          <w:rFonts w:ascii="Arial" w:hAnsi="Arial" w:cs="Arial"/>
          <w:b/>
          <w:sz w:val="28"/>
          <w:szCs w:val="28"/>
          <w:lang w:val="es-GT"/>
        </w:rPr>
        <w:t xml:space="preserve">MARCO TEÓRICO</w:t>
      </w:r>
      <w:bookmarkEnd w:id="204"/>
    </w:p>
    <w:p>
      <w:pPr>
        <w:spacing w:before="0" w:after="0" w:line="360" w:lineRule="auto"/>
        <w:ind w:firstLine="340"/>
        <w:jc w:val="both"/>
        <w:rPr>
          <w:rFonts w:ascii="Arial" w:hAnsi="Arial" w:cs="Arial"/>
          <w:lang w:val="es-GT"/>
        </w:rPr>
      </w:pPr>
      <w:r>
        <w:rPr>
          <w:rFonts w:ascii="Arial" w:hAnsi="Arial" w:cs="Arial"/>
          <w:sz w:val="24"/>
          <w:szCs w:val="24"/>
          <w:lang w:val="es-GT"/>
        </w:rPr>
        <w:t xml:space="preserve">El fraude interno se entiende como el uso del puesto para obtener un beneficio personal mediante el mal uso de los recursos de la organización (ACFE, 2024). Cressey (1953) explicó que este tipo de conducta ocurre cuando coinciden una presión financiera, una oportunidad percibida y una racionalización. Los controles de verificación al cliente actúan sobre la oportunidad: si el cliente conoce el monto que le autorizaron y puede contrastarlo con lo que recibe, el desvío se vuelve visible.</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La ACFE (2024) reporta que las denuncias son el método de detección más frecuente, con el 43 % de los casos. Una llamada de verificación al cliente funciona, en ese sentido, como una denuncia solicitada de forma activa por la institución. En el plano técnico, el estándar OWASP ASVS 5.0.0 recoge requisitos afines, como los límites de la lógica de negocio (V2.3.2), la notificación al usuario ante cambios en sus datos de autenticación (V6.3.7) y el registro de los eventos de seguridad (V16.3.3) (OWASP Foundation, 2025).</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Para medir el efecto de los controles se propone un diseño cuasi-experimental con mediciones antes y después de la intervención. Este diseño compara una misma unidad en dos momentos y exige discutir las amenazas a la validez, como los cambios de conducta por saberse observado o la variación estacional (Campbell &amp; Stanley, 1966; Hernández Sampieri et al., 2014).</w:t>
      </w:r>
    </w:p>
    <w:p>
      <w:pPr>
        <w:keepNext/>
        <w:spacing w:before="240" w:after="0" w:line="360" w:lineRule="auto"/>
        <w:jc w:val="center"/>
        <w:outlineLvl w:val="0"/>
        <w:rPr>
          <w:rFonts w:ascii="Arial" w:hAnsi="Arial" w:cs="Arial"/>
          <w:lang w:val="es-GT"/>
        </w:rPr>
      </w:pPr>
      <w:bookmarkStart w:id="205" w:name="_Toc800205"/>
      <w:r>
        <w:rPr>
          <w:rFonts w:ascii="Arial" w:hAnsi="Arial" w:cs="Arial"/>
          <w:b/>
          <w:sz w:val="28"/>
          <w:szCs w:val="28"/>
          <w:lang w:val="es-GT"/>
        </w:rPr>
        <w:t xml:space="preserve">CONTENIDO DE LA TAREA</w:t>
      </w:r>
      <w:bookmarkEnd w:id="205"/>
    </w:p>
    <w:p>
      <w:pPr>
        <w:keepNext/>
        <w:spacing w:before="120" w:after="0" w:line="360" w:lineRule="auto"/>
        <w:jc w:val="left"/>
        <w:outlineLvl w:val="1"/>
        <w:rPr>
          <w:rFonts w:ascii="Arial" w:hAnsi="Arial" w:cs="Arial"/>
          <w:lang w:val="es-GT"/>
        </w:rPr>
      </w:pPr>
      <w:bookmarkStart w:id="206" w:name="_Toc800206"/>
      <w:r>
        <w:rPr>
          <w:rFonts w:ascii="Arial" w:hAnsi="Arial" w:cs="Arial"/>
          <w:b/>
          <w:sz w:val="24"/>
          <w:szCs w:val="24"/>
          <w:lang w:val="es-GT"/>
        </w:rPr>
        <w:t xml:space="preserve">Parte 1. Desarrollo del tema de investigación</w:t>
      </w:r>
      <w:bookmarkEnd w:id="206"/>
    </w:p>
    <w:p>
      <w:pPr>
        <w:spacing w:before="0" w:after="0" w:line="360" w:lineRule="auto"/>
        <w:ind w:firstLine="340"/>
        <w:jc w:val="both"/>
        <w:rPr>
          <w:rFonts w:ascii="Arial" w:hAnsi="Arial" w:cs="Arial"/>
          <w:lang w:val="es-GT"/>
        </w:rPr>
      </w:pPr>
      <w:r>
        <w:rPr>
          <w:rFonts w:ascii="Arial" w:hAnsi="Arial" w:cs="Arial"/>
          <w:b/>
          <w:sz w:val="24"/>
          <w:szCs w:val="24"/>
          <w:lang w:val="es-GT"/>
        </w:rPr>
        <w:t xml:space="preserve">Título. </w:t>
      </w:r>
      <w:r>
        <w:rPr>
          <w:rFonts w:ascii="Arial" w:hAnsi="Arial" w:cs="Arial"/>
          <w:sz w:val="24"/>
          <w:szCs w:val="24"/>
          <w:lang w:val="es-GT"/>
        </w:rPr>
        <w:t xml:space="preserve">Efecto de los controles de verificación al cliente sobre la discrepancia entre el monto autorizado y el monto recibido en los desembolsos digitales de una institución microfinanciera de Guatemala, 2027</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La institución ofrece microcréditos digitales a vendedores de mercado, de hasta Q2,000 y plazos de hasta 30 días, que se desembolsan en una billetera digital. El promotor registra la solicitud, el gerente de agencia la autoriza y el cliente retira el efectivo en una caja con su número de teléfono, el monto y un PIN. Cada promotor atiende entre 100 y 120 clientes, y algunas cajas se encuentran lejos de los mercados.</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En el caso que origina el estudio, un promotor operó la solicitud desde el teléfono del cliente, retiró el monto completo autorizado y le informó una cantidad menor, de modo que utilizó la diferencia como capital propio. El fraude afectó a cerca de 100 clientes y alcanzó aproximadamente Q100,000. Los controles actuales (autorización del gerente, vínculo de la cuenta con un solo dispositivo y un reporte de transferencias de clientes a promotores) no detectan este esquema, que se descubrió por la supervisión y por las conversaciones con los clientes.</w:t>
      </w:r>
    </w:p>
    <w:p>
      <w:pPr>
        <w:spacing w:before="0" w:after="0" w:line="360" w:lineRule="auto"/>
        <w:ind w:firstLine="340"/>
        <w:jc w:val="both"/>
        <w:rPr>
          <w:rFonts w:ascii="Arial" w:hAnsi="Arial" w:cs="Arial"/>
          <w:lang w:val="es-GT"/>
        </w:rPr>
      </w:pPr>
      <w:r>
        <w:rPr>
          <w:rFonts w:ascii="Arial" w:hAnsi="Arial" w:cs="Arial"/>
          <w:b/>
          <w:sz w:val="24"/>
          <w:szCs w:val="24"/>
          <w:lang w:val="es-GT"/>
        </w:rPr>
        <w:t xml:space="preserve">Pregunta central. </w:t>
      </w:r>
      <w:r>
        <w:rPr>
          <w:rFonts w:ascii="Arial" w:hAnsi="Arial" w:cs="Arial"/>
          <w:sz w:val="24"/>
          <w:szCs w:val="24"/>
          <w:lang w:val="es-GT"/>
        </w:rPr>
        <w:t xml:space="preserve">¿En qué medida los controles de verificación al cliente reducen la tasa de discrepancia entre el monto autorizado y el monto recibido en los desembolsos digitales de una agencia de una institución microfinanciera de Guatemala durante 2027?</w:t>
      </w:r>
    </w:p>
    <w:p>
      <w:pPr>
        <w:spacing w:before="0" w:after="0" w:line="360" w:lineRule="auto"/>
        <w:ind w:firstLine="340"/>
        <w:jc w:val="both"/>
        <w:rPr>
          <w:rFonts w:ascii="Arial" w:hAnsi="Arial" w:cs="Arial"/>
          <w:lang w:val="es-GT"/>
        </w:rPr>
      </w:pPr>
      <w:r>
        <w:rPr>
          <w:rFonts w:ascii="Arial" w:hAnsi="Arial" w:cs="Arial"/>
          <w:b/>
          <w:sz w:val="24"/>
          <w:szCs w:val="24"/>
          <w:lang w:val="es-GT"/>
        </w:rPr>
        <w:t xml:space="preserve">Objetivo general. </w:t>
      </w:r>
      <w:r>
        <w:rPr>
          <w:rFonts w:ascii="Arial" w:hAnsi="Arial" w:cs="Arial"/>
          <w:sz w:val="24"/>
          <w:szCs w:val="24"/>
          <w:lang w:val="es-GT"/>
        </w:rPr>
        <w:t xml:space="preserve">Determinar el efecto de los controles de verificación al cliente sobre la tasa de discrepancia entre el monto autorizado y el monto recibido en los desembolsos digitales de una agencia de una institución microfinanciera de Guatemala durante 2027.</w:t>
      </w:r>
    </w:p>
    <w:p>
      <w:pPr>
        <w:spacing w:before="0" w:after="0" w:line="360" w:lineRule="auto"/>
        <w:jc w:val="left"/>
        <w:rPr>
          <w:rFonts w:ascii="Arial" w:hAnsi="Arial" w:cs="Arial"/>
          <w:lang w:val="es-GT"/>
        </w:rPr>
      </w:pPr>
      <w:r>
        <w:rPr>
          <w:rFonts w:ascii="Arial" w:hAnsi="Arial" w:cs="Arial"/>
          <w:b/>
          <w:sz w:val="24"/>
          <w:szCs w:val="24"/>
          <w:lang w:val="es-GT"/>
        </w:rPr>
        <w:t xml:space="preserve">Objetivos específicos</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1. </w:t>
      </w:r>
      <w:r>
        <w:rPr>
          <w:rFonts w:ascii="Arial" w:hAnsi="Arial" w:cs="Arial"/>
          <w:sz w:val="24"/>
          <w:szCs w:val="24"/>
          <w:lang w:val="es-GT"/>
        </w:rPr>
        <w:t xml:space="preserve">Establecer la línea base de la tasa de discrepancia entre el monto autorizado y el monto recibido antes de implementar los controles.</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2. </w:t>
      </w:r>
      <w:r>
        <w:rPr>
          <w:rFonts w:ascii="Arial" w:hAnsi="Arial" w:cs="Arial"/>
          <w:sz w:val="24"/>
          <w:szCs w:val="24"/>
          <w:lang w:val="es-GT"/>
        </w:rPr>
        <w:t xml:space="preserve">Describir el nivel de cumplimiento de los controles de verificación durante el periodo de intervención.</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3. </w:t>
      </w:r>
      <w:r>
        <w:rPr>
          <w:rFonts w:ascii="Arial" w:hAnsi="Arial" w:cs="Arial"/>
          <w:sz w:val="24"/>
          <w:szCs w:val="24"/>
          <w:lang w:val="es-GT"/>
        </w:rPr>
        <w:t xml:space="preserve">Comparar la tasa de discrepancia antes y después de implementar los controles.</w:t>
      </w:r>
    </w:p>
    <w:p>
      <w:pPr>
        <w:spacing w:before="0" w:after="0" w:line="360" w:lineRule="auto"/>
        <w:ind w:firstLine="340"/>
        <w:jc w:val="both"/>
        <w:rPr>
          <w:rFonts w:ascii="Arial" w:hAnsi="Arial" w:cs="Arial"/>
          <w:lang w:val="es-GT"/>
        </w:rPr>
      </w:pPr>
      <w:r>
        <w:rPr>
          <w:rFonts w:ascii="Arial" w:hAnsi="Arial" w:cs="Arial"/>
          <w:b/>
          <w:sz w:val="24"/>
          <w:szCs w:val="24"/>
          <w:lang w:val="es-GT"/>
        </w:rPr>
        <w:t xml:space="preserve">Delimitación. </w:t>
      </w:r>
      <w:r>
        <w:rPr>
          <w:rFonts w:ascii="Arial" w:hAnsi="Arial" w:cs="Arial"/>
          <w:sz w:val="24"/>
          <w:szCs w:val="24"/>
          <w:lang w:val="es-GT"/>
        </w:rPr>
        <w:t xml:space="preserve">El estudio se limita a una agencia de la institución, a los desembolsos digitales de microcréditos entre el 15 de abril y el 15 de agosto de 2027 y a la discrepancia de montos como manifestación del fraude. No incluye otros esquemas, como los créditos a terceros ficticios, que se registran como casos aparte.</w:t>
      </w:r>
    </w:p>
    <w:p>
      <w:pPr>
        <w:keepNext/>
        <w:spacing w:before="120" w:after="0" w:line="360" w:lineRule="auto"/>
        <w:jc w:val="left"/>
        <w:outlineLvl w:val="1"/>
        <w:rPr>
          <w:rFonts w:ascii="Arial" w:hAnsi="Arial" w:cs="Arial"/>
          <w:lang w:val="es-GT"/>
        </w:rPr>
      </w:pPr>
      <w:bookmarkStart w:id="207" w:name="_Toc800207"/>
      <w:r>
        <w:rPr>
          <w:rFonts w:ascii="Arial" w:hAnsi="Arial" w:cs="Arial"/>
          <w:b/>
          <w:sz w:val="24"/>
          <w:szCs w:val="24"/>
          <w:lang w:val="es-GT"/>
        </w:rPr>
        <w:t xml:space="preserve">Parte 2. Hipótesis de investigación</w:t>
      </w:r>
      <w:bookmarkEnd w:id="207"/>
    </w:p>
    <w:p>
      <w:pPr>
        <w:spacing w:before="0" w:after="0" w:line="360" w:lineRule="auto"/>
        <w:ind w:firstLine="340"/>
        <w:jc w:val="both"/>
        <w:rPr>
          <w:rFonts w:ascii="Arial" w:hAnsi="Arial" w:cs="Arial"/>
          <w:lang w:val="es-GT"/>
        </w:rPr>
      </w:pPr>
      <w:r>
        <w:rPr>
          <w:rFonts w:ascii="Arial" w:hAnsi="Arial" w:cs="Arial"/>
          <w:sz w:val="24"/>
          <w:szCs w:val="24"/>
          <w:lang w:val="es-GT"/>
        </w:rPr>
        <w:t xml:space="preserve">La hipótesis general afirma una relación direccional entre las dos variables principales. La hipótesis nula niega esa relación y es la que se somete a contraste estadístico (Hernández Sampieri et al., 2014).</w:t>
      </w:r>
    </w:p>
    <w:p>
      <w:pPr>
        <w:spacing w:before="0" w:after="0" w:line="360" w:lineRule="auto"/>
        <w:ind w:firstLine="340"/>
        <w:jc w:val="both"/>
        <w:rPr>
          <w:rFonts w:ascii="Arial" w:hAnsi="Arial" w:cs="Arial"/>
          <w:lang w:val="es-GT"/>
        </w:rPr>
      </w:pPr>
      <w:r>
        <w:rPr>
          <w:rFonts w:ascii="Arial" w:hAnsi="Arial" w:cs="Arial"/>
          <w:b/>
          <w:sz w:val="24"/>
          <w:szCs w:val="24"/>
          <w:lang w:val="es-GT"/>
        </w:rPr>
        <w:t xml:space="preserve">Hipótesis general (H1). </w:t>
      </w:r>
      <w:r>
        <w:rPr>
          <w:rFonts w:ascii="Arial" w:hAnsi="Arial" w:cs="Arial"/>
          <w:sz w:val="24"/>
          <w:szCs w:val="24"/>
          <w:lang w:val="es-GT"/>
        </w:rPr>
        <w:t xml:space="preserve">La tasa de discrepancia entre el monto autorizado y el monto recibido por el cliente es menor después de implementar los controles de verificación que antes de implementarlos.</w:t>
      </w:r>
    </w:p>
    <w:p>
      <w:pPr>
        <w:spacing w:before="0" w:after="0" w:line="360" w:lineRule="auto"/>
        <w:ind w:firstLine="340"/>
        <w:jc w:val="both"/>
        <w:rPr>
          <w:rFonts w:ascii="Arial" w:hAnsi="Arial" w:cs="Arial"/>
          <w:lang w:val="es-GT"/>
        </w:rPr>
      </w:pPr>
      <w:r>
        <w:rPr>
          <w:rFonts w:ascii="Arial" w:hAnsi="Arial" w:cs="Arial"/>
          <w:b/>
          <w:sz w:val="24"/>
          <w:szCs w:val="24"/>
          <w:lang w:val="es-GT"/>
        </w:rPr>
        <w:t xml:space="preserve">Hipótesis nula (H0). </w:t>
      </w:r>
      <w:r>
        <w:rPr>
          <w:rFonts w:ascii="Arial" w:hAnsi="Arial" w:cs="Arial"/>
          <w:sz w:val="24"/>
          <w:szCs w:val="24"/>
          <w:lang w:val="es-GT"/>
        </w:rPr>
        <w:t xml:space="preserve">La tasa de discrepancia entre el monto autorizado y el monto recibido por el cliente después de implementar los controles de verificación es igual o mayor que antes de implementarlos.</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El contraste se realizará con una prueba z de dos proporciones, con un nivel de significancia de 0.05, sobre las tasas observadas en las muestras de desembolsos verificados antes y después de la intervención.</w:t>
      </w:r>
    </w:p>
    <w:p>
      <w:pPr>
        <w:keepNext/>
        <w:spacing w:before="120" w:after="0" w:line="360" w:lineRule="auto"/>
        <w:jc w:val="left"/>
        <w:outlineLvl w:val="1"/>
        <w:rPr>
          <w:rFonts w:ascii="Arial" w:hAnsi="Arial" w:cs="Arial"/>
          <w:lang w:val="es-GT"/>
        </w:rPr>
      </w:pPr>
      <w:bookmarkStart w:id="208" w:name="_Toc800208"/>
      <w:r>
        <w:rPr>
          <w:rFonts w:ascii="Arial" w:hAnsi="Arial" w:cs="Arial"/>
          <w:b/>
          <w:sz w:val="24"/>
          <w:szCs w:val="24"/>
          <w:lang w:val="es-GT"/>
        </w:rPr>
        <w:t xml:space="preserve">Parte 3. Operacionalización de las variables</w:t>
      </w:r>
      <w:bookmarkEnd w:id="208"/>
    </w:p>
    <w:p>
      <w:pPr>
        <w:spacing w:before="0" w:after="0" w:line="360" w:lineRule="auto"/>
        <w:ind w:firstLine="340"/>
        <w:jc w:val="both"/>
        <w:rPr>
          <w:rFonts w:ascii="Arial" w:hAnsi="Arial" w:cs="Arial"/>
          <w:lang w:val="es-GT"/>
        </w:rPr>
      </w:pPr>
      <w:r>
        <w:rPr>
          <w:rFonts w:ascii="Arial" w:hAnsi="Arial" w:cs="Arial"/>
          <w:sz w:val="24"/>
          <w:szCs w:val="24"/>
          <w:lang w:val="es-GT"/>
        </w:rPr>
        <w:t xml:space="preserve">La Tabla 1 define conceptual y operacionalmente las dos variables principales. La variable independiente es el paquete de controles de verificación y la variable dependiente es la discrepancia entre el monto autorizado y el monto recibido.</w:t>
      </w:r>
    </w:p>
    <w:p>
      <w:pPr>
        <w:keepNext/>
        <w:spacing w:before="200" w:after="0" w:line="240" w:lineRule="auto"/>
        <w:jc w:val="left"/>
        <w:rPr>
          <w:rFonts w:ascii="Arial" w:hAnsi="Arial" w:cs="Arial"/>
          <w:lang w:val="es-GT"/>
        </w:rPr>
      </w:pPr>
      <w:r>
        <w:rPr>
          <w:rFonts w:ascii="Arial" w:hAnsi="Arial" w:cs="Arial"/>
          <w:b/>
          <w:sz w:val="22"/>
          <w:szCs w:val="22"/>
          <w:lang w:val="es-GT"/>
        </w:rPr>
        <w:t xml:space="preserve">Tabla 1</w:t>
      </w:r>
    </w:p>
    <w:p>
      <w:pPr>
        <w:keepNext/>
        <w:spacing w:before="0" w:after="60" w:line="240" w:lineRule="auto"/>
        <w:jc w:val="left"/>
        <w:rPr>
          <w:rFonts w:ascii="Arial" w:hAnsi="Arial" w:cs="Arial"/>
          <w:lang w:val="es-GT"/>
        </w:rPr>
      </w:pPr>
      <w:r>
        <w:rPr>
          <w:rFonts w:ascii="Arial" w:hAnsi="Arial" w:cs="Arial"/>
          <w:i/>
          <w:sz w:val="22"/>
          <w:szCs w:val="22"/>
          <w:lang w:val="es-GT"/>
        </w:rPr>
        <w:t xml:space="preserve">Operacionalización de las variables principales</w:t>
      </w:r>
    </w:p>
    <w:tbl>
      <w:tblPr>
        <w:tblW w:w="8839" w:type="dxa"/>
        <w:tblLayout w:type="fixed"/>
        <w:tblLook w:val="04A0" w:firstRow="1" w:lastRow="0" w:firstColumn="1" w:lastColumn="0" w:noHBand="0" w:noVBand="1"/>
      </w:tblPr>
      <w:tblGrid>
        <w:gridCol w:w="1100"/>
        <w:gridCol w:w="1500"/>
        <w:gridCol w:w="2000"/>
        <w:gridCol w:w="1900"/>
        <w:gridCol w:w="1100"/>
        <w:gridCol w:w="1239"/>
      </w:tblGrid>
      <w:tr>
        <w:trPr>
          <w:cantSplit/>
          <w:tblHeader/>
        </w:trPr>
        <w:tc>
          <w:tcPr>
            <w:tcW w:w="110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Variable</w:t>
            </w:r>
          </w:p>
        </w:tc>
        <w:tc>
          <w:tcPr>
            <w:tcW w:w="150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Definición conceptual</w:t>
            </w:r>
          </w:p>
        </w:tc>
        <w:tc>
          <w:tcPr>
            <w:tcW w:w="200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Definición operacional</w:t>
            </w:r>
          </w:p>
        </w:tc>
        <w:tc>
          <w:tcPr>
            <w:tcW w:w="190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Dimensiones e indicadores</w:t>
            </w:r>
          </w:p>
        </w:tc>
        <w:tc>
          <w:tcPr>
            <w:tcW w:w="110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Instrumento</w:t>
            </w:r>
          </w:p>
        </w:tc>
        <w:tc>
          <w:tcPr>
            <w:tcW w:w="1239"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Escala</w:t>
            </w:r>
          </w:p>
        </w:tc>
      </w:tr>
      <w:tr>
        <w:trPr>
          <w:cantSplit/>
        </w:trPr>
        <w:tc>
          <w:tcPr>
            <w:tcW w:w="1100" w:type="dxa"/>
          </w:tcPr>
          <w:p>
            <w:pPr>
              <w:spacing w:before="40" w:after="40" w:line="240" w:lineRule="auto"/>
              <w:jc w:val="left"/>
              <w:rPr>
                <w:rFonts w:ascii="Arial" w:hAnsi="Arial" w:cs="Arial"/>
                <w:lang w:val="es-GT"/>
              </w:rPr>
            </w:pPr>
            <w:r>
              <w:rPr>
                <w:rFonts w:ascii="Arial" w:hAnsi="Arial" w:cs="Arial"/>
                <w:sz w:val="16"/>
                <w:szCs w:val="16"/>
                <w:lang w:val="es-GT"/>
              </w:rPr>
              <w:t xml:space="preserve">Controles de verificación al cliente (independiente)</w:t>
            </w:r>
          </w:p>
        </w:tc>
        <w:tc>
          <w:tcPr>
            <w:tcW w:w="1500" w:type="dxa"/>
          </w:tcPr>
          <w:p>
            <w:pPr>
              <w:spacing w:before="40" w:after="40" w:line="240" w:lineRule="auto"/>
              <w:jc w:val="left"/>
              <w:rPr>
                <w:rFonts w:ascii="Arial" w:hAnsi="Arial" w:cs="Arial"/>
                <w:lang w:val="es-GT"/>
              </w:rPr>
            </w:pPr>
            <w:r>
              <w:rPr>
                <w:rFonts w:ascii="Arial" w:hAnsi="Arial" w:cs="Arial"/>
                <w:sz w:val="16"/>
                <w:szCs w:val="16"/>
                <w:lang w:val="es-GT"/>
              </w:rPr>
              <w:t xml:space="preserve">Conjunto de medidas preventivas y detectivas que permiten comprobar que el cliente conoce y acepta las condiciones de su crédito y que recibe el monto autorizado.</w:t>
            </w:r>
          </w:p>
        </w:tc>
        <w:tc>
          <w:tcPr>
            <w:tcW w:w="2000" w:type="dxa"/>
          </w:tcPr>
          <w:p>
            <w:pPr>
              <w:spacing w:before="40" w:after="40" w:line="240" w:lineRule="auto"/>
              <w:jc w:val="left"/>
              <w:rPr>
                <w:rFonts w:ascii="Arial" w:hAnsi="Arial" w:cs="Arial"/>
                <w:lang w:val="es-GT"/>
              </w:rPr>
            </w:pPr>
            <w:r>
              <w:rPr>
                <w:rFonts w:ascii="Arial" w:hAnsi="Arial" w:cs="Arial"/>
                <w:sz w:val="16"/>
                <w:szCs w:val="16"/>
                <w:lang w:val="es-GT"/>
              </w:rPr>
              <w:t xml:space="preserve">Presencia del paquete de cuatro controles en la agencia: comprobante firmado con monto autorizado, monto recibido y fecha de pago; llamada de verificación a una muestra de clientes; reglas de alerta de comportamiento; y mensaje a los clientes en el mercado.</w:t>
            </w:r>
          </w:p>
        </w:tc>
        <w:tc>
          <w:tcPr>
            <w:tcW w:w="1900" w:type="dxa"/>
          </w:tcPr>
          <w:p>
            <w:pPr>
              <w:spacing w:before="40" w:after="40" w:line="240" w:lineRule="auto"/>
              <w:jc w:val="left"/>
              <w:rPr>
                <w:rFonts w:ascii="Arial" w:hAnsi="Arial" w:cs="Arial"/>
                <w:lang w:val="es-GT"/>
              </w:rPr>
            </w:pPr>
            <w:r>
              <w:rPr>
                <w:rFonts w:ascii="Arial" w:hAnsi="Arial" w:cs="Arial"/>
                <w:sz w:val="16"/>
                <w:szCs w:val="16"/>
                <w:lang w:val="es-GT"/>
              </w:rPr>
              <w:t xml:space="preserve">Dimensión informativa: porcentaje de desembolsos con comprobante firmado.</w:t>
            </w:r>
          </w:p>
          <w:p>
            <w:pPr>
              <w:spacing w:before="40" w:after="40" w:line="240" w:lineRule="auto"/>
              <w:jc w:val="left"/>
              <w:rPr>
                <w:rFonts w:ascii="Arial" w:hAnsi="Arial" w:cs="Arial"/>
                <w:lang w:val="es-GT"/>
              </w:rPr>
            </w:pPr>
            <w:r>
              <w:rPr>
                <w:rFonts w:ascii="Arial" w:hAnsi="Arial" w:cs="Arial"/>
                <w:sz w:val="16"/>
                <w:szCs w:val="16"/>
                <w:lang w:val="es-GT"/>
              </w:rPr>
              <w:t xml:space="preserve">Dimensión de verificación: porcentaje de llamadas completadas sobre las programadas.</w:t>
            </w:r>
          </w:p>
          <w:p>
            <w:pPr>
              <w:spacing w:before="40" w:after="40" w:line="240" w:lineRule="auto"/>
              <w:jc w:val="left"/>
              <w:rPr>
                <w:rFonts w:ascii="Arial" w:hAnsi="Arial" w:cs="Arial"/>
                <w:lang w:val="es-GT"/>
              </w:rPr>
            </w:pPr>
            <w:r>
              <w:rPr>
                <w:rFonts w:ascii="Arial" w:hAnsi="Arial" w:cs="Arial"/>
                <w:sz w:val="16"/>
                <w:szCs w:val="16"/>
                <w:lang w:val="es-GT"/>
              </w:rPr>
              <w:t xml:space="preserve">Dimensión de detección: número de alertas generadas y atendidas.</w:t>
            </w:r>
          </w:p>
        </w:tc>
        <w:tc>
          <w:tcPr>
            <w:tcW w:w="1100" w:type="dxa"/>
          </w:tcPr>
          <w:p>
            <w:pPr>
              <w:spacing w:before="40" w:after="40" w:line="240" w:lineRule="auto"/>
              <w:jc w:val="left"/>
              <w:rPr>
                <w:rFonts w:ascii="Arial" w:hAnsi="Arial" w:cs="Arial"/>
                <w:lang w:val="es-GT"/>
              </w:rPr>
            </w:pPr>
            <w:r>
              <w:rPr>
                <w:rFonts w:ascii="Arial" w:hAnsi="Arial" w:cs="Arial"/>
                <w:sz w:val="16"/>
                <w:szCs w:val="16"/>
                <w:lang w:val="es-GT"/>
              </w:rPr>
              <w:t xml:space="preserve">Lista de cotejo y bitácora de implementación.</w:t>
            </w:r>
          </w:p>
        </w:tc>
        <w:tc>
          <w:tcPr>
            <w:tcW w:w="1239" w:type="dxa"/>
          </w:tcPr>
          <w:p>
            <w:pPr>
              <w:spacing w:before="40" w:after="40" w:line="240" w:lineRule="auto"/>
              <w:jc w:val="left"/>
              <w:rPr>
                <w:rFonts w:ascii="Arial" w:hAnsi="Arial" w:cs="Arial"/>
                <w:lang w:val="es-GT"/>
              </w:rPr>
            </w:pPr>
            <w:r>
              <w:rPr>
                <w:rFonts w:ascii="Arial" w:hAnsi="Arial" w:cs="Arial"/>
                <w:sz w:val="16"/>
                <w:szCs w:val="16"/>
                <w:lang w:val="es-GT"/>
              </w:rPr>
              <w:t xml:space="preserve">Nominal dicotómica (antes y después) y razón para el nivel de cumplimiento.</w:t>
            </w:r>
          </w:p>
        </w:tc>
      </w:tr>
      <w:tr>
        <w:trPr>
          <w:cantSplit/>
        </w:trPr>
        <w:tc>
          <w:tcPr>
            <w:tcW w:w="110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Discrepancia entre el monto autorizado y el monto recibido (dependiente)</w:t>
            </w:r>
          </w:p>
        </w:tc>
        <w:tc>
          <w:tcPr>
            <w:tcW w:w="150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Diferencia entre el monto que la institución autoriza al cliente y el monto que este recibe de forma efectiva, que indica una posible apropiación indebida de recursos.</w:t>
            </w:r>
          </w:p>
        </w:tc>
        <w:tc>
          <w:tcPr>
            <w:tcW w:w="200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Porcentaje de desembolsos verificados en los que el monto que el cliente declara haber recibido es menor que el monto autorizado en el sistema.</w:t>
            </w:r>
          </w:p>
        </w:tc>
        <w:tc>
          <w:tcPr>
            <w:tcW w:w="190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Tasa de discrepancia: desembolsos con diferencia entre desembolsos verificados.</w:t>
            </w:r>
          </w:p>
          <w:p>
            <w:pPr>
              <w:spacing w:before="40" w:after="40" w:line="240" w:lineRule="auto"/>
              <w:jc w:val="left"/>
              <w:rPr>
                <w:rFonts w:ascii="Arial" w:hAnsi="Arial" w:cs="Arial"/>
                <w:lang w:val="es-GT"/>
              </w:rPr>
            </w:pPr>
            <w:r>
              <w:rPr>
                <w:rFonts w:ascii="Arial" w:hAnsi="Arial" w:cs="Arial"/>
                <w:sz w:val="16"/>
                <w:szCs w:val="16"/>
                <w:lang w:val="es-GT"/>
              </w:rPr>
              <w:t xml:space="preserve">Monto promedio de la diferencia, en quetzales.</w:t>
            </w:r>
          </w:p>
          <w:p>
            <w:pPr>
              <w:spacing w:before="40" w:after="40" w:line="240" w:lineRule="auto"/>
              <w:jc w:val="left"/>
              <w:rPr>
                <w:rFonts w:ascii="Arial" w:hAnsi="Arial" w:cs="Arial"/>
                <w:lang w:val="es-GT"/>
              </w:rPr>
            </w:pPr>
            <w:r>
              <w:rPr>
                <w:rFonts w:ascii="Arial" w:hAnsi="Arial" w:cs="Arial"/>
                <w:sz w:val="16"/>
                <w:szCs w:val="16"/>
                <w:lang w:val="es-GT"/>
              </w:rPr>
              <w:t xml:space="preserve">Casos de discrepancia por promotor.</w:t>
            </w:r>
          </w:p>
        </w:tc>
        <w:tc>
          <w:tcPr>
            <w:tcW w:w="110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Guion de llamada de verificación y reporte de desembolsos del sistema.</w:t>
            </w:r>
          </w:p>
        </w:tc>
        <w:tc>
          <w:tcPr>
            <w:tcW w:w="1239"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Razón (porcentaje de 0 a 100 y monto en quetzales).</w:t>
            </w:r>
          </w:p>
        </w:tc>
      </w:tr>
    </w:tbl>
    <w:p>
      <w:pPr>
        <w:spacing w:before="60" w:after="200" w:line="240" w:lineRule="auto"/>
        <w:jc w:val="left"/>
        <w:rPr>
          <w:rFonts w:ascii="Arial" w:hAnsi="Arial" w:cs="Arial"/>
          <w:lang w:val="es-GT"/>
        </w:rPr>
      </w:pPr>
      <w:r>
        <w:rPr>
          <w:rFonts w:ascii="Arial" w:hAnsi="Arial" w:cs="Arial"/>
          <w:i/>
          <w:sz w:val="20"/>
          <w:szCs w:val="20"/>
          <w:lang w:val="es-GT"/>
        </w:rPr>
        <w:t xml:space="preserve">Nota. </w:t>
      </w:r>
      <w:r>
        <w:rPr>
          <w:rFonts w:ascii="Arial" w:hAnsi="Arial" w:cs="Arial"/>
          <w:sz w:val="20"/>
          <w:szCs w:val="20"/>
          <w:lang w:val="es-GT"/>
        </w:rPr>
        <w:t xml:space="preserve">Elaboración propia con base en el caso de estudio y en los conceptos de ACFE (2024) y Hernández Sampieri et al. (2014).</w:t>
      </w:r>
    </w:p>
    <w:p>
      <w:pPr>
        <w:keepNext/>
        <w:spacing w:before="120" w:after="0" w:line="360" w:lineRule="auto"/>
        <w:jc w:val="left"/>
        <w:outlineLvl w:val="1"/>
        <w:rPr>
          <w:rFonts w:ascii="Arial" w:hAnsi="Arial" w:cs="Arial"/>
          <w:lang w:val="es-GT"/>
        </w:rPr>
      </w:pPr>
      <w:bookmarkStart w:id="209" w:name="_Toc800209"/>
      <w:r>
        <w:rPr>
          <w:rFonts w:ascii="Arial" w:hAnsi="Arial" w:cs="Arial"/>
          <w:b/>
          <w:sz w:val="24"/>
          <w:szCs w:val="24"/>
          <w:lang w:val="es-GT"/>
        </w:rPr>
        <w:t xml:space="preserve">Parte 4. Matriz de consistencia</w:t>
      </w:r>
      <w:bookmarkEnd w:id="209"/>
    </w:p>
    <w:p>
      <w:pPr>
        <w:spacing w:before="0" w:after="0" w:line="360" w:lineRule="auto"/>
        <w:ind w:firstLine="340"/>
        <w:jc w:val="both"/>
        <w:rPr>
          <w:rFonts w:ascii="Arial" w:hAnsi="Arial" w:cs="Arial"/>
          <w:lang w:val="es-GT"/>
        </w:rPr>
      </w:pPr>
      <w:r>
        <w:rPr>
          <w:rFonts w:ascii="Arial" w:hAnsi="Arial" w:cs="Arial"/>
          <w:sz w:val="24"/>
          <w:szCs w:val="24"/>
          <w:lang w:val="es-GT"/>
        </w:rPr>
        <w:t xml:space="preserve">La Tabla 2 integra el problema, los objetivos, la hipótesis, las variables y la metodología para verificar la coherencia interna del diseño. Cada objetivo específico responde a una subpregunta, se mide con un indicador y se analiza con una técnica definida.</w:t>
      </w:r>
    </w:p>
    <w:p>
      <w:pPr>
        <w:keepNext/>
        <w:spacing w:before="200" w:after="0" w:line="240" w:lineRule="auto"/>
        <w:jc w:val="left"/>
        <w:rPr>
          <w:rFonts w:ascii="Arial" w:hAnsi="Arial" w:cs="Arial"/>
          <w:lang w:val="es-GT"/>
        </w:rPr>
      </w:pPr>
      <w:r>
        <w:rPr>
          <w:rFonts w:ascii="Arial" w:hAnsi="Arial" w:cs="Arial"/>
          <w:b/>
          <w:sz w:val="22"/>
          <w:szCs w:val="22"/>
          <w:lang w:val="es-GT"/>
        </w:rPr>
        <w:t xml:space="preserve">Tabla 2</w:t>
      </w:r>
    </w:p>
    <w:p>
      <w:pPr>
        <w:keepNext/>
        <w:spacing w:before="0" w:after="60" w:line="240" w:lineRule="auto"/>
        <w:jc w:val="left"/>
        <w:rPr>
          <w:rFonts w:ascii="Arial" w:hAnsi="Arial" w:cs="Arial"/>
          <w:lang w:val="es-GT"/>
        </w:rPr>
      </w:pPr>
      <w:r>
        <w:rPr>
          <w:rFonts w:ascii="Arial" w:hAnsi="Arial" w:cs="Arial"/>
          <w:i/>
          <w:sz w:val="22"/>
          <w:szCs w:val="22"/>
          <w:lang w:val="es-GT"/>
        </w:rPr>
        <w:t xml:space="preserve">Matriz de consistencia</w:t>
      </w:r>
    </w:p>
    <w:tbl>
      <w:tblPr>
        <w:tblW w:w="8839" w:type="dxa"/>
        <w:tblLayout w:type="fixed"/>
        <w:tblLook w:val="04A0" w:firstRow="1" w:lastRow="0" w:firstColumn="1" w:lastColumn="0" w:noHBand="0" w:noVBand="1"/>
      </w:tblPr>
      <w:tblGrid>
        <w:gridCol w:w="1900"/>
        <w:gridCol w:w="1800"/>
        <w:gridCol w:w="1700"/>
        <w:gridCol w:w="1700"/>
        <w:gridCol w:w="1739"/>
      </w:tblGrid>
      <w:tr>
        <w:trPr>
          <w:cantSplit/>
          <w:tblHeader/>
        </w:trPr>
        <w:tc>
          <w:tcPr>
            <w:tcW w:w="190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Problema</w:t>
            </w:r>
          </w:p>
        </w:tc>
        <w:tc>
          <w:tcPr>
            <w:tcW w:w="180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Objetivo</w:t>
            </w:r>
          </w:p>
        </w:tc>
        <w:tc>
          <w:tcPr>
            <w:tcW w:w="170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Hipótesis</w:t>
            </w:r>
          </w:p>
        </w:tc>
        <w:tc>
          <w:tcPr>
            <w:tcW w:w="170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Variables e indicadores</w:t>
            </w:r>
          </w:p>
        </w:tc>
        <w:tc>
          <w:tcPr>
            <w:tcW w:w="1739"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Metodología</w:t>
            </w:r>
          </w:p>
        </w:tc>
      </w:tr>
      <w:tr>
        <w:trPr>
          <w:cantSplit/>
        </w:trPr>
        <w:tc>
          <w:tcPr>
            <w:tcW w:w="1900" w:type="dxa"/>
          </w:tcPr>
          <w:p>
            <w:pPr>
              <w:spacing w:before="40" w:after="40" w:line="240" w:lineRule="auto"/>
              <w:jc w:val="left"/>
              <w:rPr>
                <w:rFonts w:ascii="Arial" w:hAnsi="Arial" w:cs="Arial"/>
                <w:lang w:val="es-GT"/>
              </w:rPr>
            </w:pPr>
            <w:r>
              <w:rPr>
                <w:rFonts w:ascii="Arial" w:hAnsi="Arial" w:cs="Arial"/>
                <w:sz w:val="16"/>
                <w:szCs w:val="16"/>
                <w:lang w:val="es-GT"/>
              </w:rPr>
              <w:t xml:space="preserve">General: ¿En qué medida los controles de verificación al cliente reducen la tasa de discrepancia entre el monto autorizado y el monto recibido en los desembolsos digitales de una agencia durante 2027?</w:t>
            </w:r>
          </w:p>
        </w:tc>
        <w:tc>
          <w:tcPr>
            <w:tcW w:w="1800" w:type="dxa"/>
          </w:tcPr>
          <w:p>
            <w:pPr>
              <w:spacing w:before="40" w:after="40" w:line="240" w:lineRule="auto"/>
              <w:jc w:val="left"/>
              <w:rPr>
                <w:rFonts w:ascii="Arial" w:hAnsi="Arial" w:cs="Arial"/>
                <w:lang w:val="es-GT"/>
              </w:rPr>
            </w:pPr>
            <w:r>
              <w:rPr>
                <w:rFonts w:ascii="Arial" w:hAnsi="Arial" w:cs="Arial"/>
                <w:sz w:val="16"/>
                <w:szCs w:val="16"/>
                <w:lang w:val="es-GT"/>
              </w:rPr>
              <w:t xml:space="preserve">General: determinar el efecto de los controles de verificación al cliente sobre la tasa de discrepancia en los desembolsos digitales de una agencia durante 2027.</w:t>
            </w:r>
          </w:p>
        </w:tc>
        <w:tc>
          <w:tcPr>
            <w:tcW w:w="1700" w:type="dxa"/>
          </w:tcPr>
          <w:p>
            <w:pPr>
              <w:spacing w:before="40" w:after="40" w:line="240" w:lineRule="auto"/>
              <w:jc w:val="left"/>
              <w:rPr>
                <w:rFonts w:ascii="Arial" w:hAnsi="Arial" w:cs="Arial"/>
                <w:lang w:val="es-GT"/>
              </w:rPr>
            </w:pPr>
            <w:r>
              <w:rPr>
                <w:rFonts w:ascii="Arial" w:hAnsi="Arial" w:cs="Arial"/>
                <w:sz w:val="16"/>
                <w:szCs w:val="16"/>
                <w:lang w:val="es-GT"/>
              </w:rPr>
              <w:t xml:space="preserve">H1: la tasa de discrepancia es menor después de implementar los controles que antes.</w:t>
            </w:r>
          </w:p>
          <w:p>
            <w:pPr>
              <w:spacing w:before="40" w:after="40" w:line="240" w:lineRule="auto"/>
              <w:jc w:val="left"/>
              <w:rPr>
                <w:rFonts w:ascii="Arial" w:hAnsi="Arial" w:cs="Arial"/>
                <w:lang w:val="es-GT"/>
              </w:rPr>
            </w:pPr>
            <w:r>
              <w:rPr>
                <w:rFonts w:ascii="Arial" w:hAnsi="Arial" w:cs="Arial"/>
                <w:sz w:val="16"/>
                <w:szCs w:val="16"/>
                <w:lang w:val="es-GT"/>
              </w:rPr>
              <w:t xml:space="preserve">H0: la tasa es igual o mayor después que antes.</w:t>
            </w:r>
          </w:p>
        </w:tc>
        <w:tc>
          <w:tcPr>
            <w:tcW w:w="1700" w:type="dxa"/>
          </w:tcPr>
          <w:p>
            <w:pPr>
              <w:spacing w:before="40" w:after="40" w:line="240" w:lineRule="auto"/>
              <w:jc w:val="left"/>
              <w:rPr>
                <w:rFonts w:ascii="Arial" w:hAnsi="Arial" w:cs="Arial"/>
                <w:lang w:val="es-GT"/>
              </w:rPr>
            </w:pPr>
            <w:r>
              <w:rPr>
                <w:rFonts w:ascii="Arial" w:hAnsi="Arial" w:cs="Arial"/>
                <w:sz w:val="16"/>
                <w:szCs w:val="16"/>
                <w:lang w:val="es-GT"/>
              </w:rPr>
              <w:t xml:space="preserve">Independiente: controles de verificación al cliente.</w:t>
            </w:r>
          </w:p>
          <w:p>
            <w:pPr>
              <w:spacing w:before="40" w:after="40" w:line="240" w:lineRule="auto"/>
              <w:jc w:val="left"/>
              <w:rPr>
                <w:rFonts w:ascii="Arial" w:hAnsi="Arial" w:cs="Arial"/>
                <w:lang w:val="es-GT"/>
              </w:rPr>
            </w:pPr>
            <w:r>
              <w:rPr>
                <w:rFonts w:ascii="Arial" w:hAnsi="Arial" w:cs="Arial"/>
                <w:sz w:val="16"/>
                <w:szCs w:val="16"/>
                <w:lang w:val="es-GT"/>
              </w:rPr>
              <w:t xml:space="preserve">Dependiente: discrepancia entre el monto autorizado y el monto recibido.</w:t>
            </w:r>
          </w:p>
        </w:tc>
        <w:tc>
          <w:tcPr>
            <w:tcW w:w="1739" w:type="dxa"/>
          </w:tcPr>
          <w:p>
            <w:pPr>
              <w:spacing w:before="40" w:after="40" w:line="240" w:lineRule="auto"/>
              <w:jc w:val="left"/>
              <w:rPr>
                <w:rFonts w:ascii="Arial" w:hAnsi="Arial" w:cs="Arial"/>
                <w:lang w:val="es-GT"/>
              </w:rPr>
            </w:pPr>
            <w:r>
              <w:rPr>
                <w:rFonts w:ascii="Arial" w:hAnsi="Arial" w:cs="Arial"/>
                <w:sz w:val="16"/>
                <w:szCs w:val="16"/>
                <w:lang w:val="es-GT"/>
              </w:rPr>
              <w:t xml:space="preserve">Enfoque cuantitativo, alcance explicativo y diseño cuasi-experimental con medición antes y después. Unidad de análisis: desembolso. Muestra aleatoria estratificada por promotor. Prueba z de dos proporciones, α = 0.05.</w:t>
            </w:r>
          </w:p>
        </w:tc>
      </w:tr>
      <w:tr>
        <w:trPr>
          <w:cantSplit/>
        </w:trPr>
        <w:tc>
          <w:tcPr>
            <w:tcW w:w="1900" w:type="dxa"/>
          </w:tcPr>
          <w:p>
            <w:pPr>
              <w:spacing w:before="40" w:after="40" w:line="240" w:lineRule="auto"/>
              <w:jc w:val="left"/>
              <w:rPr>
                <w:rFonts w:ascii="Arial" w:hAnsi="Arial" w:cs="Arial"/>
                <w:lang w:val="es-GT"/>
              </w:rPr>
            </w:pPr>
            <w:r>
              <w:rPr>
                <w:rFonts w:ascii="Arial" w:hAnsi="Arial" w:cs="Arial"/>
                <w:sz w:val="16"/>
                <w:szCs w:val="16"/>
                <w:lang w:val="es-GT"/>
              </w:rPr>
              <w:t xml:space="preserve">Específico 1: ¿Cuál es la tasa de discrepancia antes de implementar los controles?</w:t>
            </w:r>
          </w:p>
        </w:tc>
        <w:tc>
          <w:tcPr>
            <w:tcW w:w="1800" w:type="dxa"/>
          </w:tcPr>
          <w:p>
            <w:pPr>
              <w:spacing w:before="40" w:after="40" w:line="240" w:lineRule="auto"/>
              <w:jc w:val="left"/>
              <w:rPr>
                <w:rFonts w:ascii="Arial" w:hAnsi="Arial" w:cs="Arial"/>
                <w:lang w:val="es-GT"/>
              </w:rPr>
            </w:pPr>
            <w:r>
              <w:rPr>
                <w:rFonts w:ascii="Arial" w:hAnsi="Arial" w:cs="Arial"/>
                <w:sz w:val="16"/>
                <w:szCs w:val="16"/>
                <w:lang w:val="es-GT"/>
              </w:rPr>
              <w:t xml:space="preserve">Específico 1: establecer la línea base de la tasa de discrepancia.</w:t>
            </w:r>
          </w:p>
        </w:tc>
        <w:tc>
          <w:tcPr>
            <w:tcW w:w="1700" w:type="dxa"/>
          </w:tcPr>
          <w:p>
            <w:pPr>
              <w:spacing w:before="40" w:after="40" w:line="240" w:lineRule="auto"/>
              <w:jc w:val="left"/>
              <w:rPr>
                <w:rFonts w:ascii="Arial" w:hAnsi="Arial" w:cs="Arial"/>
                <w:lang w:val="es-GT"/>
              </w:rPr>
            </w:pPr>
            <w:r>
              <w:rPr>
                <w:rFonts w:ascii="Arial" w:hAnsi="Arial" w:cs="Arial"/>
                <w:sz w:val="16"/>
                <w:szCs w:val="16"/>
                <w:lang w:val="es-GT"/>
              </w:rPr>
              <w:t xml:space="preserve">No requiere hipótesis; se responde con estadística descriptiva.</w:t>
            </w:r>
          </w:p>
        </w:tc>
        <w:tc>
          <w:tcPr>
            <w:tcW w:w="1700" w:type="dxa"/>
          </w:tcPr>
          <w:p>
            <w:pPr>
              <w:spacing w:before="40" w:after="40" w:line="240" w:lineRule="auto"/>
              <w:jc w:val="left"/>
              <w:rPr>
                <w:rFonts w:ascii="Arial" w:hAnsi="Arial" w:cs="Arial"/>
                <w:lang w:val="es-GT"/>
              </w:rPr>
            </w:pPr>
            <w:r>
              <w:rPr>
                <w:rFonts w:ascii="Arial" w:hAnsi="Arial" w:cs="Arial"/>
                <w:sz w:val="16"/>
                <w:szCs w:val="16"/>
                <w:lang w:val="es-GT"/>
              </w:rPr>
              <w:t xml:space="preserve">Tasa de discrepancia y monto promedio de la diferencia.</w:t>
            </w:r>
          </w:p>
        </w:tc>
        <w:tc>
          <w:tcPr>
            <w:tcW w:w="1739" w:type="dxa"/>
          </w:tcPr>
          <w:p>
            <w:pPr>
              <w:spacing w:before="40" w:after="40" w:line="240" w:lineRule="auto"/>
              <w:jc w:val="left"/>
              <w:rPr>
                <w:rFonts w:ascii="Arial" w:hAnsi="Arial" w:cs="Arial"/>
                <w:lang w:val="es-GT"/>
              </w:rPr>
            </w:pPr>
            <w:r>
              <w:rPr>
                <w:rFonts w:ascii="Arial" w:hAnsi="Arial" w:cs="Arial"/>
                <w:sz w:val="16"/>
                <w:szCs w:val="16"/>
                <w:lang w:val="es-GT"/>
              </w:rPr>
              <w:t xml:space="preserve">Llamadas de verificación a una muestra aleatoria de desembolsos durante la fase de línea base; contraste con el reporte del sistema.</w:t>
            </w:r>
          </w:p>
        </w:tc>
      </w:tr>
      <w:tr>
        <w:trPr>
          <w:cantSplit/>
        </w:trPr>
        <w:tc>
          <w:tcPr>
            <w:tcW w:w="1900" w:type="dxa"/>
          </w:tcPr>
          <w:p>
            <w:pPr>
              <w:spacing w:before="40" w:after="40" w:line="240" w:lineRule="auto"/>
              <w:jc w:val="left"/>
              <w:rPr>
                <w:rFonts w:ascii="Arial" w:hAnsi="Arial" w:cs="Arial"/>
                <w:lang w:val="es-GT"/>
              </w:rPr>
            </w:pPr>
            <w:r>
              <w:rPr>
                <w:rFonts w:ascii="Arial" w:hAnsi="Arial" w:cs="Arial"/>
                <w:sz w:val="16"/>
                <w:szCs w:val="16"/>
                <w:lang w:val="es-GT"/>
              </w:rPr>
              <w:t xml:space="preserve">Específico 2: ¿Qué nivel de cumplimiento alcanzan los controles durante la intervención?</w:t>
            </w:r>
          </w:p>
        </w:tc>
        <w:tc>
          <w:tcPr>
            <w:tcW w:w="1800" w:type="dxa"/>
          </w:tcPr>
          <w:p>
            <w:pPr>
              <w:spacing w:before="40" w:after="40" w:line="240" w:lineRule="auto"/>
              <w:jc w:val="left"/>
              <w:rPr>
                <w:rFonts w:ascii="Arial" w:hAnsi="Arial" w:cs="Arial"/>
                <w:lang w:val="es-GT"/>
              </w:rPr>
            </w:pPr>
            <w:r>
              <w:rPr>
                <w:rFonts w:ascii="Arial" w:hAnsi="Arial" w:cs="Arial"/>
                <w:sz w:val="16"/>
                <w:szCs w:val="16"/>
                <w:lang w:val="es-GT"/>
              </w:rPr>
              <w:t xml:space="preserve">Específico 2: describir el nivel de cumplimiento de los controles de verificación.</w:t>
            </w:r>
          </w:p>
        </w:tc>
        <w:tc>
          <w:tcPr>
            <w:tcW w:w="1700" w:type="dxa"/>
          </w:tcPr>
          <w:p>
            <w:pPr>
              <w:spacing w:before="40" w:after="40" w:line="240" w:lineRule="auto"/>
              <w:jc w:val="left"/>
              <w:rPr>
                <w:rFonts w:ascii="Arial" w:hAnsi="Arial" w:cs="Arial"/>
                <w:lang w:val="es-GT"/>
              </w:rPr>
            </w:pPr>
            <w:r>
              <w:rPr>
                <w:rFonts w:ascii="Arial" w:hAnsi="Arial" w:cs="Arial"/>
                <w:sz w:val="16"/>
                <w:szCs w:val="16"/>
                <w:lang w:val="es-GT"/>
              </w:rPr>
              <w:t xml:space="preserve">No requiere hipótesis; se responde con estadística descriptiva.</w:t>
            </w:r>
          </w:p>
        </w:tc>
        <w:tc>
          <w:tcPr>
            <w:tcW w:w="1700" w:type="dxa"/>
          </w:tcPr>
          <w:p>
            <w:pPr>
              <w:spacing w:before="40" w:after="40" w:line="240" w:lineRule="auto"/>
              <w:jc w:val="left"/>
              <w:rPr>
                <w:rFonts w:ascii="Arial" w:hAnsi="Arial" w:cs="Arial"/>
                <w:lang w:val="es-GT"/>
              </w:rPr>
            </w:pPr>
            <w:r>
              <w:rPr>
                <w:rFonts w:ascii="Arial" w:hAnsi="Arial" w:cs="Arial"/>
                <w:sz w:val="16"/>
                <w:szCs w:val="16"/>
                <w:lang w:val="es-GT"/>
              </w:rPr>
              <w:t xml:space="preserve">Porcentaje de comprobantes firmados, llamadas completadas y alertas atendidas.</w:t>
            </w:r>
          </w:p>
        </w:tc>
        <w:tc>
          <w:tcPr>
            <w:tcW w:w="1739" w:type="dxa"/>
          </w:tcPr>
          <w:p>
            <w:pPr>
              <w:spacing w:before="40" w:after="40" w:line="240" w:lineRule="auto"/>
              <w:jc w:val="left"/>
              <w:rPr>
                <w:rFonts w:ascii="Arial" w:hAnsi="Arial" w:cs="Arial"/>
                <w:lang w:val="es-GT"/>
              </w:rPr>
            </w:pPr>
            <w:r>
              <w:rPr>
                <w:rFonts w:ascii="Arial" w:hAnsi="Arial" w:cs="Arial"/>
                <w:sz w:val="16"/>
                <w:szCs w:val="16"/>
                <w:lang w:val="es-GT"/>
              </w:rPr>
              <w:t xml:space="preserve">Lista de cotejo y bitácora de implementación, con registro semanal.</w:t>
            </w:r>
          </w:p>
        </w:tc>
      </w:tr>
      <w:tr>
        <w:trPr>
          <w:cantSplit/>
        </w:trPr>
        <w:tc>
          <w:tcPr>
            <w:tcW w:w="190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Específico 3: ¿Cómo cambia la tasa de discrepancia después de implementar los controles?</w:t>
            </w:r>
          </w:p>
        </w:tc>
        <w:tc>
          <w:tcPr>
            <w:tcW w:w="180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Específico 3: comparar la tasa de discrepancia antes y después de implementar los controles.</w:t>
            </w:r>
          </w:p>
        </w:tc>
        <w:tc>
          <w:tcPr>
            <w:tcW w:w="170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Se contrasta con H1 y H0.</w:t>
            </w:r>
          </w:p>
        </w:tc>
        <w:tc>
          <w:tcPr>
            <w:tcW w:w="170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Tasa de discrepancia en la fase posterior a la intervención.</w:t>
            </w:r>
          </w:p>
        </w:tc>
        <w:tc>
          <w:tcPr>
            <w:tcW w:w="1739"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Misma verificación telefónica a una muestra aleatoria posterior; prueba z de dos proporciones y análisis de amenazas a la validez.</w:t>
            </w:r>
          </w:p>
        </w:tc>
      </w:tr>
    </w:tbl>
    <w:p>
      <w:pPr>
        <w:spacing w:before="60" w:after="200" w:line="240" w:lineRule="auto"/>
        <w:jc w:val="left"/>
        <w:rPr>
          <w:rFonts w:ascii="Arial" w:hAnsi="Arial" w:cs="Arial"/>
          <w:lang w:val="es-GT"/>
        </w:rPr>
      </w:pPr>
      <w:r>
        <w:rPr>
          <w:rFonts w:ascii="Arial" w:hAnsi="Arial" w:cs="Arial"/>
          <w:i/>
          <w:sz w:val="20"/>
          <w:szCs w:val="20"/>
          <w:lang w:val="es-GT"/>
        </w:rPr>
        <w:t xml:space="preserve">Nota. </w:t>
      </w:r>
      <w:r>
        <w:rPr>
          <w:rFonts w:ascii="Arial" w:hAnsi="Arial" w:cs="Arial"/>
          <w:sz w:val="20"/>
          <w:szCs w:val="20"/>
          <w:lang w:val="es-GT"/>
        </w:rPr>
        <w:t xml:space="preserve">Elaboración propia.</w:t>
      </w:r>
    </w:p>
    <w:p>
      <w:pPr>
        <w:keepNext/>
        <w:spacing w:before="240" w:after="0" w:line="360" w:lineRule="auto"/>
        <w:jc w:val="center"/>
        <w:outlineLvl w:val="0"/>
        <w:rPr>
          <w:rFonts w:ascii="Arial" w:hAnsi="Arial" w:cs="Arial"/>
          <w:lang w:val="es-GT"/>
        </w:rPr>
      </w:pPr>
      <w:bookmarkStart w:id="210" w:name="_Toc800210"/>
      <w:r>
        <w:rPr>
          <w:rFonts w:ascii="Arial" w:hAnsi="Arial" w:cs="Arial"/>
          <w:b/>
          <w:sz w:val="28"/>
          <w:szCs w:val="28"/>
          <w:lang w:val="es-GT"/>
        </w:rPr>
        <w:t xml:space="preserve">CONCLUSIONES</w:t>
      </w:r>
      <w:bookmarkEnd w:id="210"/>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1. </w:t>
      </w:r>
      <w:r>
        <w:rPr>
          <w:rFonts w:ascii="Arial" w:hAnsi="Arial" w:cs="Arial"/>
          <w:sz w:val="24"/>
          <w:szCs w:val="24"/>
          <w:lang w:val="es-GT"/>
        </w:rPr>
        <w:t xml:space="preserve">El caso se traduce en una pregunta medible: el efecto de un paquete de controles de verificación sobre la discrepancia entre el monto autorizado y el monto recibido por el cliente.</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2. </w:t>
      </w:r>
      <w:r>
        <w:rPr>
          <w:rFonts w:ascii="Arial" w:hAnsi="Arial" w:cs="Arial"/>
          <w:sz w:val="24"/>
          <w:szCs w:val="24"/>
          <w:lang w:val="es-GT"/>
        </w:rPr>
        <w:t xml:space="preserve">Las dos variables principales quedan definidas de forma conceptual y operacional, con dimensiones, indicadores, instrumentos y escalas coherentes con un diseño cuasi-experimental.</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3. </w:t>
      </w:r>
      <w:r>
        <w:rPr>
          <w:rFonts w:ascii="Arial" w:hAnsi="Arial" w:cs="Arial"/>
          <w:sz w:val="24"/>
          <w:szCs w:val="24"/>
          <w:lang w:val="es-GT"/>
        </w:rPr>
        <w:t xml:space="preserve">La matriz de consistencia muestra que cada objetivo específico tiene una subpregunta, un indicador y una técnica de análisis, y que la hipótesis solo se aplica al objetivo que compara las tasas antes y después.</w:t>
      </w:r>
    </w:p>
    <w:p>
      <w:pPr>
        <w:keepNext/>
        <w:spacing w:before="240" w:after="0" w:line="360" w:lineRule="auto"/>
        <w:jc w:val="center"/>
        <w:outlineLvl w:val="0"/>
        <w:rPr>
          <w:rFonts w:ascii="Arial" w:hAnsi="Arial" w:cs="Arial"/>
          <w:lang w:val="es-GT"/>
        </w:rPr>
      </w:pPr>
      <w:bookmarkStart w:id="211" w:name="_Toc800211"/>
      <w:r>
        <w:rPr>
          <w:rFonts w:ascii="Arial" w:hAnsi="Arial" w:cs="Arial"/>
          <w:b/>
          <w:sz w:val="28"/>
          <w:szCs w:val="28"/>
          <w:lang w:val="es-GT"/>
        </w:rPr>
        <w:t xml:space="preserve">RECOMENDACIONES</w:t>
      </w:r>
      <w:bookmarkEnd w:id="211"/>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1. </w:t>
      </w:r>
      <w:r>
        <w:rPr>
          <w:rFonts w:ascii="Arial" w:hAnsi="Arial" w:cs="Arial"/>
          <w:sz w:val="24"/>
          <w:szCs w:val="24"/>
          <w:lang w:val="es-GT"/>
        </w:rPr>
        <w:t xml:space="preserve">Formalizar con la institución la autorización del estudio y un acuerdo de confidencialidad, y anonimizar a las personas y a la entidad en todos los documentos.</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2. </w:t>
      </w:r>
      <w:r>
        <w:rPr>
          <w:rFonts w:ascii="Arial" w:hAnsi="Arial" w:cs="Arial"/>
          <w:sz w:val="24"/>
          <w:szCs w:val="24"/>
          <w:lang w:val="es-GT"/>
        </w:rPr>
        <w:t xml:space="preserve">Calcular el tamaño de la muestra con el volumen mensual de desembolsos de la agencia, y definir con la institución cómo se medirá la línea base, ya que no existen cifras previas de discrepancia.</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3. </w:t>
      </w:r>
      <w:r>
        <w:rPr>
          <w:rFonts w:ascii="Arial" w:hAnsi="Arial" w:cs="Arial"/>
          <w:sz w:val="24"/>
          <w:szCs w:val="24"/>
          <w:lang w:val="es-GT"/>
        </w:rPr>
        <w:t xml:space="preserve">Documentar en el protocolo las amenazas a la validez, como el cambio de conducta de los promotores por saberse observados, y las medidas para reducirlas.</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4. </w:t>
      </w:r>
      <w:r>
        <w:rPr>
          <w:rFonts w:ascii="Arial" w:hAnsi="Arial" w:cs="Arial"/>
          <w:sz w:val="24"/>
          <w:szCs w:val="24"/>
          <w:lang w:val="es-GT"/>
        </w:rPr>
        <w:t xml:space="preserve">Verificar con la institución los datos del caso que se citan en este documento, como el monto y el número de clientes afectados, antes de incluirlos en el protocolo.</w:t>
      </w:r>
    </w:p>
    <w:p>
      <w:pPr>
        <w:keepNext/>
        <w:pageBreakBefore/>
        <w:spacing w:before="240" w:after="0" w:line="360" w:lineRule="auto"/>
        <w:jc w:val="center"/>
        <w:outlineLvl w:val="0"/>
        <w:rPr>
          <w:rFonts w:ascii="Arial" w:hAnsi="Arial" w:cs="Arial"/>
          <w:lang w:val="es-GT"/>
        </w:rPr>
      </w:pPr>
      <w:bookmarkStart w:id="212" w:name="_Toc800212"/>
      <w:r>
        <w:rPr>
          <w:rFonts w:ascii="Arial" w:hAnsi="Arial" w:cs="Arial"/>
          <w:b/>
          <w:sz w:val="28"/>
          <w:szCs w:val="28"/>
          <w:lang w:val="es-GT"/>
        </w:rPr>
        <w:t xml:space="preserve">REFERENCIAS</w:t>
      </w:r>
      <w:bookmarkEnd w:id="212"/>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Association of Certified Fraud Examiners. (2024). </w:t>
      </w:r>
      <w:r>
        <w:rPr>
          <w:rFonts w:ascii="Arial" w:hAnsi="Arial" w:cs="Arial"/>
          <w:i/>
          <w:sz w:val="24"/>
          <w:szCs w:val="24"/>
          <w:lang w:val="es-GT"/>
        </w:rPr>
        <w:t xml:space="preserve">Occupational fraud 2024: A report to the nations</w:t>
      </w:r>
      <w:r>
        <w:rPr>
          <w:rFonts w:ascii="Arial" w:hAnsi="Arial" w:cs="Arial"/>
          <w:sz w:val="24"/>
          <w:szCs w:val="24"/>
          <w:lang w:val="es-GT"/>
        </w:rPr>
        <w:t xml:space="preserve">. https://www.ivey.uwo.ca/media/kjljj5cy/2024-report-to-the-nations.pdf</w:t>
      </w:r>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Campbell, D. T., &amp; Stanley, J. C. (1966). </w:t>
      </w:r>
      <w:r>
        <w:rPr>
          <w:rFonts w:ascii="Arial" w:hAnsi="Arial" w:cs="Arial"/>
          <w:i/>
          <w:sz w:val="24"/>
          <w:szCs w:val="24"/>
          <w:lang w:val="es-GT"/>
        </w:rPr>
        <w:t xml:space="preserve">Experimental and quasi-experimental designs for research</w:t>
      </w:r>
      <w:r>
        <w:rPr>
          <w:rFonts w:ascii="Arial" w:hAnsi="Arial" w:cs="Arial"/>
          <w:sz w:val="24"/>
          <w:szCs w:val="24"/>
          <w:lang w:val="es-GT"/>
        </w:rPr>
        <w:t xml:space="preserve">. Rand McNally.</w:t>
      </w:r>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Cressey, D. R. (1953). </w:t>
      </w:r>
      <w:r>
        <w:rPr>
          <w:rFonts w:ascii="Arial" w:hAnsi="Arial" w:cs="Arial"/>
          <w:i/>
          <w:sz w:val="24"/>
          <w:szCs w:val="24"/>
          <w:lang w:val="es-GT"/>
        </w:rPr>
        <w:t xml:space="preserve">Other people's money: A study in the social psychology of embezzlement</w:t>
      </w:r>
      <w:r>
        <w:rPr>
          <w:rFonts w:ascii="Arial" w:hAnsi="Arial" w:cs="Arial"/>
          <w:sz w:val="24"/>
          <w:szCs w:val="24"/>
          <w:lang w:val="es-GT"/>
        </w:rPr>
        <w:t xml:space="preserve">. Free Press.</w:t>
      </w:r>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Hernández Sampieri, R., Fernández Collado, C., &amp; Baptista Lucio, P. (2014). </w:t>
      </w:r>
      <w:r>
        <w:rPr>
          <w:rFonts w:ascii="Arial" w:hAnsi="Arial" w:cs="Arial"/>
          <w:i/>
          <w:sz w:val="24"/>
          <w:szCs w:val="24"/>
          <w:lang w:val="es-GT"/>
        </w:rPr>
        <w:t xml:space="preserve">Metodología de la investigación</w:t>
      </w:r>
      <w:r>
        <w:rPr>
          <w:rFonts w:ascii="Arial" w:hAnsi="Arial" w:cs="Arial"/>
          <w:sz w:val="24"/>
          <w:szCs w:val="24"/>
          <w:lang w:val="es-GT"/>
        </w:rPr>
        <w:t xml:space="preserve"> (6.ª ed.). McGraw-Hill Education.</w:t>
      </w:r>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OWASP Foundation. (2025). </w:t>
      </w:r>
      <w:r>
        <w:rPr>
          <w:rFonts w:ascii="Arial" w:hAnsi="Arial" w:cs="Arial"/>
          <w:i/>
          <w:sz w:val="24"/>
          <w:szCs w:val="24"/>
          <w:lang w:val="es-GT"/>
        </w:rPr>
        <w:t xml:space="preserve">OWASP application security verification standard</w:t>
      </w:r>
      <w:r>
        <w:rPr>
          <w:rFonts w:ascii="Arial" w:hAnsi="Arial" w:cs="Arial"/>
          <w:sz w:val="24"/>
          <w:szCs w:val="24"/>
          <w:lang w:val="es-GT"/>
        </w:rPr>
        <w:t xml:space="preserve"> (Versión 5.0.0). https://owasp.org/www-project-application-security-verification-standard/</w:t>
      </w:r>
    </w:p>
    <w:sectPr>
      <w:headerReference w:type="default" r:id="rIdHdrDef"/>
      <w:pgSz w:w="12240" w:h="15840"/>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headerDef.xml><?xml version="1.0" encoding="utf-8"?>
<w:hdr xmlns:w="http://schemas.openxmlformats.org/wordprocessingml/2006/main" xmlns:r="http://schemas.openxmlformats.org/officeDocument/2006/relationships">
  <w:p>
    <w:pPr>
      <w:jc w:val="right"/>
    </w:pPr>
    <w:r>
      <w:rPr>
        <w:rFonts w:ascii="Arial" w:hAnsi="Arial" w:cs="Arial"/>
        <w:sz w:val="24"/>
      </w:rPr>
      <w:fldChar w:fldCharType="begin"/>
    </w:r>
    <w:r>
      <w:rPr>
        <w:rFonts w:ascii="Arial" w:hAnsi="Arial" w:cs="Arial"/>
        <w:sz w:val="24"/>
      </w:rPr>
      <w:instrText xml:space="preserve"> PAGE </w:instrText>
    </w:r>
    <w:r>
      <w:rPr>
        <w:rFonts w:ascii="Arial" w:hAnsi="Arial" w:cs="Arial"/>
        <w:sz w:val="24"/>
      </w:rPr>
      <w:fldChar w:fldCharType="separate"/>
    </w:r>
    <w:r>
      <w:rPr>
        <w:rFonts w:ascii="Arial" w:hAnsi="Arial" w:cs="Arial"/>
        <w:sz w:val="24"/>
      </w:rPr>
      <w:t>1</w:t>
    </w:r>
    <w:r>
      <w:rPr>
        <w:rFonts w:ascii="Arial" w:hAnsi="Arial" w:cs="Arial"/>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482"/>
    <w:rsid w:val="00000A00"/>
    <w:rsid w:val="003643EF"/>
    <w:rsid w:val="009E5511"/>
    <w:rsid w:val="00C13482"/>
    <w:rsid w:val="00CC4DEE"/>
    <w:rsid w:val="00D14FAF"/>
    <w:rsid w:val="00E337AC"/>
    <w:rsid w:val="00F94E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7F58B"/>
  <w15:chartTrackingRefBased/>
  <w15:docId w15:val="{583A3E94-8909-4E7D-B1CD-361CDD911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482"/>
    <w:pPr>
      <w:spacing w:line="259" w:lineRule="auto"/>
    </w:pPr>
    <w:rPr>
      <w:kern w:val="0"/>
      <w:sz w:val="22"/>
      <w:szCs w:val="22"/>
      <w:lang w:val="es-PE"/>
      <w14:ligatures w14:val="none"/>
    </w:rPr>
  </w:style>
  <w:style w:type="paragraph" w:styleId="Ttulo1">
    <w:name w:val="heading 1"/>
    <w:basedOn w:val="Normal"/>
    <w:next w:val="Normal"/>
    <w:link w:val="Ttulo1Car"/>
    <w:uiPriority w:val="9"/>
    <w:qFormat/>
    <w:rsid w:val="00C13482"/>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Ttulo2">
    <w:name w:val="heading 2"/>
    <w:basedOn w:val="Normal"/>
    <w:next w:val="Normal"/>
    <w:link w:val="Ttulo2Car"/>
    <w:uiPriority w:val="9"/>
    <w:semiHidden/>
    <w:unhideWhenUsed/>
    <w:qFormat/>
    <w:rsid w:val="00C13482"/>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Ttulo3">
    <w:name w:val="heading 3"/>
    <w:basedOn w:val="Normal"/>
    <w:next w:val="Normal"/>
    <w:link w:val="Ttulo3Car"/>
    <w:uiPriority w:val="9"/>
    <w:semiHidden/>
    <w:unhideWhenUsed/>
    <w:qFormat/>
    <w:rsid w:val="00C13482"/>
    <w:pPr>
      <w:keepNext/>
      <w:keepLines/>
      <w:spacing w:before="160" w:after="80" w:line="278" w:lineRule="auto"/>
      <w:outlineLvl w:val="2"/>
    </w:pPr>
    <w:rPr>
      <w:rFonts w:eastAsiaTheme="majorEastAsia" w:cstheme="majorBidi"/>
      <w:color w:val="0F4761" w:themeColor="accent1" w:themeShade="BF"/>
      <w:kern w:val="2"/>
      <w:sz w:val="28"/>
      <w:szCs w:val="28"/>
      <w:lang w:val="en-US"/>
      <w14:ligatures w14:val="standardContextual"/>
    </w:rPr>
  </w:style>
  <w:style w:type="paragraph" w:styleId="Ttulo4">
    <w:name w:val="heading 4"/>
    <w:basedOn w:val="Normal"/>
    <w:next w:val="Normal"/>
    <w:link w:val="Ttulo4Car"/>
    <w:uiPriority w:val="9"/>
    <w:semiHidden/>
    <w:unhideWhenUsed/>
    <w:qFormat/>
    <w:rsid w:val="00C13482"/>
    <w:pPr>
      <w:keepNext/>
      <w:keepLines/>
      <w:spacing w:before="80" w:after="40" w:line="278" w:lineRule="auto"/>
      <w:outlineLvl w:val="3"/>
    </w:pPr>
    <w:rPr>
      <w:rFonts w:eastAsiaTheme="majorEastAsia" w:cstheme="majorBidi"/>
      <w:i/>
      <w:iCs/>
      <w:color w:val="0F4761" w:themeColor="accent1" w:themeShade="BF"/>
      <w:kern w:val="2"/>
      <w:sz w:val="24"/>
      <w:szCs w:val="24"/>
      <w:lang w:val="en-US"/>
      <w14:ligatures w14:val="standardContextual"/>
    </w:rPr>
  </w:style>
  <w:style w:type="paragraph" w:styleId="Ttulo5">
    <w:name w:val="heading 5"/>
    <w:basedOn w:val="Normal"/>
    <w:next w:val="Normal"/>
    <w:link w:val="Ttulo5Car"/>
    <w:uiPriority w:val="9"/>
    <w:semiHidden/>
    <w:unhideWhenUsed/>
    <w:qFormat/>
    <w:rsid w:val="00C13482"/>
    <w:pPr>
      <w:keepNext/>
      <w:keepLines/>
      <w:spacing w:before="80" w:after="40" w:line="278" w:lineRule="auto"/>
      <w:outlineLvl w:val="4"/>
    </w:pPr>
    <w:rPr>
      <w:rFonts w:eastAsiaTheme="majorEastAsia" w:cstheme="majorBidi"/>
      <w:color w:val="0F4761" w:themeColor="accent1" w:themeShade="BF"/>
      <w:kern w:val="2"/>
      <w:sz w:val="24"/>
      <w:szCs w:val="24"/>
      <w:lang w:val="en-US"/>
      <w14:ligatures w14:val="standardContextual"/>
    </w:rPr>
  </w:style>
  <w:style w:type="paragraph" w:styleId="Ttulo6">
    <w:name w:val="heading 6"/>
    <w:basedOn w:val="Normal"/>
    <w:next w:val="Normal"/>
    <w:link w:val="Ttulo6Car"/>
    <w:uiPriority w:val="9"/>
    <w:semiHidden/>
    <w:unhideWhenUsed/>
    <w:qFormat/>
    <w:rsid w:val="00C13482"/>
    <w:pPr>
      <w:keepNext/>
      <w:keepLines/>
      <w:spacing w:before="40" w:after="0" w:line="278" w:lineRule="auto"/>
      <w:outlineLvl w:val="5"/>
    </w:pPr>
    <w:rPr>
      <w:rFonts w:eastAsiaTheme="majorEastAsia" w:cstheme="majorBidi"/>
      <w:i/>
      <w:iCs/>
      <w:color w:val="595959" w:themeColor="text1" w:themeTint="A6"/>
      <w:kern w:val="2"/>
      <w:sz w:val="24"/>
      <w:szCs w:val="24"/>
      <w:lang w:val="en-US"/>
      <w14:ligatures w14:val="standardContextual"/>
    </w:rPr>
  </w:style>
  <w:style w:type="paragraph" w:styleId="Ttulo7">
    <w:name w:val="heading 7"/>
    <w:basedOn w:val="Normal"/>
    <w:next w:val="Normal"/>
    <w:link w:val="Ttulo7Car"/>
    <w:uiPriority w:val="9"/>
    <w:semiHidden/>
    <w:unhideWhenUsed/>
    <w:qFormat/>
    <w:rsid w:val="00C13482"/>
    <w:pPr>
      <w:keepNext/>
      <w:keepLines/>
      <w:spacing w:before="40" w:after="0" w:line="278" w:lineRule="auto"/>
      <w:outlineLvl w:val="6"/>
    </w:pPr>
    <w:rPr>
      <w:rFonts w:eastAsiaTheme="majorEastAsia" w:cstheme="majorBidi"/>
      <w:color w:val="595959" w:themeColor="text1" w:themeTint="A6"/>
      <w:kern w:val="2"/>
      <w:sz w:val="24"/>
      <w:szCs w:val="24"/>
      <w:lang w:val="en-US"/>
      <w14:ligatures w14:val="standardContextual"/>
    </w:rPr>
  </w:style>
  <w:style w:type="paragraph" w:styleId="Ttulo8">
    <w:name w:val="heading 8"/>
    <w:basedOn w:val="Normal"/>
    <w:next w:val="Normal"/>
    <w:link w:val="Ttulo8Car"/>
    <w:uiPriority w:val="9"/>
    <w:semiHidden/>
    <w:unhideWhenUsed/>
    <w:qFormat/>
    <w:rsid w:val="00C13482"/>
    <w:pPr>
      <w:keepNext/>
      <w:keepLines/>
      <w:spacing w:after="0" w:line="278" w:lineRule="auto"/>
      <w:outlineLvl w:val="7"/>
    </w:pPr>
    <w:rPr>
      <w:rFonts w:eastAsiaTheme="majorEastAsia" w:cstheme="majorBidi"/>
      <w:i/>
      <w:iCs/>
      <w:color w:val="272727" w:themeColor="text1" w:themeTint="D8"/>
      <w:kern w:val="2"/>
      <w:sz w:val="24"/>
      <w:szCs w:val="24"/>
      <w:lang w:val="en-US"/>
      <w14:ligatures w14:val="standardContextual"/>
    </w:rPr>
  </w:style>
  <w:style w:type="paragraph" w:styleId="Ttulo9">
    <w:name w:val="heading 9"/>
    <w:basedOn w:val="Normal"/>
    <w:next w:val="Normal"/>
    <w:link w:val="Ttulo9Car"/>
    <w:uiPriority w:val="9"/>
    <w:semiHidden/>
    <w:unhideWhenUsed/>
    <w:qFormat/>
    <w:rsid w:val="00C13482"/>
    <w:pPr>
      <w:keepNext/>
      <w:keepLines/>
      <w:spacing w:after="0" w:line="278" w:lineRule="auto"/>
      <w:outlineLvl w:val="8"/>
    </w:pPr>
    <w:rPr>
      <w:rFonts w:eastAsiaTheme="majorEastAsia" w:cstheme="majorBidi"/>
      <w:color w:val="272727" w:themeColor="text1" w:themeTint="D8"/>
      <w:kern w:val="2"/>
      <w:sz w:val="24"/>
      <w:szCs w:val="24"/>
      <w:lang w:val="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1348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1348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1348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1348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1348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1348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1348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1348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13482"/>
    <w:rPr>
      <w:rFonts w:eastAsiaTheme="majorEastAsia" w:cstheme="majorBidi"/>
      <w:color w:val="272727" w:themeColor="text1" w:themeTint="D8"/>
    </w:rPr>
  </w:style>
  <w:style w:type="paragraph" w:styleId="Ttulo">
    <w:name w:val="Title"/>
    <w:basedOn w:val="Normal"/>
    <w:next w:val="Normal"/>
    <w:link w:val="TtuloCar"/>
    <w:uiPriority w:val="10"/>
    <w:qFormat/>
    <w:rsid w:val="00C13482"/>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tuloCar">
    <w:name w:val="Título Car"/>
    <w:basedOn w:val="Fuentedeprrafopredeter"/>
    <w:link w:val="Ttulo"/>
    <w:uiPriority w:val="10"/>
    <w:rsid w:val="00C1348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13482"/>
    <w:pPr>
      <w:numPr>
        <w:ilvl w:val="1"/>
      </w:numPr>
      <w:spacing w:line="278" w:lineRule="auto"/>
    </w:pPr>
    <w:rPr>
      <w:rFonts w:eastAsiaTheme="majorEastAsia" w:cstheme="majorBidi"/>
      <w:color w:val="595959" w:themeColor="text1" w:themeTint="A6"/>
      <w:spacing w:val="15"/>
      <w:kern w:val="2"/>
      <w:sz w:val="28"/>
      <w:szCs w:val="28"/>
      <w:lang w:val="en-US"/>
      <w14:ligatures w14:val="standardContextual"/>
    </w:rPr>
  </w:style>
  <w:style w:type="character" w:customStyle="1" w:styleId="SubttuloCar">
    <w:name w:val="Subtítulo Car"/>
    <w:basedOn w:val="Fuentedeprrafopredeter"/>
    <w:link w:val="Subttulo"/>
    <w:uiPriority w:val="11"/>
    <w:rsid w:val="00C1348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13482"/>
    <w:pPr>
      <w:spacing w:before="160" w:line="278" w:lineRule="auto"/>
      <w:jc w:val="center"/>
    </w:pPr>
    <w:rPr>
      <w:i/>
      <w:iCs/>
      <w:color w:val="404040" w:themeColor="text1" w:themeTint="BF"/>
      <w:kern w:val="2"/>
      <w:sz w:val="24"/>
      <w:szCs w:val="24"/>
      <w:lang w:val="en-US"/>
      <w14:ligatures w14:val="standardContextual"/>
    </w:rPr>
  </w:style>
  <w:style w:type="character" w:customStyle="1" w:styleId="CitaCar">
    <w:name w:val="Cita Car"/>
    <w:basedOn w:val="Fuentedeprrafopredeter"/>
    <w:link w:val="Cita"/>
    <w:uiPriority w:val="29"/>
    <w:rsid w:val="00C13482"/>
    <w:rPr>
      <w:i/>
      <w:iCs/>
      <w:color w:val="404040" w:themeColor="text1" w:themeTint="BF"/>
    </w:rPr>
  </w:style>
  <w:style w:type="paragraph" w:styleId="Prrafodelista">
    <w:name w:val="List Paragraph"/>
    <w:basedOn w:val="Normal"/>
    <w:uiPriority w:val="34"/>
    <w:qFormat/>
    <w:rsid w:val="00C13482"/>
    <w:pPr>
      <w:spacing w:line="278" w:lineRule="auto"/>
      <w:ind w:left="720"/>
      <w:contextualSpacing/>
    </w:pPr>
    <w:rPr>
      <w:kern w:val="2"/>
      <w:sz w:val="24"/>
      <w:szCs w:val="24"/>
      <w:lang w:val="en-US"/>
      <w14:ligatures w14:val="standardContextual"/>
    </w:rPr>
  </w:style>
  <w:style w:type="character" w:styleId="nfasisintenso">
    <w:name w:val="Intense Emphasis"/>
    <w:basedOn w:val="Fuentedeprrafopredeter"/>
    <w:uiPriority w:val="21"/>
    <w:qFormat/>
    <w:rsid w:val="00C13482"/>
    <w:rPr>
      <w:i/>
      <w:iCs/>
      <w:color w:val="0F4761" w:themeColor="accent1" w:themeShade="BF"/>
    </w:rPr>
  </w:style>
  <w:style w:type="paragraph" w:styleId="Citadestacada">
    <w:name w:val="Intense Quote"/>
    <w:basedOn w:val="Normal"/>
    <w:next w:val="Normal"/>
    <w:link w:val="CitadestacadaCar"/>
    <w:uiPriority w:val="30"/>
    <w:qFormat/>
    <w:rsid w:val="00C13482"/>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lang w:val="en-US"/>
      <w14:ligatures w14:val="standardContextual"/>
    </w:rPr>
  </w:style>
  <w:style w:type="character" w:customStyle="1" w:styleId="CitadestacadaCar">
    <w:name w:val="Cita destacada Car"/>
    <w:basedOn w:val="Fuentedeprrafopredeter"/>
    <w:link w:val="Citadestacada"/>
    <w:uiPriority w:val="30"/>
    <w:rsid w:val="00C13482"/>
    <w:rPr>
      <w:i/>
      <w:iCs/>
      <w:color w:val="0F4761" w:themeColor="accent1" w:themeShade="BF"/>
    </w:rPr>
  </w:style>
  <w:style w:type="character" w:styleId="Referenciaintensa">
    <w:name w:val="Intense Reference"/>
    <w:basedOn w:val="Fuentedeprrafopredeter"/>
    <w:uiPriority w:val="32"/>
    <w:qFormat/>
    <w:rsid w:val="00C134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 Id="rIdHdrDef" Type="http://schemas.openxmlformats.org/officeDocument/2006/relationships/header" Target="headerDef.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123</Words>
  <Characters>678</Characters>
  <Application>Microsoft Office Word</Application>
  <DocSecurity>0</DocSecurity>
  <Lines>5</Lines>
  <Paragraphs>1</Paragraphs>
  <ScaleCrop>false</ScaleCrop>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práctico: construcción de la matriz de consistencia</dc:title>
  <dc:subject/>
  <dc:creator>Gerbert David García Loaiza</dc:creator>
  <cp:keywords/>
  <dc:description/>
  <cp:lastModifiedBy>Ericka Fuentes</cp:lastModifiedBy>
  <cp:revision>2</cp:revision>
  <dcterms:created xsi:type="dcterms:W3CDTF">2025-07-06T16:12:00Z</dcterms:created>
  <dcterms:modified xsi:type="dcterms:W3CDTF">2025-07-06T16:12:00Z</dcterms:modified>
</cp:coreProperties>
</file>