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C6694" w14:textId="01754CFF" w:rsidR="003C64C8" w:rsidRPr="009A1B6B" w:rsidRDefault="003C64C8" w:rsidP="00C13482">
      <w:pPr>
        <w:widowControl w:val="0"/>
        <w:autoSpaceDE w:val="0"/>
        <w:autoSpaceDN w:val="0"/>
        <w:spacing w:after="0"/>
        <w:ind w:left="402"/>
        <w:rPr>
          <w:rFonts w:cs="Times New Roman"/>
          <w:b/>
          <w:sz w:val="48"/>
          <w:szCs w:val="48"/>
          <w:lang w:eastAsia="es-PE" w:bidi="es-PE"/>
        </w:rPr>
      </w:pPr>
      <w:r>
        <w:rPr>
          <w:rFonts w:cs="Times New Roman"/>
          <w:b/>
          <w:noProof/>
          <w:sz w:val="48"/>
          <w:szCs w:val="48"/>
          <w:lang w:eastAsia="es-PE" w:bidi="es-PE"/>
        </w:rPr>
        <w:drawing>
          <wp:anchor distT="0" distB="0" distL="114300" distR="114300" simplePos="0" relativeHeight="251659264" behindDoc="0" locked="0" layoutInCell="1" allowOverlap="1" wp14:anchorId="7123E515" wp14:editId="091839FD">
            <wp:simplePos x="0" y="0"/>
            <wp:positionH relativeFrom="column">
              <wp:posOffset>488315</wp:posOffset>
            </wp:positionH>
            <wp:positionV relativeFrom="paragraph">
              <wp:posOffset>90805</wp:posOffset>
            </wp:positionV>
            <wp:extent cx="1237615" cy="1200785"/>
            <wp:effectExtent l="0" t="0" r="635" b="0"/>
            <wp:wrapNone/>
            <wp:docPr id="2046160855" name="Picture 2" descr="A logo with a person in the back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160855" name="Picture 2" descr="A logo with a person in the back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7615" cy="1200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Start w:id="0" w:name="_bookmark7"/>
      <w:bookmarkEnd w:id="0"/>
    </w:p>
    <w:p w14:paraId="1FD7F7EF" w14:textId="77777777" w:rsidR="003C64C8" w:rsidRPr="00900852" w:rsidRDefault="003C64C8" w:rsidP="00C13482">
      <w:pPr>
        <w:widowControl w:val="0"/>
        <w:autoSpaceDE w:val="0"/>
        <w:autoSpaceDN w:val="0"/>
        <w:spacing w:after="0"/>
        <w:jc w:val="right"/>
        <w:rPr>
          <w:rFonts w:cs="Times New Roman"/>
          <w:b/>
          <w:sz w:val="48"/>
          <w:szCs w:val="48"/>
          <w:lang w:val="es-GT" w:eastAsia="es-PE" w:bidi="es-PE"/>
        </w:rPr>
      </w:pPr>
      <w:r w:rsidRPr="00900852">
        <w:rPr>
          <w:rFonts w:cs="Times New Roman"/>
          <w:b/>
          <w:sz w:val="48"/>
          <w:szCs w:val="48"/>
          <w:lang w:val="es-GT" w:eastAsia="es-PE" w:bidi="es-PE"/>
        </w:rPr>
        <w:t xml:space="preserve">UNIVERSIDAD MARIANO </w:t>
      </w:r>
      <w:r w:rsidRPr="00900852">
        <w:rPr>
          <w:rFonts w:cs="Times New Roman"/>
          <w:b/>
          <w:sz w:val="48"/>
          <w:szCs w:val="48"/>
          <w:lang w:val="es-GT" w:eastAsia="es-PE" w:bidi="es-PE"/>
        </w:rPr>
        <w:tab/>
      </w:r>
    </w:p>
    <w:p w14:paraId="3B4F6032" w14:textId="77777777" w:rsidR="003C64C8" w:rsidRPr="00900852" w:rsidRDefault="003C64C8" w:rsidP="00C13482">
      <w:pPr>
        <w:widowControl w:val="0"/>
        <w:autoSpaceDE w:val="0"/>
        <w:autoSpaceDN w:val="0"/>
        <w:spacing w:after="0"/>
        <w:jc w:val="right"/>
        <w:rPr>
          <w:rFonts w:cs="Times New Roman"/>
          <w:b/>
          <w:sz w:val="48"/>
          <w:szCs w:val="48"/>
          <w:lang w:val="es-GT" w:eastAsia="es-PE" w:bidi="es-PE"/>
        </w:rPr>
      </w:pPr>
      <w:r w:rsidRPr="00900852">
        <w:rPr>
          <w:rFonts w:cs="Times New Roman"/>
          <w:b/>
          <w:sz w:val="48"/>
          <w:szCs w:val="48"/>
          <w:lang w:val="es-GT" w:eastAsia="es-PE" w:bidi="es-PE"/>
        </w:rPr>
        <w:t>GÁLVEZ DE GUATEMALA</w:t>
      </w:r>
      <w:r w:rsidRPr="00900852">
        <w:rPr>
          <w:rFonts w:cs="Times New Roman"/>
          <w:b/>
          <w:sz w:val="48"/>
          <w:szCs w:val="48"/>
          <w:lang w:val="es-GT" w:eastAsia="es-PE" w:bidi="es-PE"/>
        </w:rPr>
        <w:tab/>
      </w:r>
    </w:p>
    <w:p w14:paraId="6F2A25DE" w14:textId="77777777" w:rsidR="003C64C8" w:rsidRPr="00900852" w:rsidRDefault="003C64C8" w:rsidP="00C13482">
      <w:pPr>
        <w:widowControl w:val="0"/>
        <w:autoSpaceDE w:val="0"/>
        <w:autoSpaceDN w:val="0"/>
        <w:spacing w:after="0" w:line="360" w:lineRule="auto"/>
        <w:rPr>
          <w:rFonts w:cs="Times New Roman"/>
          <w:b/>
          <w:lang w:val="es-GT" w:eastAsia="es-PE" w:bidi="es-PE"/>
        </w:rPr>
      </w:pPr>
    </w:p>
    <w:p w14:paraId="3EFBAF55" w14:textId="77777777" w:rsidR="003C64C8" w:rsidRPr="00900852" w:rsidRDefault="003C64C8" w:rsidP="00C13482">
      <w:pPr>
        <w:spacing w:after="0"/>
        <w:ind w:left="10" w:right="39" w:hanging="10"/>
        <w:jc w:val="center"/>
        <w:rPr>
          <w:rFonts w:cs="Times New Roman"/>
          <w:b/>
          <w:color w:val="000000"/>
          <w:sz w:val="36"/>
          <w:szCs w:val="36"/>
          <w:lang w:val="es-GT" w:eastAsia="es-PE"/>
        </w:rPr>
      </w:pPr>
    </w:p>
    <w:p w14:paraId="5882291E" w14:textId="77777777" w:rsidR="003C64C8" w:rsidRPr="00900852" w:rsidRDefault="003C64C8" w:rsidP="00C13482">
      <w:pPr>
        <w:spacing w:after="0"/>
        <w:ind w:left="10" w:right="39" w:hanging="10"/>
        <w:jc w:val="center"/>
        <w:rPr>
          <w:rFonts w:cs="Times New Roman"/>
          <w:b/>
          <w:color w:val="000000"/>
          <w:sz w:val="36"/>
          <w:szCs w:val="36"/>
          <w:lang w:val="es-GT" w:eastAsia="es-PE"/>
        </w:rPr>
      </w:pPr>
      <w:r w:rsidRPr="00900852">
        <w:rPr>
          <w:rFonts w:cs="Times New Roman"/>
          <w:b/>
          <w:color w:val="000000"/>
          <w:sz w:val="36"/>
          <w:szCs w:val="36"/>
          <w:lang w:val="es-GT" w:eastAsia="es-PE"/>
        </w:rPr>
        <w:t>FACULTAD DE INGENIERÍA EN SISTEMAS DE INFORMACIÓN</w:t>
      </w:r>
    </w:p>
    <w:p w14:paraId="14704A8E" w14:textId="7BD48B79" w:rsidR="003C64C8" w:rsidRPr="00900852" w:rsidRDefault="003C64C8" w:rsidP="00C13482">
      <w:pPr>
        <w:spacing w:after="0"/>
        <w:ind w:left="10" w:right="39" w:hanging="10"/>
        <w:jc w:val="center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32E8D738" w14:textId="77777777" w:rsidR="003C64C8" w:rsidRPr="00900852" w:rsidRDefault="003C64C8" w:rsidP="00C13482">
      <w:pPr>
        <w:spacing w:after="0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29954A93" w14:textId="77777777" w:rsidR="003C64C8" w:rsidRPr="00900852" w:rsidRDefault="003C64C8" w:rsidP="00C13482">
      <w:pPr>
        <w:spacing w:after="5" w:line="248" w:lineRule="auto"/>
        <w:ind w:right="30" w:hanging="10"/>
        <w:jc w:val="center"/>
        <w:rPr>
          <w:rFonts w:cs="Times New Roman"/>
          <w:b/>
          <w:color w:val="000000"/>
          <w:sz w:val="32"/>
          <w:szCs w:val="32"/>
          <w:lang w:val="es-GT" w:eastAsia="es-PE"/>
        </w:rPr>
      </w:pPr>
      <w:r w:rsidRPr="00900852">
        <w:rPr>
          <w:rFonts w:cs="Times New Roman"/>
          <w:b/>
          <w:color w:val="000000"/>
          <w:sz w:val="32"/>
          <w:szCs w:val="32"/>
          <w:lang w:val="es-GT" w:eastAsia="es-PE"/>
        </w:rPr>
        <w:t xml:space="preserve">MAESTRÍA EN SEGURIDAD INFORMÁTICA</w:t>
      </w:r>
    </w:p>
    <w:p w14:paraId="5F5AAAF7" w14:textId="23F7AC70" w:rsidR="003C64C8" w:rsidRPr="00900852" w:rsidRDefault="003C64C8" w:rsidP="00C13482">
      <w:pPr>
        <w:spacing w:after="5" w:line="248" w:lineRule="auto"/>
        <w:ind w:left="1911" w:right="30" w:hanging="10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345D9D19" w14:textId="77777777" w:rsidR="003C64C8" w:rsidRPr="00900852" w:rsidRDefault="003C64C8" w:rsidP="00C13482">
      <w:pPr>
        <w:spacing w:after="0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066099FC" w14:textId="77777777" w:rsidR="003C64C8" w:rsidRPr="00900852" w:rsidRDefault="003C64C8" w:rsidP="00C13482">
      <w:pPr>
        <w:spacing w:after="0"/>
        <w:rPr>
          <w:rFonts w:cs="Times New Roman"/>
          <w:color w:val="000000"/>
          <w:lang w:val="es-GT" w:eastAsia="es-PE"/>
        </w:rPr>
      </w:pPr>
    </w:p>
    <w:p w14:paraId="42FFFA1D" w14:textId="1E43632A" w:rsidR="003C64C8" w:rsidRPr="00900852" w:rsidRDefault="003C64C8" w:rsidP="00C13482">
      <w:pPr>
        <w:spacing w:after="5" w:line="248" w:lineRule="auto"/>
        <w:ind w:right="30" w:hanging="10"/>
        <w:jc w:val="center"/>
        <w:rPr>
          <w:rFonts w:cs="Times New Roman"/>
          <w:b/>
          <w:color w:val="000000"/>
          <w:sz w:val="32"/>
          <w:szCs w:val="32"/>
          <w:lang w:val="es-GT" w:eastAsia="es-PE"/>
        </w:rPr>
      </w:pPr>
      <w:r w:rsidRPr="00900852">
        <w:rPr>
          <w:rFonts w:cs="Times New Roman"/>
          <w:b/>
          <w:color w:val="000000"/>
          <w:sz w:val="32"/>
          <w:szCs w:val="32"/>
          <w:lang w:val="es-GT" w:eastAsia="es-PE"/>
        </w:rPr>
        <w:t xml:space="preserve">TAREA 2 - MODELO DE AMENAZAS</w:t>
      </w:r>
    </w:p>
    <w:p w14:paraId="712B12C2" w14:textId="6F9F1023" w:rsidR="003C64C8" w:rsidRPr="00900852" w:rsidRDefault="003C64C8" w:rsidP="00C13482">
      <w:pPr>
        <w:spacing w:after="5" w:line="248" w:lineRule="auto"/>
        <w:ind w:right="30" w:hanging="10"/>
        <w:jc w:val="center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1C7B8FB8" w14:textId="77777777" w:rsidR="003C64C8" w:rsidRPr="00900852" w:rsidRDefault="003C64C8" w:rsidP="00C13482">
      <w:pPr>
        <w:spacing w:after="0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4B454768" w14:textId="77777777" w:rsidR="003C64C8" w:rsidRPr="00900852" w:rsidRDefault="003C64C8" w:rsidP="00C13482">
      <w:pPr>
        <w:spacing w:after="0"/>
        <w:rPr>
          <w:rFonts w:cs="Times New Roman"/>
          <w:color w:val="000000"/>
          <w:lang w:val="es-GT" w:eastAsia="es-PE"/>
        </w:rPr>
      </w:pPr>
    </w:p>
    <w:p w14:paraId="3BD13826" w14:textId="43F42C0F" w:rsidR="003C64C8" w:rsidRPr="00900852" w:rsidRDefault="003C64C8" w:rsidP="00C13482">
      <w:pPr>
        <w:spacing w:after="0"/>
        <w:ind w:left="10" w:right="41" w:hanging="10"/>
        <w:jc w:val="center"/>
        <w:rPr>
          <w:rFonts w:cs="Times New Roman"/>
          <w:b/>
          <w:color w:val="000000"/>
          <w:sz w:val="36"/>
          <w:szCs w:val="36"/>
          <w:lang w:val="es-GT" w:eastAsia="es-PE"/>
        </w:rPr>
      </w:pPr>
      <w:r w:rsidRPr="00900852">
        <w:rPr>
          <w:rFonts w:cs="Times New Roman"/>
          <w:b/>
          <w:color w:val="000000"/>
          <w:sz w:val="36"/>
          <w:szCs w:val="36"/>
          <w:lang w:val="es-GT" w:eastAsia="es-PE"/>
        </w:rPr>
        <w:t xml:space="preserve">Modelo de amenazas de ParaBank con OWASP Threat Dragon</w:t>
      </w:r>
    </w:p>
    <w:p w14:paraId="6463DBB3" w14:textId="443B0B8C" w:rsidR="003C64C8" w:rsidRPr="00900852" w:rsidRDefault="003C64C8" w:rsidP="00C13482">
      <w:pPr>
        <w:spacing w:after="0"/>
        <w:ind w:left="10" w:right="38" w:hanging="10"/>
        <w:jc w:val="center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65F05052" w14:textId="77777777" w:rsidR="003C64C8" w:rsidRPr="00900852" w:rsidRDefault="003C64C8" w:rsidP="00C13482">
      <w:pPr>
        <w:spacing w:after="26"/>
        <w:rPr>
          <w:rFonts w:cs="Times New Roman"/>
          <w:color w:val="000000"/>
          <w:lang w:val="es-GT" w:eastAsia="es-PE"/>
        </w:rPr>
      </w:pPr>
    </w:p>
    <w:p w14:paraId="4F464204" w14:textId="77777777" w:rsidR="003C64C8" w:rsidRPr="00900852" w:rsidRDefault="003C64C8" w:rsidP="00C13482">
      <w:pPr>
        <w:spacing w:after="0"/>
        <w:ind w:left="10" w:right="38" w:hanging="10"/>
        <w:jc w:val="center"/>
        <w:rPr>
          <w:rFonts w:cs="Times New Roman"/>
          <w:b/>
          <w:color w:val="000000"/>
          <w:sz w:val="34"/>
          <w:szCs w:val="34"/>
          <w:lang w:val="es-GT" w:eastAsia="es-PE"/>
        </w:rPr>
      </w:pPr>
      <w:r w:rsidRPr="00900852">
        <w:rPr>
          <w:rFonts w:cs="Times New Roman"/>
          <w:b/>
          <w:color w:val="000000"/>
          <w:sz w:val="34"/>
          <w:szCs w:val="34"/>
          <w:lang w:val="es-GT" w:eastAsia="es-PE"/>
        </w:rPr>
        <w:t xml:space="preserve">Autor (es): </w:t>
      </w:r>
    </w:p>
    <w:p w14:paraId="555F6054" w14:textId="243E6DE6" w:rsidR="003C64C8" w:rsidRPr="00900852" w:rsidRDefault="003C64C8" w:rsidP="00C13482">
      <w:pPr>
        <w:spacing w:after="0"/>
        <w:ind w:left="10" w:right="38" w:hanging="10"/>
        <w:jc w:val="center"/>
        <w:rPr>
          <w:rFonts w:cs="Times New Roman"/>
          <w:b/>
          <w:color w:val="000000"/>
          <w:sz w:val="28"/>
          <w:szCs w:val="28"/>
          <w:lang w:val="es-GT" w:eastAsia="es-PE"/>
        </w:rPr>
      </w:pPr>
      <w:proofErr w:type="spellStart"/>
      <w:r w:rsidRPr="00900852">
        <w:rPr>
          <w:rFonts w:cs="Times New Roman"/>
          <w:b/>
          <w:color w:val="000000"/>
          <w:sz w:val="28"/>
          <w:szCs w:val="28"/>
          <w:lang w:val="es-GT" w:eastAsia="es-PE"/>
        </w:rPr>
        <w:t xml:space="preserve">Gerbert David García Loaiza - ggarcial17@miumg.edu.gt</w:t>
      </w:r>
    </w:p>
    <w:p w:rsidR="003C64C8" w:rsidRPr="00900852" w:rsidRDefault="003C64C8" w:rsidP="00C13482">
      <w:pPr>
        <w:spacing w:after="0"/>
        <w:ind w:left="10" w:right="38" w:hanging="10"/>
        <w:jc w:val="center"/>
        <w:rPr>
          <w:rFonts w:cs="Times New Roman"/>
          <w:b/>
          <w:color w:val="000000"/>
          <w:sz w:val="28"/>
          <w:szCs w:val="28"/>
          <w:lang w:val="es-GT" w:eastAsia="es-PE"/>
        </w:rPr>
      </w:pPr>
      <w:proofErr w:type="spellStart"/>
      <w:r w:rsidRPr="00900852">
        <w:rPr>
          <w:rFonts w:cs="Times New Roman"/>
          <w:b/>
          <w:color w:val="000000"/>
          <w:sz w:val="28"/>
          <w:szCs w:val="28"/>
          <w:lang w:val="es-GT" w:eastAsia="es-PE"/>
        </w:rPr>
        <w:t xml:space="preserve">Carné: 1293-21-11608</w:t>
      </w:r>
    </w:p>
    <w:p w14:paraId="46FF5E4B" w14:textId="2836C504" w:rsidR="003C64C8" w:rsidRPr="00900852" w:rsidRDefault="003C64C8" w:rsidP="00C13482">
      <w:pPr>
        <w:spacing w:after="5" w:line="248" w:lineRule="auto"/>
        <w:ind w:left="1265" w:right="30" w:hanging="10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4DD12CAD" w14:textId="77777777" w:rsidR="003C64C8" w:rsidRPr="00900852" w:rsidRDefault="003C64C8" w:rsidP="00C13482">
      <w:pPr>
        <w:spacing w:after="0"/>
        <w:ind w:left="10" w:right="34" w:hanging="10"/>
        <w:jc w:val="center"/>
        <w:rPr>
          <w:rFonts w:cs="Times New Roman"/>
          <w:b/>
          <w:color w:val="000000"/>
          <w:sz w:val="34"/>
          <w:szCs w:val="34"/>
          <w:lang w:val="es-GT" w:eastAsia="es-PE"/>
        </w:rPr>
      </w:pPr>
      <w:r w:rsidRPr="00900852">
        <w:rPr>
          <w:rFonts w:cs="Times New Roman"/>
          <w:b/>
          <w:color w:val="000000"/>
          <w:sz w:val="34"/>
          <w:szCs w:val="34"/>
          <w:lang w:val="es-GT" w:eastAsia="es-PE"/>
        </w:rPr>
        <w:t xml:space="preserve">Profesor </w:t>
      </w:r>
    </w:p>
    <w:p w14:paraId="6CABC2FC" w14:textId="5EB54309" w:rsidR="003C64C8" w:rsidRPr="00900852" w:rsidRDefault="003C64C8" w:rsidP="00C13482">
      <w:pPr>
        <w:spacing w:after="0"/>
        <w:ind w:left="10" w:right="33" w:hanging="10"/>
        <w:jc w:val="center"/>
        <w:rPr>
          <w:rFonts w:cs="Times New Roman"/>
          <w:b/>
          <w:color w:val="000000"/>
          <w:sz w:val="34"/>
          <w:szCs w:val="34"/>
          <w:lang w:val="es-GT" w:eastAsia="es-PE"/>
        </w:rPr>
      </w:pPr>
      <w:r w:rsidRPr="00900852">
        <w:rPr>
          <w:rFonts w:cs="Times New Roman"/>
          <w:b/>
          <w:color w:val="000000"/>
          <w:sz w:val="34"/>
          <w:szCs w:val="34"/>
          <w:lang w:val="es-GT" w:eastAsia="es-PE"/>
        </w:rPr>
        <w:t xml:space="preserve">Ing. Mario Roberto López Sajquin</w:t>
      </w:r>
    </w:p>
    <w:p w14:paraId="14642B18" w14:textId="5830E50C" w:rsidR="003C64C8" w:rsidRPr="00900852" w:rsidRDefault="003C64C8" w:rsidP="00C13482">
      <w:pPr>
        <w:spacing w:after="5" w:line="248" w:lineRule="auto"/>
        <w:ind w:left="1236" w:right="30" w:hanging="10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 </w:t>
      </w:r>
    </w:p>
    <w:p w14:paraId="61D600C6" w14:textId="77777777" w:rsidR="003C64C8" w:rsidRPr="00900852" w:rsidRDefault="003C64C8" w:rsidP="00C13482">
      <w:pPr>
        <w:spacing w:after="0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69E88996" w14:textId="77777777" w:rsidR="003C64C8" w:rsidRPr="00900852" w:rsidRDefault="003C64C8" w:rsidP="00C13482">
      <w:pPr>
        <w:spacing w:after="0"/>
        <w:ind w:left="21"/>
        <w:jc w:val="center"/>
        <w:rPr>
          <w:rFonts w:cs="Times New Roman"/>
          <w:color w:val="000000"/>
          <w:lang w:val="es-GT" w:eastAsia="es-PE"/>
        </w:rPr>
      </w:pPr>
    </w:p>
    <w:p w14:paraId="18F341A5" w14:textId="77777777" w:rsidR="003C64C8" w:rsidRPr="00900852" w:rsidRDefault="003C64C8" w:rsidP="00C13482">
      <w:pPr>
        <w:spacing w:after="0"/>
        <w:ind w:left="10" w:right="38" w:hanging="10"/>
        <w:jc w:val="center"/>
        <w:rPr>
          <w:rFonts w:cs="Times New Roman"/>
          <w:b/>
          <w:color w:val="000000"/>
          <w:sz w:val="32"/>
          <w:szCs w:val="32"/>
          <w:lang w:val="es-GT" w:eastAsia="es-PE"/>
        </w:rPr>
      </w:pPr>
      <w:r w:rsidRPr="00900852">
        <w:rPr>
          <w:rFonts w:cs="Times New Roman"/>
          <w:b/>
          <w:color w:val="000000"/>
          <w:sz w:val="32"/>
          <w:szCs w:val="32"/>
          <w:lang w:val="es-GT" w:eastAsia="es-PE"/>
        </w:rPr>
        <w:t>Curso</w:t>
      </w:r>
    </w:p>
    <w:p w14:paraId="472A1DF9" w14:textId="398B03B4" w:rsidR="003C64C8" w:rsidRPr="00900852" w:rsidRDefault="003C64C8" w:rsidP="00C13482">
      <w:pPr>
        <w:spacing w:after="5" w:line="248" w:lineRule="auto"/>
        <w:ind w:right="30" w:hanging="10"/>
        <w:jc w:val="center"/>
        <w:rPr>
          <w:rFonts w:cs="Times New Roman"/>
          <w:b/>
          <w:color w:val="000000"/>
          <w:sz w:val="32"/>
          <w:szCs w:val="32"/>
          <w:lang w:val="es-GT" w:eastAsia="es-PE"/>
        </w:rPr>
      </w:pPr>
      <w:r w:rsidRPr="00900852">
        <w:rPr>
          <w:rFonts w:cs="Times New Roman"/>
          <w:b/>
          <w:color w:val="000000"/>
          <w:sz w:val="32"/>
          <w:szCs w:val="32"/>
          <w:lang w:val="es-GT" w:eastAsia="es-PE"/>
        </w:rPr>
        <w:t xml:space="preserve">SEGURIDAD EN APLICACIONES - 42026-1293-013-E</w:t>
      </w:r>
    </w:p>
    <w:p w14:paraId="35CCBACA" w14:textId="66CFD8D8" w:rsidR="003C64C8" w:rsidRPr="00900852" w:rsidRDefault="003C64C8" w:rsidP="00C13482">
      <w:pPr>
        <w:spacing w:after="5" w:line="248" w:lineRule="auto"/>
        <w:ind w:left="1265" w:right="30" w:hanging="10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0A26AF5A" w14:textId="77777777" w:rsidR="003C64C8" w:rsidRPr="00900852" w:rsidRDefault="003C64C8" w:rsidP="00C13482">
      <w:pPr>
        <w:spacing w:after="0"/>
        <w:ind w:left="21"/>
        <w:jc w:val="center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0921CC9E" w14:textId="77777777" w:rsidR="003C64C8" w:rsidRPr="00900852" w:rsidRDefault="003C64C8" w:rsidP="00C13482">
      <w:pPr>
        <w:spacing w:after="0"/>
        <w:rPr>
          <w:rFonts w:cs="Times New Roman"/>
          <w:color w:val="000000"/>
          <w:lang w:val="es-GT" w:eastAsia="es-PE"/>
        </w:rPr>
      </w:pPr>
    </w:p>
    <w:p w14:paraId="70B3705C" w14:textId="6C1F436B" w:rsidR="003C64C8" w:rsidRPr="00900852" w:rsidRDefault="003C64C8" w:rsidP="00C13482">
      <w:pPr>
        <w:spacing w:after="0"/>
        <w:ind w:left="10" w:right="37" w:hanging="10"/>
        <w:jc w:val="center"/>
        <w:rPr>
          <w:rFonts w:cs="Times New Roman"/>
          <w:b/>
          <w:color w:val="000000"/>
          <w:sz w:val="28"/>
          <w:szCs w:val="28"/>
          <w:lang w:val="es-GT" w:eastAsia="es-PE"/>
        </w:rPr>
      </w:pPr>
      <w:r w:rsidRPr="00900852">
        <w:rPr>
          <w:rFonts w:cs="Times New Roman"/>
          <w:b/>
          <w:color w:val="000000"/>
          <w:sz w:val="28"/>
          <w:szCs w:val="28"/>
          <w:lang w:val="es-GT" w:eastAsia="es-PE"/>
        </w:rPr>
        <w:t xml:space="preserve">Guatemala, octubre de 2026</w:t>
      </w:r>
    </w:p>
    <w:p w14:paraId="2EEA64A5" w14:textId="4EBECE5A" w:rsidR="003C64C8" w:rsidRPr="00900852" w:rsidRDefault="003C64C8" w:rsidP="00C13482">
      <w:pPr>
        <w:spacing w:after="5" w:line="248" w:lineRule="auto"/>
        <w:ind w:left="1268" w:right="30" w:hanging="10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76668F41" w14:textId="77777777" w:rsidR="005F209D" w:rsidRPr="00900852" w:rsidRDefault="003C64C8">
      <w:pPr>
        <w:jc w:val="center"/>
        <w:rPr>
          <w:lang w:val="es-GT"/>
        </w:rPr>
      </w:pPr>
      <w:r w:rsidRPr="00900852">
        <w:rPr>
          <w:b/>
          <w:lang w:val="es-GT"/>
        </w:rPr>
        <w:t>Tabla de Contenido</w:t>
      </w:r>
    </w:p>
    <w:p>
      <w:pPr>
        <w:pStyle w:val="TDC1"/>
        <w:tabs>
          <w:tab w:val="right" w:leader="dot" w:pos="9396"/>
        </w:tabs>
        <w:rPr>
          <w:noProof/>
        </w:rPr>
      </w:pPr>
      <w:r>
        <w:fldChar w:fldCharType="begin"/>
      </w:r>
      <w:r>
        <w:instrText xml:space="preserve">TOC \o "1-2" \h \z \u</w:instrText>
      </w:r>
      <w:r>
        <w:fldChar w:fldCharType="separate"/>
      </w:r>
      <w:hyperlink w:anchor="_Toc900101" w:history="1">
        <w:r>
          <w:rPr>
            <w:rStyle w:val="Hipervnculo"/>
            <w:b/>
            <w:noProof/>
          </w:rPr>
          <w:t xml:space="preserve">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rPr>
          <w:noProof/>
        </w:rPr>
      </w:pPr>
      <w:hyperlink w:anchor="_Toc900102" w:history="1">
        <w:r>
          <w:rPr>
            <w:rStyle w:val="Hipervnculo"/>
            <w:b/>
            <w:noProof/>
          </w:rPr>
          <w:t xml:space="preserve">1. Alcance, fuentes y supuestos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rPr>
          <w:noProof/>
        </w:rPr>
      </w:pPr>
      <w:hyperlink w:anchor="_Toc900103" w:history="1">
        <w:r>
          <w:rPr>
            <w:rStyle w:val="Hipervnculo"/>
            <w:b/>
            <w:noProof/>
          </w:rPr>
          <w:t xml:space="preserve">2. Levantamiento de arquitectura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04" w:history="1">
        <w:r>
          <w:rPr>
            <w:rStyle w:val="Hipervnculo"/>
            <w:noProof/>
          </w:rPr>
          <w:t xml:space="preserve">2.1 Inventario de componentes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05" w:history="1">
        <w:r>
          <w:rPr>
            <w:rStyle w:val="Hipervnculo"/>
            <w:noProof/>
          </w:rPr>
          <w:t xml:space="preserve">2.2 Inventario de activos de información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06" w:history="1">
        <w:r>
          <w:rPr>
            <w:rStyle w:val="Hipervnculo"/>
            <w:noProof/>
          </w:rPr>
          <w:t xml:space="preserve">2.3 Clasificación de flujos por criticidad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rPr>
          <w:noProof/>
        </w:rPr>
      </w:pPr>
      <w:hyperlink w:anchor="_Toc900107" w:history="1">
        <w:r>
          <w:rPr>
            <w:rStyle w:val="Hipervnculo"/>
            <w:b/>
            <w:noProof/>
          </w:rPr>
          <w:t xml:space="preserve">3. Diagramas de flujo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08" w:history="1">
        <w:r>
          <w:rPr>
            <w:rStyle w:val="Hipervnculo"/>
            <w:noProof/>
          </w:rPr>
          <w:t xml:space="preserve">3.1 Nivel 0: contexto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09" w:history="1">
        <w:r>
          <w:rPr>
            <w:rStyle w:val="Hipervnculo"/>
            <w:noProof/>
          </w:rPr>
          <w:t xml:space="preserve">3.2 Nivel 1: procesos, almacenes y fronteras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10" w:history="1">
        <w:r>
          <w:rPr>
            <w:rStyle w:val="Hipervnculo"/>
            <w:noProof/>
          </w:rPr>
          <w:t xml:space="preserve">3.3 Nivel 2: API de servicios y procesador de préstamos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11" w:history="1">
        <w:r>
          <w:rPr>
            <w:rStyle w:val="Hipervnculo"/>
            <w:noProof/>
          </w:rPr>
          <w:t xml:space="preserve">3.4 Fronteras de confianza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rPr>
          <w:noProof/>
        </w:rPr>
      </w:pPr>
      <w:hyperlink w:anchor="_Toc900112" w:history="1">
        <w:r>
          <w:rPr>
            <w:rStyle w:val="Hipervnculo"/>
            <w:b/>
            <w:noProof/>
          </w:rPr>
          <w:t xml:space="preserve">4. Análisis de amenazas con STRIDE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13" w:history="1">
        <w:r>
          <w:rPr>
            <w:rStyle w:val="Hipervnculo"/>
            <w:noProof/>
          </w:rPr>
          <w:t xml:space="preserve">4.1 Matriz STRIDE consolidada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14" w:history="1">
        <w:r>
          <w:rPr>
            <w:rStyle w:val="Hipervnculo"/>
            <w:noProof/>
          </w:rPr>
          <w:t xml:space="preserve">4.2 Inventario de amenazas y descripción técnica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15" w:history="1">
        <w:r>
          <w:rPr>
            <w:rStyle w:val="Hipervnculo"/>
            <w:noProof/>
          </w:rPr>
          <w:t xml:space="preserve">4.3 Registro de validación técnica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rPr>
          <w:noProof/>
        </w:rPr>
      </w:pPr>
      <w:hyperlink w:anchor="_Toc900116" w:history="1">
        <w:r>
          <w:rPr>
            <w:rStyle w:val="Hipervnculo"/>
            <w:b/>
            <w:noProof/>
          </w:rPr>
          <w:t xml:space="preserve">5. Priorización de riesgos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17" w:history="1">
        <w:r>
          <w:rPr>
            <w:rStyle w:val="Hipervnculo"/>
            <w:noProof/>
          </w:rPr>
          <w:t xml:space="preserve">5.1 Matriz de riesgos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18" w:history="1">
        <w:r>
          <w:rPr>
            <w:rStyle w:val="Hipervnculo"/>
            <w:noProof/>
          </w:rPr>
          <w:t xml:space="preserve">5.2 Top 10 de hallazgos prioritarios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19" w:history="1">
        <w:r>
          <w:rPr>
            <w:rStyle w:val="Hipervnculo"/>
            <w:noProof/>
          </w:rPr>
          <w:t xml:space="preserve">5.3 Tratamiento del riesgo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rPr>
          <w:noProof/>
        </w:rPr>
      </w:pPr>
      <w:hyperlink w:anchor="_Toc900120" w:history="1">
        <w:r>
          <w:rPr>
            <w:rStyle w:val="Hipervnculo"/>
            <w:b/>
            <w:noProof/>
          </w:rPr>
          <w:t xml:space="preserve">6. Casos de abuso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_Toc900120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21" w:history="1">
        <w:r>
          <w:rPr>
            <w:rStyle w:val="Hipervnculo"/>
            <w:noProof/>
          </w:rPr>
          <w:t xml:space="preserve">6.1 Árbol de ataque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_Toc900121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rPr>
          <w:noProof/>
        </w:rPr>
      </w:pPr>
      <w:hyperlink w:anchor="_Toc900122" w:history="1">
        <w:r>
          <w:rPr>
            <w:rStyle w:val="Hipervnculo"/>
            <w:b/>
            <w:noProof/>
          </w:rPr>
          <w:t xml:space="preserve">7. Controles de 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_Toc900122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rPr>
          <w:noProof/>
        </w:rPr>
      </w:pPr>
      <w:hyperlink w:anchor="_Toc900123" w:history="1">
        <w:r>
          <w:rPr>
            <w:rStyle w:val="Hipervnculo"/>
            <w:b/>
            <w:noProof/>
          </w:rPr>
          <w:t xml:space="preserve">8. Matriz de riesgos y remediación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_Toc900123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rPr>
          <w:noProof/>
        </w:rPr>
      </w:pPr>
      <w:hyperlink w:anchor="_Toc900124" w:history="1">
        <w:r>
          <w:rPr>
            <w:rStyle w:val="Hipervnculo"/>
            <w:b/>
            <w:noProof/>
          </w:rPr>
          <w:t xml:space="preserve">9. Roadmap de mejoras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_Toc900124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rPr>
          <w:noProof/>
        </w:rPr>
      </w:pPr>
      <w:hyperlink w:anchor="_Toc900125" w:history="1">
        <w:r>
          <w:rPr>
            <w:rStyle w:val="Hipervnculo"/>
            <w:b/>
            <w:noProof/>
          </w:rPr>
          <w:t xml:space="preserve">Conclusión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_Toc900125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rPr>
          <w:noProof/>
        </w:rPr>
      </w:pPr>
      <w:hyperlink w:anchor="_Toc900126" w:history="1">
        <w:r>
          <w:rPr>
            <w:rStyle w:val="Hipervnculo"/>
            <w:b/>
            <w:noProof/>
          </w:rPr>
          <w:t xml:space="preserve">Referencias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_Toc900126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  <w:r>
        <w:fldChar w:fldCharType="end"/>
      </w:r>
    </w:p>
    <w:p>
      <w:pPr>
        <w:keepNext/>
        <w:pageBreakBefore/>
        <w:spacing w:before="120"/>
        <w:jc w:val="center"/>
        <w:outlineLvl w:val="0"/>
        <w:rPr>
          <w:lang w:val="es-GT"/>
        </w:rPr>
      </w:pPr>
      <w:bookmarkStart w:id="101" w:name="_Toc900101"/>
      <w:r>
        <w:rPr>
          <w:b/>
          <w:lang w:val="es-GT"/>
        </w:rPr>
        <w:t xml:space="preserve">Introducción</w:t>
      </w:r>
      <w:bookmarkEnd w:id="101"/>
    </w:p>
    <w:p>
      <w:pPr>
        <w:ind w:firstLine="720"/>
        <w:rPr>
          <w:lang w:val="es-GT"/>
        </w:rPr>
      </w:pPr>
      <w:r>
        <w:rPr>
          <w:lang w:val="es-GT"/>
        </w:rPr>
        <w:t xml:space="preserve">Este informe presenta el modelo de amenazas de ParaBank (la aplicación bancaria demo de Parasoft) desarrollado utilizando OWASP Threat Dragon, conforme a lo requerido en la Tarea 2 del curso. El análisis se adhiere a la lógica de la seguridad desde el diseño (shift-left): identificación de fallos potenciales antes de la producción, cuando la corrección cuesta menos.</w:t>
      </w:r>
    </w:p>
    <w:p>
      <w:pPr>
        <w:ind w:firstLine="720"/>
        <w:rPr>
          <w:lang w:val="es-GT"/>
        </w:rPr>
      </w:pPr>
      <w:r>
        <w:rPr>
          <w:lang w:val="es-GT"/>
        </w:rPr>
        <w:t xml:space="preserve">Se elaboraron esquemas de flujo de datos de niveles 0, 1 y 2, se implementó la metodología STRIDE sobre cada elemento y se otorgó prioridad a los riesgos en función de su impacto y probabilidad. En total, se identificaron 23 amenazas: 5 de carácter crítico, 8 de grado alto, 9 de grado medio y 1 de grado bajo. Para las situaciones de críticas y altas, se registran casos de abuso, se implementan controles preventivos, se implementan medidas detectivas y correctivas, y se establece un plan de remediación a 12 meses.</w:t>
      </w:r>
    </w:p>
    <w:p>
      <w:pPr>
        <w:ind w:firstLine="720"/>
        <w:rPr>
          <w:lang w:val="es-GT"/>
        </w:rPr>
      </w:pPr>
      <w:r>
        <w:rPr>
          <w:lang w:val="es-GT"/>
        </w:rPr>
        <w:t xml:space="preserve">ParaBank constituye una aplicación de carácter vulnerable, concebida para la realización de pruebas. Los descubrimientos se manifiestan como si se tratara de una institución bancaria auténtica para implementar el método; no constituyen una evaluación crítica de un producto productivo.</w:t>
      </w:r>
    </w:p>
    <w:p>
      <w:pPr>
        <w:keepNext/>
        <w:spacing w:before="120"/>
        <w:jc w:val="center"/>
        <w:outlineLvl w:val="0"/>
        <w:rPr>
          <w:lang w:val="es-GT"/>
        </w:rPr>
      </w:pPr>
      <w:bookmarkStart w:id="102" w:name="_Toc900102"/>
      <w:r>
        <w:rPr>
          <w:b/>
          <w:lang w:val="es-GT"/>
        </w:rPr>
        <w:t xml:space="preserve">1. Alcance, fuentes y supuestos</w:t>
      </w:r>
      <w:bookmarkEnd w:id="102"/>
    </w:p>
    <w:p>
      <w:pPr>
        <w:ind w:firstLine="720"/>
        <w:rPr>
          <w:lang w:val="es-GT"/>
        </w:rPr>
      </w:pPr>
      <w:r>
        <w:rPr>
          <w:b/>
          <w:lang w:val="es-GT"/>
        </w:rPr>
        <w:t xml:space="preserve">Sistema evaluado.</w:t>
      </w:r>
      <w:r>
        <w:rPr>
          <w:lang w:val="es-GT"/>
        </w:rPr>
        <w:t xml:space="preserve"> ParaBank, a través de sus módulos de banca digital, ofrece servicios de autenticación, creación de cuentas, transferencias, pago de facturas, préstamos, gestión, servicios SOAP/REST, bases de datos y mensajería. El módulo auxiliar denominado Bookstore se encuentra fuera del alcance debido a su no integración en el flujo bancario.</w:t>
      </w:r>
    </w:p>
    <w:p>
      <w:pPr>
        <w:ind w:firstLine="720"/>
        <w:rPr>
          <w:lang w:val="es-GT"/>
        </w:rPr>
      </w:pPr>
      <w:r>
        <w:rPr>
          <w:b/>
          <w:lang w:val="es-GT"/>
        </w:rPr>
        <w:t xml:space="preserve">Fuente de la arquitectura.</w:t>
      </w:r>
      <w:r>
        <w:rPr>
          <w:lang w:val="es-GT"/>
        </w:rPr>
        <w:t xml:space="preserve"> El código público del proyecto, publicado por Parasoft en 2026, el commit 13cc8d4c y su correspondiente archivo README. Durante el periodo laboral, la documentación en línea de Parasoft no se encontraba accesible, por lo que el análisis se fundamenta en el código fuente.</w:t>
      </w:r>
    </w:p>
    <w:p>
      <w:pPr>
        <w:ind w:firstLine="720"/>
        <w:rPr>
          <w:lang w:val="es-GT"/>
        </w:rPr>
      </w:pPr>
      <w:r>
        <w:rPr>
          <w:b/>
          <w:lang w:val="es-GT"/>
        </w:rPr>
        <w:t xml:space="preserve">Criterio de evidencia.</w:t>
      </w:r>
      <w:r>
        <w:rPr>
          <w:lang w:val="es-GT"/>
        </w:rPr>
        <w:t xml:space="preserve"> Cada amenaza señala si está corroborada en el código o si se trata de una hipótesis que requiere validación. Una hipótesis se refiere a un riesgo plausible que no pudo ser verificado mediante la lectura del código, como el control de propiedad de los recursos en la interfaz de programación de aplicaciones (API).</w:t>
      </w:r>
    </w:p>
    <w:p>
      <w:pPr>
        <w:ind w:firstLine="720"/>
        <w:rPr>
          <w:lang w:val="es-GT"/>
        </w:rPr>
      </w:pPr>
      <w:r>
        <w:rPr>
          <w:b/>
          <w:lang w:val="es-GT"/>
        </w:rPr>
        <w:t xml:space="preserve">Supuestos de despliegue.</w:t>
      </w:r>
      <w:r>
        <w:rPr>
          <w:lang w:val="es-GT"/>
        </w:rPr>
        <w:t xml:space="preserve"> Tomcat opera con la configuración preestablecida del README (HTTP, sin TLS finalizado en la aplicación), HyperSQL se encuentra en el puerto TCP 9001 y ActiveMQ se encuentra en TCP 61616. Si se emplea TLS o segmentación de red en el despliegue real, la probabilidad de varias amenazas disminuye.</w:t>
      </w:r>
    </w:p>
    <w:p>
      <w:pPr>
        <w:ind w:firstLine="720"/>
        <w:rPr>
          <w:lang w:val="es-GT"/>
        </w:rPr>
      </w:pPr>
      <w:r>
        <w:rPr>
          <w:b/>
          <w:lang w:val="es-GT"/>
        </w:rPr>
        <w:t xml:space="preserve">Validación pendiente.</w:t>
      </w:r>
      <w:r>
        <w:rPr>
          <w:lang w:val="es-GT"/>
        </w:rPr>
        <w:t xml:space="preserve"> La tarea solicita validar las amenazas con los equipos de Arquitectura y Desarrollo. En este contexto, únicamente se realizó un contraste con el código fuente; las hipótesis deben ser corroboradas mediante pruebas autorizadas en un entorno propio.</w:t>
      </w:r>
    </w:p>
    <w:p>
      <w:pPr>
        <w:keepNext/>
        <w:spacing w:before="120"/>
        <w:jc w:val="center"/>
        <w:outlineLvl w:val="0"/>
        <w:rPr>
          <w:lang w:val="es-GT"/>
        </w:rPr>
      </w:pPr>
      <w:bookmarkStart w:id="103" w:name="_Toc900103"/>
      <w:r>
        <w:rPr>
          <w:b/>
          <w:lang w:val="es-GT"/>
        </w:rPr>
        <w:t xml:space="preserve">2. Levantamiento de arquitectura</w:t>
      </w:r>
      <w:bookmarkEnd w:id="103"/>
    </w:p>
    <w:p>
      <w:pPr>
        <w:keepNext/>
        <w:spacing w:before="120"/>
        <w:jc w:val="left"/>
        <w:outlineLvl w:val="1"/>
        <w:rPr>
          <w:lang w:val="es-GT"/>
        </w:rPr>
      </w:pPr>
      <w:bookmarkStart w:id="104" w:name="_Toc900104"/>
      <w:r>
        <w:rPr>
          <w:b/>
          <w:lang w:val="es-GT"/>
        </w:rPr>
        <w:t xml:space="preserve">2.1 Inventario de componentes</w:t>
      </w:r>
      <w:bookmarkEnd w:id="104"/>
    </w:p>
    <w:p>
      <w:pPr>
        <w:ind w:firstLine="720"/>
        <w:rPr>
          <w:lang w:val="es-GT"/>
        </w:rPr>
      </w:pPr>
      <w:r>
        <w:rPr>
          <w:lang w:val="es-GT"/>
        </w:rPr>
        <w:t xml:space="preserve">ParaBank es una aplicación desarrollada en Java e implementada en Apache Tomcat. La interfaz web se implementa mediante Spring MVC, mientras que los servicios SOAP y REST se publican utilizando Apache CXF. Ambos recurren a la misma lógica de negocio, cuyos datos se almacenan en HyperSQL y que utiliza ActiveMQ para el procesamiento de préstamos.</w:t>
      </w:r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Tabla 1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Inventario de componentes de ParaBank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700"/>
        <w:gridCol w:w="1100"/>
        <w:gridCol w:w="2000"/>
        <w:gridCol w:w="3106"/>
        <w:gridCol w:w="2500"/>
      </w:tblGrid>
      <w:tr>
        <w:trPr>
          <w:cantSplit/>
          <w:tblHeader/>
        </w:trPr>
        <w:tc>
          <w:tcPr>
            <w:tcW w:w="7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ID</w:t>
            </w:r>
          </w:p>
        </w:tc>
        <w:tc>
          <w:tcPr>
            <w:tcW w:w="11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Tipo</w:t>
            </w:r>
          </w:p>
        </w:tc>
        <w:tc>
          <w:tcPr>
            <w:tcW w:w="20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Componente</w:t>
            </w:r>
          </w:p>
        </w:tc>
        <w:tc>
          <w:tcPr>
            <w:tcW w:w="310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Función</w:t>
            </w:r>
          </w:p>
        </w:tc>
        <w:tc>
          <w:tcPr>
            <w:tcW w:w="25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Tecnología o archivo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P_web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Proceso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Interfaz web (Spring MVC + JSP)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Páginas *.htm; usa LoginInterceptor para las páginas protegidas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DispatcherServlet, parabank-servlet.xml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P_api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Proceso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Servicios SOAP/REST (Apache CXF)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Endpoints /services/* (JAX-WS y JAX-RS) y /services_proxy/*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CXFServlet, cxf.xml, ParaBankService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P_bl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Proceso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Lógica de negocio y DAO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BankManager, AdminManager y capa DAO JDBC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domain.logic, dao.jdbc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P_loan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Proceso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Procesador de préstamos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LoanProcessor con umbral configurable y listener JMS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AbstractLoanProcessor, JmsLoanProcessor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P_admin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Proceso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Administración y utilidades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admin.htm, db.htm, initializeDB.htm, jms.htm y operaciones de mantenimiento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AdminController, JmsListenerController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D_db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Almacén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Base de datos HyperSQL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Tablas Customer, Account, Transaction, Positions, Parameter, News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jdbc:hsqldb:hsql://localhost/parabank (9001)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D_mq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Almacén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Broker ActiveMQ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Colas de solicitud y respuesta de préstamos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applicationContext-jms.xml (61616)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D_log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Almacén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Bitácoras (log4j2)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Registros de la aplicación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log4j2.xml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E_cli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Entidad externa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Cliente (navegador web)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Usuario final que opera su banca en línea desde un navegador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Navegador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E_adm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Entidad externa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Administrador / operador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Persona que configura la demo: parámetros, base de datos, JMS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Navegador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E_int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Entidad externa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Sistema integrador (cliente API)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Aplicación externa que consume los servicios SOAP/REST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HTTP SOAP/REST</w:t>
            </w:r>
          </w:p>
        </w:tc>
      </w:tr>
      <w:tr>
        <w:trPr>
          <w:cantSplit/>
        </w:trPr>
        <w:tc>
          <w:tcPr>
            <w:tcW w:w="7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E_prov</w:t>
            </w:r>
          </w:p>
        </w:tc>
        <w:tc>
          <w:tcPr>
            <w:tcW w:w="11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Entidad externa</w:t>
            </w:r>
          </w:p>
        </w:tc>
        <w:tc>
          <w:tcPr>
            <w:tcW w:w="20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Proveedor externo de préstamos</w:t>
            </w:r>
          </w:p>
        </w:tc>
        <w:tc>
          <w:tcPr>
            <w:tcW w:w="3106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Sistema que aprueba o rechaza solicitudes de préstamo (WS/JMS)</w:t>
            </w:r>
          </w:p>
        </w:tc>
        <w:tc>
          <w:tcPr>
            <w:tcW w:w="25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ConfigurableLoanProvider</w:t>
            </w:r>
          </w:p>
        </w:tc>
      </w:tr>
    </w:tbl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Elaboración propia con base en el código de ParaBank (Parasoft, 2026).</w:t>
      </w:r>
    </w:p>
    <w:p>
      <w:pPr>
        <w:keepNext/>
        <w:spacing w:before="120"/>
        <w:jc w:val="left"/>
        <w:outlineLvl w:val="1"/>
        <w:rPr>
          <w:lang w:val="es-GT"/>
        </w:rPr>
      </w:pPr>
      <w:bookmarkStart w:id="105" w:name="_Toc900105"/>
      <w:r>
        <w:rPr>
          <w:b/>
          <w:lang w:val="es-GT"/>
        </w:rPr>
        <w:t xml:space="preserve">2.2 Inventario de activos de información</w:t>
      </w:r>
      <w:bookmarkEnd w:id="105"/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Tabla 2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Activos de información y su clasificación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2500"/>
        <w:gridCol w:w="2500"/>
        <w:gridCol w:w="1300"/>
        <w:gridCol w:w="3106"/>
      </w:tblGrid>
      <w:tr>
        <w:trPr>
          <w:cantSplit/>
          <w:tblHeader/>
        </w:trPr>
        <w:tc>
          <w:tcPr>
            <w:tcW w:w="25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Activo</w:t>
            </w:r>
          </w:p>
        </w:tc>
        <w:tc>
          <w:tcPr>
            <w:tcW w:w="25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Ubicación</w:t>
            </w:r>
          </w:p>
        </w:tc>
        <w:tc>
          <w:tcPr>
            <w:tcW w:w="13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Clasificación</w:t>
            </w:r>
          </w:p>
        </w:tc>
        <w:tc>
          <w:tcPr>
            <w:tcW w:w="310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Justificación</w:t>
            </w:r>
          </w:p>
        </w:tc>
      </w:tr>
      <w:tr>
        <w:trPr>
          <w:cantSplit/>
        </w:trPr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Credenciales (usuario y contraseña)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Tabla Customer, formularios y ruta de login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Permiten tomar cuentas bancarias</w:t>
            </w:r>
          </w:p>
        </w:tc>
      </w:tr>
      <w:tr>
        <w:trPr>
          <w:cantSplit/>
        </w:trPr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SSN y datos personales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Tabla Customer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Habilitan la suplantación de identidad</w:t>
            </w:r>
          </w:p>
        </w:tc>
      </w:tr>
      <w:tr>
        <w:trPr>
          <w:cantSplit/>
        </w:trPr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Saldos, cuentas y transacciones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Tablas Account y Transaction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Integridad financiera</w:t>
            </w:r>
          </w:p>
        </w:tc>
      </w:tr>
      <w:tr>
        <w:trPr>
          <w:cantSplit/>
        </w:trPr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Sesión del cliente (JSESSIONID)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Cookie del navegador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Su robo equivale a suplantar al cliente</w:t>
            </w:r>
          </w:p>
        </w:tc>
      </w:tr>
      <w:tr>
        <w:trPr>
          <w:cantSplit/>
        </w:trPr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Parámetros de configuración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Tabla Parameter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Alteran reglas de negocio, como el umbral de préstamos</w:t>
            </w:r>
          </w:p>
        </w:tc>
      </w:tr>
      <w:tr>
        <w:trPr>
          <w:cantSplit/>
        </w:trPr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Solicitudes y respuestas de préstamo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Colas de ActiveMQ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Contienen decisiones crediticias</w:t>
            </w:r>
          </w:p>
        </w:tc>
      </w:tr>
      <w:tr>
        <w:trPr>
          <w:cantSplit/>
        </w:trPr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Bitácoras de la aplicación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log4j2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Medio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Evidencia para auditoría</w:t>
            </w:r>
          </w:p>
        </w:tc>
      </w:tr>
      <w:tr>
        <w:trPr>
          <w:cantSplit/>
        </w:trPr>
        <w:tc>
          <w:tcPr>
            <w:tcW w:w="25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Noticias y contenido público</w:t>
            </w:r>
          </w:p>
        </w:tc>
        <w:tc>
          <w:tcPr>
            <w:tcW w:w="25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Tabla News</w:t>
            </w:r>
          </w:p>
        </w:tc>
        <w:tc>
          <w:tcPr>
            <w:tcW w:w="13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Bajo</w:t>
            </w:r>
          </w:p>
        </w:tc>
        <w:tc>
          <w:tcPr>
            <w:tcW w:w="3106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Información pública</w:t>
            </w:r>
          </w:p>
        </w:tc>
      </w:tr>
    </w:tbl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Elaboración propia.</w:t>
      </w:r>
    </w:p>
    <w:p>
      <w:pPr>
        <w:keepNext/>
        <w:spacing w:before="120"/>
        <w:jc w:val="left"/>
        <w:outlineLvl w:val="1"/>
        <w:rPr>
          <w:lang w:val="es-GT"/>
        </w:rPr>
      </w:pPr>
      <w:bookmarkStart w:id="106" w:name="_Toc900106"/>
      <w:r>
        <w:rPr>
          <w:b/>
          <w:lang w:val="es-GT"/>
        </w:rPr>
        <w:t xml:space="preserve">2.3 Clasificación de flujos por criticidad</w:t>
      </w:r>
      <w:bookmarkEnd w:id="106"/>
    </w:p>
    <w:p>
      <w:pPr>
        <w:ind w:firstLine="720"/>
        <w:rPr>
          <w:lang w:val="es-GT"/>
        </w:rPr>
      </w:pPr>
      <w:r>
        <w:rPr>
          <w:lang w:val="es-GT"/>
        </w:rPr>
        <w:t xml:space="preserve">La Tabla 3 categoriza los flujos de información y documenta las características de confidencialidad e integridad establecidas en Threat Dragon. Los flujos que emplean HTTP, JDBC o JMS sobre TCP se identificaron sin cifrado debido a su representación del despliegue por defecto; de esta manera, el motor de reglas no oculta amenazas reales. Se identificaron como protegidos los flujos internos dentro de la misma JVM.</w:t>
      </w:r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Tabla 3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Flujos de datos, propiedades y criticidad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700"/>
        <w:gridCol w:w="4000"/>
        <w:gridCol w:w="1400"/>
        <w:gridCol w:w="1100"/>
        <w:gridCol w:w="900"/>
        <w:gridCol w:w="1306"/>
      </w:tblGrid>
      <w:tr>
        <w:trPr>
          <w:cantSplit/>
          <w:tblHeader/>
        </w:trPr>
        <w:tc>
          <w:tcPr>
            <w:tcW w:w="7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Flujo</w:t>
            </w:r>
          </w:p>
        </w:tc>
        <w:tc>
          <w:tcPr>
            <w:tcW w:w="40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Origen → Destino</w:t>
            </w:r>
          </w:p>
        </w:tc>
        <w:tc>
          <w:tcPr>
            <w:tcW w:w="14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Protocolo</w:t>
            </w:r>
          </w:p>
        </w:tc>
        <w:tc>
          <w:tcPr>
            <w:tcW w:w="11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Conf./Integ.</w:t>
            </w:r>
          </w:p>
        </w:tc>
        <w:tc>
          <w:tcPr>
            <w:tcW w:w="9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Frontera</w:t>
            </w:r>
          </w:p>
        </w:tc>
        <w:tc>
          <w:tcPr>
            <w:tcW w:w="130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Criticidad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F01</w:t>
            </w:r>
          </w:p>
        </w:tc>
        <w:tc>
          <w:tcPr>
            <w:tcW w:w="4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Cliente (navegador web) → Interfaz web (Spring MVC + JSP)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HTTP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No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TB1</w:t>
            </w:r>
          </w:p>
        </w:tc>
        <w:tc>
          <w:tcPr>
            <w:tcW w:w="1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F02</w:t>
            </w:r>
          </w:p>
        </w:tc>
        <w:tc>
          <w:tcPr>
            <w:tcW w:w="4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Interfaz web (Spring MVC + JSP) → Cliente (navegador web)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HTTP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No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TB1</w:t>
            </w:r>
          </w:p>
        </w:tc>
        <w:tc>
          <w:tcPr>
            <w:tcW w:w="1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F03</w:t>
            </w:r>
          </w:p>
        </w:tc>
        <w:tc>
          <w:tcPr>
            <w:tcW w:w="4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Sistema integrador (cliente API) → Servicios SOAP/REST (Apache CXF)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HTTP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No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TB1</w:t>
            </w:r>
          </w:p>
        </w:tc>
        <w:tc>
          <w:tcPr>
            <w:tcW w:w="1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F04</w:t>
            </w:r>
          </w:p>
        </w:tc>
        <w:tc>
          <w:tcPr>
            <w:tcW w:w="4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Interfaz web (Spring MVC + JSP) → Lógica de negocio y DAO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In-process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Sí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-</w:t>
            </w:r>
          </w:p>
        </w:tc>
        <w:tc>
          <w:tcPr>
            <w:tcW w:w="1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Medio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F05</w:t>
            </w:r>
          </w:p>
        </w:tc>
        <w:tc>
          <w:tcPr>
            <w:tcW w:w="4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Servicios SOAP/REST (Apache CXF) → Lógica de negocio y DAO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In-process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Sí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-</w:t>
            </w:r>
          </w:p>
        </w:tc>
        <w:tc>
          <w:tcPr>
            <w:tcW w:w="1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Medio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F06</w:t>
            </w:r>
          </w:p>
        </w:tc>
        <w:tc>
          <w:tcPr>
            <w:tcW w:w="4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Lógica de negocio y DAO → Base de datos HyperSQL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JDBC/TCP 9001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No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TB2</w:t>
            </w:r>
          </w:p>
        </w:tc>
        <w:tc>
          <w:tcPr>
            <w:tcW w:w="1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F07</w:t>
            </w:r>
          </w:p>
        </w:tc>
        <w:tc>
          <w:tcPr>
            <w:tcW w:w="4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Lógica de negocio y DAO → Procesador de préstamos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In-process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Sí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-</w:t>
            </w:r>
          </w:p>
        </w:tc>
        <w:tc>
          <w:tcPr>
            <w:tcW w:w="1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Medio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F08</w:t>
            </w:r>
          </w:p>
        </w:tc>
        <w:tc>
          <w:tcPr>
            <w:tcW w:w="4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Procesador de préstamos → Broker ActiveMQ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JMS/TCP 61616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No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TB2</w:t>
            </w:r>
          </w:p>
        </w:tc>
        <w:tc>
          <w:tcPr>
            <w:tcW w:w="1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F09</w:t>
            </w:r>
          </w:p>
        </w:tc>
        <w:tc>
          <w:tcPr>
            <w:tcW w:w="4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Procesador de préstamos → Proveedor externo de préstamos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WS/JMS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No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TB3</w:t>
            </w:r>
          </w:p>
        </w:tc>
        <w:tc>
          <w:tcPr>
            <w:tcW w:w="1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F10</w:t>
            </w:r>
          </w:p>
        </w:tc>
        <w:tc>
          <w:tcPr>
            <w:tcW w:w="4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Administrador / operador → Administración y utilidades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HTTP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No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TB1</w:t>
            </w:r>
          </w:p>
        </w:tc>
        <w:tc>
          <w:tcPr>
            <w:tcW w:w="1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F11</w:t>
            </w:r>
          </w:p>
        </w:tc>
        <w:tc>
          <w:tcPr>
            <w:tcW w:w="4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Administración y utilidades → Base de datos HyperSQL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JDBC/TCP 9001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No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TB2</w:t>
            </w:r>
          </w:p>
        </w:tc>
        <w:tc>
          <w:tcPr>
            <w:tcW w:w="1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F12</w:t>
            </w:r>
          </w:p>
        </w:tc>
        <w:tc>
          <w:tcPr>
            <w:tcW w:w="4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Lógica de negocio y DAO → Bitácoras (log4j2)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Archivo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Sí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-</w:t>
            </w:r>
          </w:p>
        </w:tc>
        <w:tc>
          <w:tcPr>
            <w:tcW w:w="1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Medio</w:t>
            </w:r>
          </w:p>
        </w:tc>
      </w:tr>
      <w:tr>
        <w:trPr>
          <w:cantSplit/>
        </w:trPr>
        <w:tc>
          <w:tcPr>
            <w:tcW w:w="7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F13</w:t>
            </w:r>
          </w:p>
        </w:tc>
        <w:tc>
          <w:tcPr>
            <w:tcW w:w="40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Administración y utilidades → Procesador de préstamos</w:t>
            </w:r>
          </w:p>
        </w:tc>
        <w:tc>
          <w:tcPr>
            <w:tcW w:w="14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In-process</w:t>
            </w:r>
          </w:p>
        </w:tc>
        <w:tc>
          <w:tcPr>
            <w:tcW w:w="11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Sí</w:t>
            </w:r>
          </w:p>
        </w:tc>
        <w:tc>
          <w:tcPr>
            <w:tcW w:w="9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-</w:t>
            </w:r>
          </w:p>
        </w:tc>
        <w:tc>
          <w:tcPr>
            <w:tcW w:w="1306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</w:tr>
    </w:tbl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Conf./Integ. indica si el flujo provee confidencialidad e integridad. Elaboración propia con base en el modelo de Threat Dragon.</w:t>
      </w:r>
    </w:p>
    <w:p>
      <w:pPr>
        <w:keepNext/>
        <w:spacing w:before="120"/>
        <w:jc w:val="center"/>
        <w:outlineLvl w:val="0"/>
        <w:rPr>
          <w:lang w:val="es-GT"/>
        </w:rPr>
      </w:pPr>
      <w:bookmarkStart w:id="107" w:name="_Toc900107"/>
      <w:r>
        <w:rPr>
          <w:b/>
          <w:lang w:val="es-GT"/>
        </w:rPr>
        <w:t xml:space="preserve">3. Diagramas de flujo de datos</w:t>
      </w:r>
      <w:bookmarkEnd w:id="107"/>
    </w:p>
    <w:p>
      <w:pPr>
        <w:ind w:firstLine="720"/>
        <w:rPr>
          <w:lang w:val="es-GT"/>
        </w:rPr>
      </w:pPr>
      <w:r>
        <w:rPr>
          <w:lang w:val="es-GT"/>
        </w:rPr>
        <w:t xml:space="preserve">Los diagramas fueron confeccionados utilizando el software OWASP Threat Dragon. El Nivel 0 proporciona una representación del contexto del sistema, el Nivel 1 desglosa los procesos, almacenes y flujos principales con sus respectivas fronteras de confianza, mientras que el Nivel 2 especifica el servicio de API y el circuito de préstamos, que se refiere a la integración con terceros y middleware.</w:t>
      </w:r>
    </w:p>
    <w:p>
      <w:pPr>
        <w:keepNext/>
        <w:spacing w:before="120"/>
        <w:jc w:val="left"/>
        <w:outlineLvl w:val="1"/>
        <w:rPr>
          <w:lang w:val="es-GT"/>
        </w:rPr>
      </w:pPr>
      <w:bookmarkStart w:id="108" w:name="_Toc900108"/>
      <w:r>
        <w:rPr>
          <w:b/>
          <w:lang w:val="es-GT"/>
        </w:rPr>
        <w:t xml:space="preserve">3.1 Nivel 0: contexto</w:t>
      </w:r>
      <w:bookmarkEnd w:id="108"/>
    </w:p>
    <w:p>
      <w:pPr>
        <w:ind w:firstLine="720"/>
        <w:rPr>
          <w:lang w:val="es-GT"/>
        </w:rPr>
      </w:pPr>
      <w:r>
        <w:rPr>
          <w:lang w:val="es-GT"/>
        </w:rPr>
        <w:t xml:space="preserve">ParaBank está en interacción con cuatro entidades externas: el cliente, el administrador, el sistema integrador que consume las interfaces de programación de aplicaciones (APIs) y el proveedor externo de préstamos. La frontera TB1 distingue la aplicación de Internet, mientras que la frontera TB3 distingue la aplicación del proveedor externo.</w:t>
      </w:r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Figura 1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DFD Nivel 0: contexto de ParaBank</w:t>
      </w:r>
    </w:p>
    <w:p>
      <w:pPr>
        <w:keepNext/>
        <w:spacing w:before="120" w:after="60"/>
        <w:jc w:val="center"/>
        <w:rPr>
          <w:lang w:val="es-GT"/>
        </w:rPr>
      </w:pPr>
      <w:r>
        <w:drawing>
          <wp:inline distT="0" distB="0" distL="0" distR="0">
            <wp:extent cx="5900000" cy="2528571"/>
            <wp:docPr id="600" name="Figura 1" descr="DFD nivel 0 de ParaBan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" name="dfd_nivel0.png"/>
                    <pic:cNvPicPr/>
                  </pic:nvPicPr>
                  <pic:blipFill>
                    <a:blip r:embed="rIdDfd0"/>
                    <a:stretch>
                      <a:fillRect/>
                    </a:stretch>
                  </pic:blipFill>
                  <pic:spPr>
                    <a:xfrm>
                      <a:off x="0" y="0"/>
                      <a:ext cx="5900000" cy="25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Elaboración propia con OWASP Threat Dragon.</w:t>
      </w:r>
    </w:p>
    <w:p>
      <w:pPr>
        <w:keepNext/>
        <w:spacing w:before="120"/>
        <w:jc w:val="left"/>
        <w:outlineLvl w:val="1"/>
        <w:rPr>
          <w:lang w:val="es-GT"/>
        </w:rPr>
      </w:pPr>
      <w:bookmarkStart w:id="109" w:name="_Toc900109"/>
      <w:r>
        <w:rPr>
          <w:b/>
          <w:lang w:val="es-GT"/>
        </w:rPr>
        <w:t xml:space="preserve">3.2 Nivel 1: procesos, almacenes y fronteras</w:t>
      </w:r>
      <w:bookmarkEnd w:id="109"/>
    </w:p>
    <w:p>
      <w:pPr>
        <w:ind w:firstLine="720"/>
        <w:rPr>
          <w:lang w:val="es-GT"/>
        </w:rPr>
      </w:pPr>
      <w:r>
        <w:rPr>
          <w:lang w:val="es-GT"/>
        </w:rPr>
        <w:t xml:space="preserve">El Nivel 1 distingue la interfaz web, los servicios SOAP/REST, la lógica empresarial, el procesador de préstamos y la gestión. Las unidades de almacenamiento comprenden la base de datos HyperSQL, el intermediario ActiveMQ y las bitácoras. Los procesos y los almacenes fueron modelados de manera independiente para prevenir la confusión de las reglas de STRIDE entre ambos.</w:t>
      </w:r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Figura 2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DFD Nivel 1: procesos, almacenes y fronteras de confianza</w:t>
      </w:r>
    </w:p>
    <w:p>
      <w:pPr>
        <w:keepNext/>
        <w:spacing w:before="120" w:after="60"/>
        <w:jc w:val="center"/>
        <w:rPr>
          <w:lang w:val="es-GT"/>
        </w:rPr>
      </w:pPr>
      <w:r>
        <w:drawing>
          <wp:inline distT="0" distB="0" distL="0" distR="0">
            <wp:extent cx="5900000" cy="2447004"/>
            <wp:docPr id="601" name="Figura 2" descr="DFD nivel 1 de ParaBan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" name="dfd_nivel1.png"/>
                    <pic:cNvPicPr/>
                  </pic:nvPicPr>
                  <pic:blipFill>
                    <a:blip r:embed="rIdDfd1"/>
                    <a:stretch>
                      <a:fillRect/>
                    </a:stretch>
                  </pic:blipFill>
                  <pic:spPr>
                    <a:xfrm>
                      <a:off x="0" y="0"/>
                      <a:ext cx="5900000" cy="244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Los elementos con borde rojo tienen amenazas asociadas. Elaboración propia con OWASP Threat Dragon.</w:t>
      </w:r>
    </w:p>
    <w:p>
      <w:pPr>
        <w:keepNext/>
        <w:spacing w:before="120"/>
        <w:jc w:val="left"/>
        <w:outlineLvl w:val="1"/>
        <w:rPr>
          <w:lang w:val="es-GT"/>
        </w:rPr>
      </w:pPr>
      <w:bookmarkStart w:id="110" w:name="_Toc900110"/>
      <w:r>
        <w:rPr>
          <w:b/>
          <w:lang w:val="es-GT"/>
        </w:rPr>
        <w:t xml:space="preserve">3.3 Nivel 2: API de servicios y procesador de préstamos</w:t>
      </w:r>
      <w:bookmarkEnd w:id="110"/>
    </w:p>
    <w:p>
      <w:pPr>
        <w:ind w:firstLine="720"/>
        <w:rPr>
          <w:lang w:val="es-GT"/>
        </w:rPr>
      </w:pPr>
      <w:r>
        <w:rPr>
          <w:lang w:val="es-GT"/>
        </w:rPr>
        <w:t xml:space="preserve">Este nivel desglosa el servicio de API en aspectos como la autenticación, las transferencias y pagos, la administración de clientes y la solicitud de préstamo, y expone el proceso de transmisión de mensajes a través de la cola JMS hasta el proveedor externo.</w:t>
      </w:r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Figura 3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DFD Nivel 2: API de servicios y procesador de préstamos</w:t>
      </w:r>
    </w:p>
    <w:p>
      <w:pPr>
        <w:keepNext/>
        <w:spacing w:before="120" w:after="60"/>
        <w:jc w:val="center"/>
        <w:rPr>
          <w:lang w:val="es-GT"/>
        </w:rPr>
      </w:pPr>
      <w:r>
        <w:drawing>
          <wp:inline distT="0" distB="0" distL="0" distR="0">
            <wp:extent cx="5900000" cy="2566561"/>
            <wp:docPr id="602" name="Figura 3" descr="DFD nivel 2 de ParaBan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" name="dfd_nivel2.png"/>
                    <pic:cNvPicPr/>
                  </pic:nvPicPr>
                  <pic:blipFill>
                    <a:blip r:embed="rIdDfd2"/>
                    <a:stretch>
                      <a:fillRect/>
                    </a:stretch>
                  </pic:blipFill>
                  <pic:spPr>
                    <a:xfrm>
                      <a:off x="0" y="0"/>
                      <a:ext cx="5900000" cy="2566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Elaboración propia con OWASP Threat Dragon.</w:t>
      </w:r>
    </w:p>
    <w:p>
      <w:pPr>
        <w:keepNext/>
        <w:spacing w:before="120"/>
        <w:jc w:val="left"/>
        <w:outlineLvl w:val="1"/>
        <w:rPr>
          <w:lang w:val="es-GT"/>
        </w:rPr>
      </w:pPr>
      <w:bookmarkStart w:id="111" w:name="_Toc900111"/>
      <w:r>
        <w:rPr>
          <w:b/>
          <w:lang w:val="es-GT"/>
        </w:rPr>
        <w:t xml:space="preserve">3.4 Fronteras de confianza</w:t>
      </w:r>
      <w:bookmarkEnd w:id="111"/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Tabla 4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Fronteras de confianza identificadas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900"/>
        <w:gridCol w:w="3300"/>
        <w:gridCol w:w="2000"/>
        <w:gridCol w:w="3206"/>
      </w:tblGrid>
      <w:tr>
        <w:trPr>
          <w:cantSplit/>
          <w:tblHeader/>
        </w:trPr>
        <w:tc>
          <w:tcPr>
            <w:tcW w:w="9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Frontera</w:t>
            </w:r>
          </w:p>
        </w:tc>
        <w:tc>
          <w:tcPr>
            <w:tcW w:w="33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Separa</w:t>
            </w:r>
          </w:p>
        </w:tc>
        <w:tc>
          <w:tcPr>
            <w:tcW w:w="20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Flujos que la cruzan</w:t>
            </w:r>
          </w:p>
        </w:tc>
        <w:tc>
          <w:tcPr>
            <w:tcW w:w="320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Motivo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TB1</w:t>
            </w:r>
          </w:p>
        </w:tc>
        <w:tc>
          <w:tcPr>
            <w:tcW w:w="3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Internet y redes no confiables | Aplicación en Tomcat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F01, F02, F03, F10</w:t>
            </w:r>
          </w:p>
        </w:tc>
        <w:tc>
          <w:tcPr>
            <w:tcW w:w="32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Es donde entra todo dato no confiable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TB2</w:t>
            </w:r>
          </w:p>
        </w:tc>
        <w:tc>
          <w:tcPr>
            <w:tcW w:w="3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Aplicación | Base de datos y broker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F06, F08, F11</w:t>
            </w:r>
          </w:p>
        </w:tc>
        <w:tc>
          <w:tcPr>
            <w:tcW w:w="32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Los datos de mayor valor están al otro lado</w:t>
            </w:r>
          </w:p>
        </w:tc>
      </w:tr>
      <w:tr>
        <w:trPr>
          <w:cantSplit/>
        </w:trPr>
        <w:tc>
          <w:tcPr>
            <w:tcW w:w="9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TB3</w:t>
            </w:r>
          </w:p>
        </w:tc>
        <w:tc>
          <w:tcPr>
            <w:tcW w:w="33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Aplicación | Proveedores externos de préstamos</w:t>
            </w:r>
          </w:p>
        </w:tc>
        <w:tc>
          <w:tcPr>
            <w:tcW w:w="20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F09</w:t>
            </w:r>
          </w:p>
        </w:tc>
        <w:tc>
          <w:tcPr>
            <w:tcW w:w="3206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Es un tercero fuera del control del equipo</w:t>
            </w:r>
          </w:p>
        </w:tc>
      </w:tr>
    </w:tbl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Elaboración propia.</w:t>
      </w:r>
    </w:p>
    <w:p>
      <w:pPr>
        <w:keepNext/>
        <w:spacing w:before="120"/>
        <w:jc w:val="center"/>
        <w:outlineLvl w:val="0"/>
        <w:rPr>
          <w:lang w:val="es-GT"/>
        </w:rPr>
      </w:pPr>
      <w:bookmarkStart w:id="112" w:name="_Toc900112"/>
      <w:r>
        <w:rPr>
          <w:b/>
          <w:lang w:val="es-GT"/>
        </w:rPr>
        <w:t xml:space="preserve">4. Análisis de amenazas con STRIDE</w:t>
      </w:r>
      <w:bookmarkEnd w:id="112"/>
    </w:p>
    <w:p>
      <w:pPr>
        <w:ind w:firstLine="720"/>
        <w:rPr>
          <w:lang w:val="es-GT"/>
        </w:rPr>
      </w:pPr>
      <w:r>
        <w:rPr>
          <w:lang w:val="es-GT"/>
        </w:rPr>
        <w:t xml:space="preserve">Se implementó la metodología STRIDE a cada flujo, proceso y almacén representado en el diagrama. Las 23 amenazas fueron identificadas manualmente, respaldadas por el código fuente; no se originan a partir del motor automático de Threat Dragon. Además, se aconseja implementar la generación automática de la herramienta, cotejar ambas listas y documentar las discrepancias detectadas.</w:t>
      </w:r>
    </w:p>
    <w:p>
      <w:pPr>
        <w:keepNext/>
        <w:spacing w:before="120"/>
        <w:jc w:val="left"/>
        <w:outlineLvl w:val="1"/>
        <w:rPr>
          <w:lang w:val="es-GT"/>
        </w:rPr>
      </w:pPr>
      <w:bookmarkStart w:id="113" w:name="_Toc900113"/>
      <w:r>
        <w:rPr>
          <w:b/>
          <w:lang w:val="es-GT"/>
        </w:rPr>
        <w:t xml:space="preserve">4.1 Matriz STRIDE consolidada</w:t>
      </w:r>
      <w:bookmarkEnd w:id="113"/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Tabla 5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Cantidad de amenazas por elemento y categoría STRIDE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3606"/>
        <w:gridCol w:w="800"/>
        <w:gridCol w:w="800"/>
        <w:gridCol w:w="800"/>
        <w:gridCol w:w="800"/>
        <w:gridCol w:w="800"/>
        <w:gridCol w:w="800"/>
        <w:gridCol w:w="1000"/>
      </w:tblGrid>
      <w:tr>
        <w:trPr>
          <w:cantSplit/>
          <w:tblHeader/>
        </w:trPr>
        <w:tc>
          <w:tcPr>
            <w:tcW w:w="360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Elemento</w:t>
            </w:r>
          </w:p>
        </w:tc>
        <w:tc>
          <w:tcPr>
            <w:tcW w:w="8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S</w:t>
            </w:r>
          </w:p>
        </w:tc>
        <w:tc>
          <w:tcPr>
            <w:tcW w:w="8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T</w:t>
            </w:r>
          </w:p>
        </w:tc>
        <w:tc>
          <w:tcPr>
            <w:tcW w:w="8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R</w:t>
            </w:r>
          </w:p>
        </w:tc>
        <w:tc>
          <w:tcPr>
            <w:tcW w:w="8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I</w:t>
            </w:r>
          </w:p>
        </w:tc>
        <w:tc>
          <w:tcPr>
            <w:tcW w:w="8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D</w:t>
            </w:r>
          </w:p>
        </w:tc>
        <w:tc>
          <w:tcPr>
            <w:tcW w:w="8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E</w:t>
            </w:r>
          </w:p>
        </w:tc>
        <w:tc>
          <w:tcPr>
            <w:tcW w:w="10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Total</w:t>
            </w:r>
          </w:p>
        </w:tc>
      </w:tr>
      <w:tr>
        <w:trPr>
          <w:cantSplit/>
        </w:trPr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Gestión de clientes y cuentas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</w:tr>
      <w:tr>
        <w:trPr>
          <w:cantSplit/>
        </w:trPr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Autenticación y sesión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2</w:t>
            </w:r>
          </w:p>
        </w:tc>
      </w:tr>
      <w:tr>
        <w:trPr>
          <w:cantSplit/>
        </w:trPr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Administración y utilidades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2</w:t>
            </w:r>
          </w:p>
        </w:tc>
      </w:tr>
      <w:tr>
        <w:trPr>
          <w:cantSplit/>
        </w:trPr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Servicios SOAP/REST (Apache CXF)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2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2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5</w:t>
            </w:r>
          </w:p>
        </w:tc>
      </w:tr>
      <w:tr>
        <w:trPr>
          <w:cantSplit/>
        </w:trPr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Base de datos HyperSQL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2</w:t>
            </w:r>
          </w:p>
        </w:tc>
      </w:tr>
      <w:tr>
        <w:trPr>
          <w:cantSplit/>
        </w:trPr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Broker ActiveMQ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</w:tr>
      <w:tr>
        <w:trPr>
          <w:cantSplit/>
        </w:trPr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Flujo F01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</w:tr>
      <w:tr>
        <w:trPr>
          <w:cantSplit/>
        </w:trPr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Interfaz web (Spring MVC + JSP)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2</w:t>
            </w:r>
          </w:p>
        </w:tc>
      </w:tr>
      <w:tr>
        <w:trPr>
          <w:cantSplit/>
        </w:trPr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Transferencias, depósitos y pago de facturas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</w:tr>
      <w:tr>
        <w:trPr>
          <w:cantSplit/>
        </w:trPr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Procesador de préstamos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</w:tr>
      <w:tr>
        <w:trPr>
          <w:cantSplit/>
        </w:trPr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Lógica de negocio y DAO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2</w:t>
            </w:r>
          </w:p>
        </w:tc>
      </w:tr>
      <w:tr>
        <w:trPr>
          <w:cantSplit/>
        </w:trPr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Bitácoras (log4j2)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</w:tr>
      <w:tr>
        <w:trPr>
          <w:cantSplit/>
        </w:trPr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Listener JMS de préstamos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</w:tr>
      <w:tr>
        <w:trPr>
          <w:cantSplit/>
        </w:trPr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Flujo F09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</w:tr>
      <w:tr>
        <w:trPr>
          <w:cantSplit/>
        </w:trPr>
        <w:tc>
          <w:tcPr>
            <w:tcW w:w="3606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Total</w:t>
            </w:r>
          </w:p>
        </w:tc>
        <w:tc>
          <w:tcPr>
            <w:tcW w:w="8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4</w:t>
            </w:r>
          </w:p>
        </w:tc>
        <w:tc>
          <w:tcPr>
            <w:tcW w:w="8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6</w:t>
            </w:r>
          </w:p>
        </w:tc>
        <w:tc>
          <w:tcPr>
            <w:tcW w:w="8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2</w:t>
            </w:r>
          </w:p>
        </w:tc>
        <w:tc>
          <w:tcPr>
            <w:tcW w:w="8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5</w:t>
            </w:r>
          </w:p>
        </w:tc>
        <w:tc>
          <w:tcPr>
            <w:tcW w:w="8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2</w:t>
            </w:r>
          </w:p>
        </w:tc>
        <w:tc>
          <w:tcPr>
            <w:tcW w:w="8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4</w:t>
            </w:r>
          </w:p>
        </w:tc>
        <w:tc>
          <w:tcPr>
            <w:tcW w:w="10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23</w:t>
            </w:r>
          </w:p>
        </w:tc>
      </w:tr>
    </w:tbl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S = Spoofing, T = Tampering, R = Repudiation, I = Information Disclosure, D = Denial of Service, E = Elevation of Privilege.</w:t>
      </w:r>
    </w:p>
    <w:p>
      <w:pPr>
        <w:keepNext/>
        <w:spacing w:before="120"/>
        <w:jc w:val="left"/>
        <w:outlineLvl w:val="1"/>
        <w:rPr>
          <w:lang w:val="es-GT"/>
        </w:rPr>
      </w:pPr>
      <w:bookmarkStart w:id="114" w:name="_Toc900114"/>
      <w:r>
        <w:rPr>
          <w:b/>
          <w:lang w:val="es-GT"/>
        </w:rPr>
        <w:t xml:space="preserve">4.2 Inventario de amenazas y descripción técnica</w:t>
      </w:r>
      <w:bookmarkEnd w:id="114"/>
    </w:p>
    <w:p>
      <w:pPr>
        <w:ind w:firstLine="720"/>
        <w:rPr>
          <w:lang w:val="es-GT"/>
        </w:rPr>
      </w:pPr>
      <w:r>
        <w:rPr>
          <w:lang w:val="es-GT"/>
        </w:rPr>
        <w:t xml:space="preserve">La Tabla 6 detalla cada amenaza, indicando el flujo de información, la frontera de confianza que se traspasa y el impacto concreto sobre el componente afectado. La columna final diferencia lo que ha sido confirmado en el código de lo que constituye una hipótesis a verificar.</w:t>
      </w:r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Tabla 6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Amenazas identificadas con STRIDE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600"/>
        <w:gridCol w:w="1700"/>
        <w:gridCol w:w="1200"/>
        <w:gridCol w:w="1300"/>
        <w:gridCol w:w="4606"/>
      </w:tblGrid>
      <w:tr>
        <w:trPr>
          <w:cantSplit/>
          <w:tblHeader/>
        </w:trPr>
        <w:tc>
          <w:tcPr>
            <w:tcW w:w="6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ID</w:t>
            </w:r>
          </w:p>
        </w:tc>
        <w:tc>
          <w:tcPr>
            <w:tcW w:w="17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Amenaza</w:t>
            </w:r>
          </w:p>
        </w:tc>
        <w:tc>
          <w:tcPr>
            <w:tcW w:w="12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STRIDE</w:t>
            </w:r>
          </w:p>
        </w:tc>
        <w:tc>
          <w:tcPr>
            <w:tcW w:w="13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Elemento</w:t>
            </w:r>
          </w:p>
        </w:tc>
        <w:tc>
          <w:tcPr>
            <w:tcW w:w="460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Descripción técnica y evidencia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T01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Inyección SQL en la actualización de clientes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Tampering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Gestión de clientes y cuentas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El DAO arma el UPDATE concatenando customer.getFirstName() dentro de la sentencia; el dato cruza TB1 por POST /customers/update/{id} y llega sin parametrizar al motor HyperSQL (F06/G07). Un atacante puede cerrar la cadena e inyectar SQL que altere o exponga filas de Customer. Evidencia: Confirmado en código (JdbcCustomerDao.updateCustomer; el propio comentario indica que el fallo es intencional). Existe SecureJdbcCustomerDao con parámetros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T02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Credenciales viajan en la URL (GET /login/{usuario}/{contraseña})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Information Disclosure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Autenticación y sesión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El servicio REST recibe usuario y contraseña como segmentos de la ruta. Al cruzar TB1 quedan en el historial del navegador, en logs de Tomcat, proxies y cabeceras Referer, aun si el canal fuera cifrado. Evidencia: Confirmado en código (@Path("/login/{username}/{password}") en ParaBankService)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T03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Páginas de administración fuera del control de sesión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Elevation of Privilege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Administración y utilidades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El mapeo protegido por LoginInterceptor solo cubre nueve páginas de cliente; admin.htm, db.htm, initializeDB.htm y jms.htm no figuran, por lo que cualquiera que llegue a Tomcat podría cambiar parámetros, reiniciar la BD o detener el listener JMS (F10, F11, F13). Evidencia: Confirmado en parabank-servlet.xml (secureHandlerMapping). A validar: que no exista otro filtro o regla de red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T04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Endpoints de mantenimiento expuestos en la API (cleanDB, initializeDB, setParameter, shutdownJmsListener)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Elevation of Privilege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Servicios SOAP/REST (Apache CXF)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La interfaz de servicio publica operaciones destructivas y de configuración sin mecanismo de autenticación visible en la propia interfaz. Un cliente API externo que cruza TB1 puede borrar datos, reinicializar la BD o apagar la mensajería (F03, F05). Evidencia: Confirmado la exposición de rutas en ParaBankService. A validar: ausencia de control de acceso en la implementación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T05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Acceso a cuentas y clientes ajenos mediante identificadores (BOLA/IDOR)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Information Disclosure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Servicios SOAP/REST (Apache CXF)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Rutas como /accounts/{accountId}, /customers/{customerId} y /transactions/{id} reciben identificadores secuenciales; la interfaz no muestra verificación de que el recurso pertenezca al llamante. Un atacante autenticado o anónimo puede enumerar identificadores y leer datos personales y financieros (F03, F05). Evidencia: Hipótesis a validar con pruebas autorizadas: la interfaz no muestra control de propiedad del recurso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T06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Contraseñas y SSN almacenados sin protección criptográfica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Information Disclosure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Base de datos HyperSQL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La tabla Customer guarda password y ssn y el login compara el valor directamente en SQL (username = ? AND password = ?), lo que implica almacenamiento en texto claro. Una lectura de la BD (por ejemplo vía T01 o por el puerto 9001) expone credenciales y datos de identidad (F06). Evidencia: Confirmado en código (JdbcCustomerDao: BASE_QUERY_SQL y consulta de login)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T07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Cuenta sa sin contraseña y puerto HyperSQL 9001 accesible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Spoofing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Base de datos HyperSQL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jdbc.properties define jdbc.username=sa con contraseña vacía y el servidor HyperSQL escucha por TCP (9001). Cualquier host con alcance de red puede conectarse como administrador de la BD y saltar toda la lógica de la aplicación (F06, F11). Evidencia: Confirmado en jdbc.properties y README (puerto 9001)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T08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Broker ActiveMQ en 0.0.0.0:61616 sin autenticación configurada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Tampering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Broker ActiveMQ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El broker se publica en todas las interfaces y la configuración no declara plugin de autenticación ni autorización. Un tercero puede inyectar o leer mensajes de solicitud y respuesta de préstamos que cruzan TB2 (F08). Evidencia: Confirmado en applicationContext-jms.xml (transportConnector tcp://0.0.0.0:61616; sin plugin de seguridad en ese bloque)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T09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Tráfico HTTP sin TLS: credenciales y cookie de sesión interceptables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Information Disclosure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Flujo F01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El despliegue por defecto en Tomcat usa HTTP. Los flujos F01, F02, F03 y F10 cruzan la frontera de Internet con Provides Confidentiality = No e Integrity = No, de modo que un atacante en la ruta puede leer credenciales y cookie JSESSIONID o modificar montos. Evidencia: Supuesto de despliegue por defecto; depende de la instalación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T10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CSRF sobre transferencias y pagos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Tampering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Interfaz web (Spring MVC + JSP)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No se encontraron referencias a token anti-CSRF en el código. Una página maliciosa puede hacer que el navegador de la víctima, con sesión activa, envíe un POST a transfer.htm o billpay.htm sin su consentimiento (F01). Evidencia: Hipótesis: búsqueda de 'csrf' sin resultados en el código fuente analizado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T11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Manipulación de monto o cuenta en operaciones monetarias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Tampering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Transferencias, depósitos y pago de facturas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Monto, cuenta origen y destino llegan como parámetros del cliente a /transfer, /deposit, /withdraw y /billpay (G02). Sin validación de negocio en el servidor ni integridad del canal, un atacante puede modificar el monto o ejecutar operaciones en nombre de otro. Evidencia: Hipótesis a validar: depende de las validaciones de la implementación del servicio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T12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Fuerza bruta y credential stuffing sobre el login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Spoofing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Autenticación y sesión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No se observa limitación de intentos ni bloqueo de cuenta; el login por ruta facilita el scripting masivo (G01, G05). Un atacante con listas de credenciales filtradas puede suplantar clientes legítimos. Evidencia: Hipótesis: no se identificó rate limiting ni bloqueo en el código revisado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T13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Alteración del umbral de aprobación de préstamos y del modo de acceso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Tampering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Procesador de préstamos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loanProcessorThreshold y accessmode se leen de la tabla Parameter y pueden modificarse con setParameter o admin.htm. Combinado con las amenazas de acceso administrativo, un atacante puede forzar aprobaciones fraudulentas de préstamos (F13). Evidencia: Confirmado el uso del parámetro en AbstractLoanProcessor; la explotación depende de T03 y T04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T14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Cabeceras CORS abiertas a cualquier origen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Information Disclosure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Servicios SOAP/REST (Apache CXF)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ParaBankService está anotado con @CrossOriginResourceSharing(allowAllOrigins = true). Cualquier sitio web puede invocar la API desde el navegador de un usuario autenticado y leer la respuesta (F03). Evidencia: Confirmado en código (ParaBankService)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T15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Falta de no repudio en transacciones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Repudiation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Lógica de negocio y DAO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Las transacciones no llevan firma ni sello de tiempo verificable del cliente; si este niega una operación, el banco solo cuenta con su propio registro (F04, F12). Evidencia: Hipótesis: no se hallaron firmas ni confirmación fuerte de operaciones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T16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Acciones administrativas sin identidad ni auditoría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Repudiation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Administración y utilidades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Como el módulo administrativo no exige autenticación, los cambios de parámetros, reinicios de BD y paradas de JMS no pueden atribuirse a una persona (F10, F11, F13). Evidencia: Consecuencia de T03; a validar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T17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Bitácoras modificables y con datos sensibles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Tampering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Bitácoras (log4j2)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Los logs de log4j2 se escriben en archivo local sin protección de integridad; un atacante con acceso al host puede borrar rastros, y los registros pueden contener identificadores de clientes (F12). Evidencia: Hipótesis: configuración de log4j2 por defecto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T18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Denegación de servicio por API sin límites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Denial of Service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Servicios SOAP/REST (Apache CXF)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Sin rate limiting ni cuotas, un cliente puede saturar Tomcat o la BD con peticiones masivas (F03, F05, F06). Evidencia: Hipótesis: no se identificó limitación de tasa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T19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Inundación de solicitudes de préstamo sobre la cola JMS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Denial of Service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Listener JMS de préstamos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El listener usa 5 consumidores concurrentes y el broker no es persistente; una avalancha de solicitudes puede saturar la cola o perder mensajes legítimos (G08, G09). Evidencia: Confirmado en applicationContext-jms.xml (concurrentConsumers=5; persistent=false)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T20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Suplantación del proveedor de préstamos o respuesta falsa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Spoofing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Flujo F09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La respuesta del proveedor cruza TB3 por WS/JMS; sin autenticación mutua ni firma, un tercero puede responder aprobaciones falsas. Evidencia: Hipótesis: depende de la configuración del proveedor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T21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Procesamiento XML inseguro en servicios SOAP (XXE)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Elevation of Privilege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Servicios SOAP/REST (Apache CXF)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Los endpoints SOAP procesan XML con JAXB/CXF; si el parser permite entidades externas, un mensaje manipulado puede leer archivos del servidor o provocar SSRF (F03). Evidencia: Hipótesis a validar con revisión de la configuración del parser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T22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Dependencias de terceros sin gestión de vulnerabilidades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Elevation of Privilege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Lógica de negocio y DAO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La aplicación depende de Spring, CXF, WSS4J, ActiveMQ y Tomcat. Una vulnerabilidad conocida en cualquiera permite ejecución remota o escalamiento sin tocar el código propio. Evidencia: Riesgo general de cadena de suministro; verificable con SCA sobre pom.xml</w:t>
            </w:r>
          </w:p>
        </w:tc>
      </w:tr>
      <w:tr>
        <w:trPr>
          <w:cantSplit/>
        </w:trPr>
        <w:tc>
          <w:tcPr>
            <w:tcW w:w="6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T23</w:t>
            </w:r>
          </w:p>
        </w:tc>
        <w:tc>
          <w:tcPr>
            <w:tcW w:w="17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Cookie de sesión sin atributos de endurecimiento verificados</w:t>
            </w:r>
          </w:p>
        </w:tc>
        <w:tc>
          <w:tcPr>
            <w:tcW w:w="12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Spoofing</w:t>
            </w:r>
          </w:p>
        </w:tc>
        <w:tc>
          <w:tcPr>
            <w:tcW w:w="13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Interfaz web (Spring MVC + JSP)</w:t>
            </w:r>
          </w:p>
        </w:tc>
        <w:tc>
          <w:tcPr>
            <w:tcW w:w="4606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No se verificó que JSESSIONID use Secure, HttpOnly y SameSite ni que exista timeout por inactividad; una sesión robada permite suplantar al cliente (F02). Evidencia: Hipótesis a validar en web.xml y en la configuración de Tomcat</w:t>
            </w:r>
          </w:p>
        </w:tc>
      </w:tr>
    </w:tbl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Elaboración propia con base en el código de ParaBank (Parasoft, 2026).</w:t>
      </w:r>
    </w:p>
    <w:p>
      <w:pPr>
        <w:keepNext/>
        <w:spacing w:before="120"/>
        <w:jc w:val="left"/>
        <w:outlineLvl w:val="1"/>
        <w:rPr>
          <w:lang w:val="es-GT"/>
        </w:rPr>
      </w:pPr>
      <w:bookmarkStart w:id="115" w:name="_Toc900115"/>
      <w:r>
        <w:rPr>
          <w:b/>
          <w:lang w:val="es-GT"/>
        </w:rPr>
        <w:t xml:space="preserve">4.3 Registro de validación técnica</w:t>
      </w:r>
      <w:bookmarkEnd w:id="115"/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Tabla 7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Verificaciones realizadas contra el código fuente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3300"/>
        <w:gridCol w:w="6106"/>
      </w:tblGrid>
      <w:tr>
        <w:trPr>
          <w:cantSplit/>
          <w:tblHeader/>
        </w:trPr>
        <w:tc>
          <w:tcPr>
            <w:tcW w:w="33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Verificación</w:t>
            </w:r>
          </w:p>
        </w:tc>
        <w:tc>
          <w:tcPr>
            <w:tcW w:w="610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3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Rutas protegidas por LoginInterceptor</w:t>
            </w:r>
          </w:p>
        </w:tc>
        <w:tc>
          <w:tcPr>
            <w:tcW w:w="6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Solo nueve páginas de cliente en secureHandlerMapping; no incluye admin, db, initializeDB ni jms (T03)</w:t>
            </w:r>
          </w:p>
        </w:tc>
      </w:tr>
      <w:tr>
        <w:trPr>
          <w:cantSplit/>
        </w:trPr>
        <w:tc>
          <w:tcPr>
            <w:tcW w:w="3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Acceso a datos</w:t>
            </w:r>
          </w:p>
        </w:tc>
        <w:tc>
          <w:tcPr>
            <w:tcW w:w="6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El UPDATE de Customer concatena firstName (T01); el resto de los DAO usa parámetros</w:t>
            </w:r>
          </w:p>
        </w:tc>
      </w:tr>
      <w:tr>
        <w:trPr>
          <w:cantSplit/>
        </w:trPr>
        <w:tc>
          <w:tcPr>
            <w:tcW w:w="3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Credenciales de la base de datos</w:t>
            </w:r>
          </w:p>
        </w:tc>
        <w:tc>
          <w:tcPr>
            <w:tcW w:w="6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jdbc.username=sa con contraseña vacía (T07)</w:t>
            </w:r>
          </w:p>
        </w:tc>
      </w:tr>
      <w:tr>
        <w:trPr>
          <w:cantSplit/>
        </w:trPr>
        <w:tc>
          <w:tcPr>
            <w:tcW w:w="3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Broker de mensajería</w:t>
            </w:r>
          </w:p>
        </w:tc>
        <w:tc>
          <w:tcPr>
            <w:tcW w:w="6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tcp://0.0.0.0:61616 sin plugin de seguridad en ese bloque (T08)</w:t>
            </w:r>
          </w:p>
        </w:tc>
      </w:tr>
      <w:tr>
        <w:trPr>
          <w:cantSplit/>
        </w:trPr>
        <w:tc>
          <w:tcPr>
            <w:tcW w:w="3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CORS</w:t>
            </w:r>
          </w:p>
        </w:tc>
        <w:tc>
          <w:tcPr>
            <w:tcW w:w="6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@CrossOriginResourceSharing(allowAllOrigins = true) (T14)</w:t>
            </w:r>
          </w:p>
        </w:tc>
      </w:tr>
      <w:tr>
        <w:trPr>
          <w:cantSplit/>
        </w:trPr>
        <w:tc>
          <w:tcPr>
            <w:tcW w:w="3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Token anti-CSRF</w:t>
            </w:r>
          </w:p>
        </w:tc>
        <w:tc>
          <w:tcPr>
            <w:tcW w:w="6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La búsqueda de «csrf» en el código no arrojó resultados (T10)</w:t>
            </w:r>
          </w:p>
        </w:tc>
      </w:tr>
      <w:tr>
        <w:trPr>
          <w:cantSplit/>
        </w:trPr>
        <w:tc>
          <w:tcPr>
            <w:tcW w:w="33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Validación con Arquitectura y Desarrollo</w:t>
            </w:r>
          </w:p>
        </w:tc>
        <w:tc>
          <w:tcPr>
            <w:tcW w:w="6106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Pendiente: las hipótesis requieren pruebas autorizadas</w:t>
            </w:r>
          </w:p>
        </w:tc>
      </w:tr>
    </w:tbl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Elaboración propia.</w:t>
      </w:r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Figura 4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Amenazas del elemento «Interfaz web» en el reporte de Threat Dragon</w:t>
      </w:r>
    </w:p>
    <w:p>
      <w:pPr>
        <w:keepNext/>
        <w:spacing w:before="120" w:after="60"/>
        <w:jc w:val="center"/>
        <w:rPr>
          <w:lang w:val="es-GT"/>
        </w:rPr>
      </w:pPr>
      <w:r>
        <w:drawing>
          <wp:inline distT="0" distB="0" distL="0" distR="0">
            <wp:extent cx="5900000" cy="2775198"/>
            <wp:docPr id="603" name="Figura 4" descr="Amenazas del elemento Interfaz web en el reporte de Threat Drag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" name="reporte_amenazas.png"/>
                    <pic:cNvPicPr/>
                  </pic:nvPicPr>
                  <pic:blipFill>
                    <a:blip r:embed="rIdDfd3"/>
                    <a:stretch>
                      <a:fillRect/>
                    </a:stretch>
                  </pic:blipFill>
                  <pic:spPr>
                    <a:xfrm>
                      <a:off x="0" y="0"/>
                      <a:ext cx="5900000" cy="2775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Fragmento del reporte PDF generado por OWASP Threat Dragon. Muestra las amenazas T10 y T23 con su tipo, prioridad, estado y mitigaciones. La herramienta solo maneja las prioridades Alta, Media y Baja, por lo que las amenazas de riesgo Crítico aparecen como Alta.</w:t>
      </w:r>
    </w:p>
    <w:p>
      <w:pPr>
        <w:keepNext/>
        <w:spacing w:before="120"/>
        <w:jc w:val="center"/>
        <w:outlineLvl w:val="0"/>
        <w:rPr>
          <w:lang w:val="es-GT"/>
        </w:rPr>
      </w:pPr>
      <w:bookmarkStart w:id="116" w:name="_Toc900116"/>
      <w:r>
        <w:rPr>
          <w:b/>
          <w:lang w:val="es-GT"/>
        </w:rPr>
        <w:t xml:space="preserve">5. Priorización de riesgos</w:t>
      </w:r>
      <w:bookmarkEnd w:id="116"/>
    </w:p>
    <w:p>
      <w:pPr>
        <w:ind w:firstLine="720"/>
        <w:rPr>
          <w:lang w:val="es-GT"/>
        </w:rPr>
      </w:pPr>
      <w:r>
        <w:rPr>
          <w:lang w:val="es-GT"/>
        </w:rPr>
        <w:t xml:space="preserve">El impacto se evalúa en términos de Crítico (4), Alto (3), Medio (2) o Bajo (1), mientras que la probabilidad se clasifica en Muy Alta (4), Alta (3), Media (2) o Baja (1). El riesgo es el resultado de ambos factores: Crítico si la puntuación es de 9 o más, Alto si es de 6 a 8, Medio si es de 3 a 5 y Bajo si es de 1 a 2. Esta norma replica la tabla del enunciado correspondiente a la tarea (Alto con Alto es Crítico, Medio con Medio es Medio y Bajo con Bajo es Bajo).</w:t>
      </w:r>
    </w:p>
    <w:p>
      <w:pPr>
        <w:keepNext/>
        <w:spacing w:before="120"/>
        <w:jc w:val="left"/>
        <w:outlineLvl w:val="1"/>
        <w:rPr>
          <w:lang w:val="es-GT"/>
        </w:rPr>
      </w:pPr>
      <w:bookmarkStart w:id="117" w:name="_Toc900117"/>
      <w:r>
        <w:rPr>
          <w:b/>
          <w:lang w:val="es-GT"/>
        </w:rPr>
        <w:t xml:space="preserve">5.1 Matriz de riesgos</w:t>
      </w:r>
      <w:bookmarkEnd w:id="117"/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Tabla 8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Matriz de riesgos por impacto y probabilidad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1906"/>
        <w:gridCol w:w="1875"/>
        <w:gridCol w:w="1875"/>
        <w:gridCol w:w="1875"/>
        <w:gridCol w:w="1875"/>
      </w:tblGrid>
      <w:tr>
        <w:trPr>
          <w:cantSplit/>
          <w:tblHeader/>
        </w:trPr>
        <w:tc>
          <w:tcPr>
            <w:tcW w:w="190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Impacto \ Probabilidad</w:t>
            </w:r>
          </w:p>
        </w:tc>
        <w:tc>
          <w:tcPr>
            <w:tcW w:w="187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Muy Alta</w:t>
            </w:r>
          </w:p>
        </w:tc>
        <w:tc>
          <w:tcPr>
            <w:tcW w:w="187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Alta</w:t>
            </w:r>
          </w:p>
        </w:tc>
        <w:tc>
          <w:tcPr>
            <w:tcW w:w="187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Media</w:t>
            </w:r>
          </w:p>
        </w:tc>
        <w:tc>
          <w:tcPr>
            <w:tcW w:w="187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Baja</w:t>
            </w:r>
          </w:p>
        </w:tc>
      </w:tr>
      <w:tr>
        <w:trPr>
          <w:cantSplit/>
        </w:trPr>
        <w:tc>
          <w:tcPr>
            <w:tcW w:w="19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  <w:tc>
          <w:tcPr>
            <w:tcW w:w="1875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  <w:tc>
          <w:tcPr>
            <w:tcW w:w="1875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T03, T04</w:t>
            </w:r>
          </w:p>
        </w:tc>
        <w:tc>
          <w:tcPr>
            <w:tcW w:w="1875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T06, T07</w:t>
            </w:r>
          </w:p>
        </w:tc>
        <w:tc>
          <w:tcPr>
            <w:tcW w:w="1875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Medio</w:t>
            </w:r>
          </w:p>
        </w:tc>
      </w:tr>
      <w:tr>
        <w:trPr>
          <w:cantSplit/>
        </w:trPr>
        <w:tc>
          <w:tcPr>
            <w:tcW w:w="19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  <w:tc>
          <w:tcPr>
            <w:tcW w:w="1875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T01</w:t>
            </w:r>
          </w:p>
        </w:tc>
        <w:tc>
          <w:tcPr>
            <w:tcW w:w="1875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T02, T05</w:t>
            </w:r>
          </w:p>
        </w:tc>
        <w:tc>
          <w:tcPr>
            <w:tcW w:w="1875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T08, T09, T10, T11, T12, T13</w:t>
            </w:r>
          </w:p>
        </w:tc>
        <w:tc>
          <w:tcPr>
            <w:tcW w:w="1875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T20, T21, T22</w:t>
            </w:r>
          </w:p>
        </w:tc>
      </w:tr>
      <w:tr>
        <w:trPr>
          <w:cantSplit/>
        </w:trPr>
        <w:tc>
          <w:tcPr>
            <w:tcW w:w="19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Medio</w:t>
            </w:r>
          </w:p>
        </w:tc>
        <w:tc>
          <w:tcPr>
            <w:tcW w:w="1875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  <w:tc>
          <w:tcPr>
            <w:tcW w:w="1875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  <w:tc>
          <w:tcPr>
            <w:tcW w:w="1875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T14, T15, T16, T18, T19, T23</w:t>
            </w:r>
          </w:p>
        </w:tc>
        <w:tc>
          <w:tcPr>
            <w:tcW w:w="1875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Bajo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T17</w:t>
            </w:r>
          </w:p>
        </w:tc>
      </w:tr>
      <w:tr>
        <w:trPr>
          <w:cantSplit/>
        </w:trPr>
        <w:tc>
          <w:tcPr>
            <w:tcW w:w="1906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Bajo</w:t>
            </w:r>
          </w:p>
        </w:tc>
        <w:tc>
          <w:tcPr>
            <w:tcW w:w="1875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Medio</w:t>
            </w:r>
          </w:p>
        </w:tc>
        <w:tc>
          <w:tcPr>
            <w:tcW w:w="1875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Medio</w:t>
            </w:r>
          </w:p>
        </w:tc>
        <w:tc>
          <w:tcPr>
            <w:tcW w:w="1875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Bajo</w:t>
            </w:r>
          </w:p>
        </w:tc>
        <w:tc>
          <w:tcPr>
            <w:tcW w:w="1875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Bajo</w:t>
            </w:r>
          </w:p>
        </w:tc>
      </w:tr>
    </w:tbl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Cada celda indica el nivel de riesgo y las amenazas que le corresponden. Elaboración propia.</w:t>
      </w:r>
    </w:p>
    <w:p>
      <w:pPr>
        <w:keepNext/>
        <w:spacing w:before="120"/>
        <w:jc w:val="left"/>
        <w:outlineLvl w:val="1"/>
        <w:rPr>
          <w:lang w:val="es-GT"/>
        </w:rPr>
      </w:pPr>
      <w:bookmarkStart w:id="118" w:name="_Toc900118"/>
      <w:r>
        <w:rPr>
          <w:b/>
          <w:lang w:val="es-GT"/>
        </w:rPr>
        <w:t xml:space="preserve">5.2 Top 10 de hallazgos prioritarios</w:t>
      </w:r>
      <w:bookmarkEnd w:id="118"/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Tabla 9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Diez amenazas de mayor riesgo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500"/>
        <w:gridCol w:w="700"/>
        <w:gridCol w:w="4306"/>
        <w:gridCol w:w="1100"/>
        <w:gridCol w:w="1500"/>
        <w:gridCol w:w="1300"/>
      </w:tblGrid>
      <w:tr>
        <w:trPr>
          <w:cantSplit/>
          <w:tblHeader/>
        </w:trPr>
        <w:tc>
          <w:tcPr>
            <w:tcW w:w="5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#</w:t>
            </w:r>
          </w:p>
        </w:tc>
        <w:tc>
          <w:tcPr>
            <w:tcW w:w="7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ID</w:t>
            </w:r>
          </w:p>
        </w:tc>
        <w:tc>
          <w:tcPr>
            <w:tcW w:w="430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Hallazgo</w:t>
            </w:r>
          </w:p>
        </w:tc>
        <w:tc>
          <w:tcPr>
            <w:tcW w:w="11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Impacto</w:t>
            </w:r>
          </w:p>
        </w:tc>
        <w:tc>
          <w:tcPr>
            <w:tcW w:w="15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Probabilidad</w:t>
            </w:r>
          </w:p>
        </w:tc>
        <w:tc>
          <w:tcPr>
            <w:tcW w:w="13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Nivel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T01</w:t>
            </w:r>
          </w:p>
        </w:tc>
        <w:tc>
          <w:tcPr>
            <w:tcW w:w="4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Inyección SQL en la actualización de clientes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Muy Alta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2</w:t>
            </w:r>
          </w:p>
        </w:tc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T03</w:t>
            </w:r>
          </w:p>
        </w:tc>
        <w:tc>
          <w:tcPr>
            <w:tcW w:w="4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Páginas de administración fuera del control de sesión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Alta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3</w:t>
            </w:r>
          </w:p>
        </w:tc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T04</w:t>
            </w:r>
          </w:p>
        </w:tc>
        <w:tc>
          <w:tcPr>
            <w:tcW w:w="4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Endpoints de mantenimiento expuestos en la API (cleanDB, initializeDB, setParameter, shutdownJmsListener)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Alta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4</w:t>
            </w:r>
          </w:p>
        </w:tc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T02</w:t>
            </w:r>
          </w:p>
        </w:tc>
        <w:tc>
          <w:tcPr>
            <w:tcW w:w="4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Credenciales viajan en la URL (GET /login/{usuario}/{contraseña})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Alta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5</w:t>
            </w:r>
          </w:p>
        </w:tc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T05</w:t>
            </w:r>
          </w:p>
        </w:tc>
        <w:tc>
          <w:tcPr>
            <w:tcW w:w="4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Acceso a cuentas y clientes ajenos mediante identificadores (BOLA/IDOR)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Alta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6</w:t>
            </w:r>
          </w:p>
        </w:tc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T06</w:t>
            </w:r>
          </w:p>
        </w:tc>
        <w:tc>
          <w:tcPr>
            <w:tcW w:w="4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Contraseñas y SSN almacenados sin protección criptográfica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Media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7</w:t>
            </w:r>
          </w:p>
        </w:tc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T07</w:t>
            </w:r>
          </w:p>
        </w:tc>
        <w:tc>
          <w:tcPr>
            <w:tcW w:w="4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Cuenta sa sin contraseña y puerto HyperSQL 9001 accesible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Media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8</w:t>
            </w:r>
          </w:p>
        </w:tc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T08</w:t>
            </w:r>
          </w:p>
        </w:tc>
        <w:tc>
          <w:tcPr>
            <w:tcW w:w="4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Broker ActiveMQ en 0.0.0.0:61616 sin autenticación configurada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Media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9</w:t>
            </w:r>
          </w:p>
        </w:tc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T09</w:t>
            </w:r>
          </w:p>
        </w:tc>
        <w:tc>
          <w:tcPr>
            <w:tcW w:w="4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Tráfico HTTP sin TLS: credenciales y cookie de sesión interceptables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Media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</w:tr>
      <w:tr>
        <w:trPr>
          <w:cantSplit/>
        </w:trPr>
        <w:tc>
          <w:tcPr>
            <w:tcW w:w="5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10</w:t>
            </w:r>
          </w:p>
        </w:tc>
        <w:tc>
          <w:tcPr>
            <w:tcW w:w="7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T10</w:t>
            </w:r>
          </w:p>
        </w:tc>
        <w:tc>
          <w:tcPr>
            <w:tcW w:w="4306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CSRF sobre transferencias y pagos</w:t>
            </w:r>
          </w:p>
        </w:tc>
        <w:tc>
          <w:tcPr>
            <w:tcW w:w="11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  <w:tc>
          <w:tcPr>
            <w:tcW w:w="15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Media</w:t>
            </w:r>
          </w:p>
        </w:tc>
        <w:tc>
          <w:tcPr>
            <w:tcW w:w="13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</w:tr>
    </w:tbl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El ranking completo de las 23 amenazas se presenta en la Tabla 12. Elaboración propia.</w:t>
      </w:r>
    </w:p>
    <w:p>
      <w:pPr>
        <w:keepNext/>
        <w:spacing w:before="120"/>
        <w:jc w:val="left"/>
        <w:outlineLvl w:val="1"/>
        <w:rPr>
          <w:lang w:val="es-GT"/>
        </w:rPr>
      </w:pPr>
      <w:bookmarkStart w:id="119" w:name="_Toc900119"/>
      <w:r>
        <w:rPr>
          <w:b/>
          <w:lang w:val="es-GT"/>
        </w:rPr>
        <w:t xml:space="preserve">5.3 Tratamiento del riesgo</w:t>
      </w:r>
      <w:bookmarkEnd w:id="119"/>
    </w:p>
    <w:p>
      <w:pPr>
        <w:ind w:firstLine="720"/>
        <w:rPr>
          <w:lang w:val="es-GT"/>
        </w:rPr>
      </w:pPr>
      <w:r>
        <w:rPr>
          <w:lang w:val="es-GT"/>
        </w:rPr>
        <w:t xml:space="preserve">Conforme a las estrategias discutidas en el aula, se plantea la mitigación de todas las amenazas críticas y elevadas, la transferencia de una porción del riesgo de interrupción del servicio a través de protección anti-DDoS o un servicio administrado, la aceptación formal de la amenaza de nivel Bajo (T17) con revisión periódica, y la evitación de la divulgación de las operaciones de mantenimiento en producción.</w:t>
      </w:r>
    </w:p>
    <w:p>
      <w:pPr>
        <w:keepNext/>
        <w:spacing w:before="120"/>
        <w:jc w:val="center"/>
        <w:outlineLvl w:val="0"/>
        <w:rPr>
          <w:lang w:val="es-GT"/>
        </w:rPr>
      </w:pPr>
      <w:bookmarkStart w:id="120" w:name="_Toc900120"/>
      <w:r>
        <w:rPr>
          <w:b/>
          <w:lang w:val="es-GT"/>
        </w:rPr>
        <w:t xml:space="preserve">6. Casos de abuso</w:t>
      </w:r>
      <w:bookmarkEnd w:id="120"/>
    </w:p>
    <w:p>
      <w:pPr>
        <w:ind w:firstLine="720"/>
        <w:rPr>
          <w:lang w:val="es-GT"/>
        </w:rPr>
      </w:pPr>
      <w:r>
        <w:rPr>
          <w:lang w:val="es-GT"/>
        </w:rPr>
        <w:t xml:space="preserve">Para cada amenaza crítica o elevada, se registró el objetivo del atacante, el vector, las precondiciones, el método de explotación, el impacto y los controles preventivos, detectivos y correctivos propuestos.</w:t>
      </w:r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Tabla 10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Catálogo de casos de abuso para amenazas críticas y altas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700"/>
        <w:gridCol w:w="1700"/>
        <w:gridCol w:w="2600"/>
        <w:gridCol w:w="1300"/>
        <w:gridCol w:w="3106"/>
      </w:tblGrid>
      <w:tr>
        <w:trPr>
          <w:cantSplit/>
          <w:tblHeader/>
        </w:trPr>
        <w:tc>
          <w:tcPr>
            <w:tcW w:w="7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ID</w:t>
            </w:r>
          </w:p>
        </w:tc>
        <w:tc>
          <w:tcPr>
            <w:tcW w:w="17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Actor y objetivo</w:t>
            </w:r>
          </w:p>
        </w:tc>
        <w:tc>
          <w:tcPr>
            <w:tcW w:w="26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Vector, precondición y método</w:t>
            </w:r>
          </w:p>
        </w:tc>
        <w:tc>
          <w:tcPr>
            <w:tcW w:w="13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Impacto</w:t>
            </w:r>
          </w:p>
        </w:tc>
        <w:tc>
          <w:tcPr>
            <w:tcW w:w="310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Controles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T01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Atacante externo con acceso a la API.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Objetivo: Leer o modificar datos de todos los clientes.</w:t>
            </w:r>
          </w:p>
        </w:tc>
        <w:tc>
          <w:tcPr>
            <w:tcW w:w="2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Vector: POST /customers/update/{id} con firstName malicioso.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Precondición: Alcance de red al servicio y un ID de cliente válido.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Método: Cerrar la cadena con una comilla y concatenar sentencias o subconsultas sobre la tabla Customer.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Pérdida de integridad y confidencialidad de la base de clientes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Preventivo: Consultas parametrizadas, validación de entrada, BD con mínimo privilegio.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Detectivo: WAF y SIEM con reglas de inyección, alerta de errores SQL.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Correctivo: Revocar credenciales, restaurar desde respaldo, corregir el DAO y notificar el incidente.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T02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Atacante en la red o con acceso a logs.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Objetivo: Obtener credenciales de clientes.</w:t>
            </w:r>
          </w:p>
        </w:tc>
        <w:tc>
          <w:tcPr>
            <w:tcW w:w="2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Vector: Lectura de logs de Tomcat, proxies o historial con la URL de login.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Precondición: Acceso a logs o al tráfico.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Método: Extraer usuario y contraseña de la ruta /login/{usuario}/{contraseña}.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Toma de cuentas bancarias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Preventivo: Login por POST con token y TLS.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Detectivo: DLP sobre logs, alerta de accesos desde ubicaciones nuevas.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Correctivo: Forzar cambio de contraseñas expuestas y depurar logs.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T03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Atacante externo anónimo.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Objetivo: Tomar control administrativo de la aplicación.</w:t>
            </w:r>
          </w:p>
        </w:tc>
        <w:tc>
          <w:tcPr>
            <w:tcW w:w="2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Vector: Navegar a /parabank/admin.htm, db.htm o jms.htm.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Precondición: Alcance HTTP al servidor.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Método: Cambiar parámetros, reinicializar la BD o apagar el listener JMS desde las páginas administrativas.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Pérdida de datos, fraude por parámetros alterados y caída del servicio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Preventivo: Rol ADMIN con MFA y acceso solo desde red de gestión.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Detectivo: Alerta por acceso a rutas administrativas.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Correctivo: Restaurar parámetros y BD, rotar credenciales y cerrar la exposición.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T04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Cliente API malicioso.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Objetivo: Destruir datos o dejar fuera de servicio el sistema.</w:t>
            </w:r>
          </w:p>
        </w:tc>
        <w:tc>
          <w:tcPr>
            <w:tcW w:w="2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Vector: POST /services/bank/cleanDB, /initializeDB, /shutdownJmsListener.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Precondición: Alcance a /services.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Método: Invocar directamente las operaciones de mantenimiento.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Pérdida total de datos y disponibilidad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Preventivo: Retirar o proteger con OAuth 2.0 y scope administrativo.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Detectivo: Registro y alerta de invocaciones de mantenimiento.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Correctivo: Restauración desde respaldo y revisión del gateway.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T05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Cliente autenticado malicioso o anónimo.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Objetivo: Leer datos financieros y personales ajenos.</w:t>
            </w:r>
          </w:p>
        </w:tc>
        <w:tc>
          <w:tcPr>
            <w:tcW w:w="2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Vector: GET /accounts/{id} y /customers/{id} con IDs secuenciales.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Precondición: Conocer o adivinar el formato del ID.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Método: Enumeración de identificadores.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Exposición de PII y saldos de múltiples clientes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Preventivo: Autorización a nivel de objeto e IDs no predecibles.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Detectivo: Alerta por barridos secuenciales de IDs.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Correctivo: Invalidar sesiones, notificar y corregir las comprobaciones.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T06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Atacante con acceso a datos.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Objetivo: Usar credenciales y SSN en claro.</w:t>
            </w:r>
          </w:p>
        </w:tc>
        <w:tc>
          <w:tcPr>
            <w:tcW w:w="2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Vector: Lectura de la tabla Customer (inyección SQL o acceso directo a la BD).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Precondición: Cualquier acceso de lectura a la BD.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Método: SELECT de usernames, passwords y SSN.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Robo masivo de identidades y reutilización de contraseñas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Preventivo: Hash Argon2id y cifrado de SSN.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Detectivo: Alerta por consultas masivas sobre Customer.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Correctivo: Rotación forzada de credenciales y notificación a clientes.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T07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Atacante con alcance de red a la BD.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Objetivo: Controlar la base de datos.</w:t>
            </w:r>
          </w:p>
        </w:tc>
        <w:tc>
          <w:tcPr>
            <w:tcW w:w="2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Vector: Conexión JDBC/TCP al puerto 9001 como sa sin contraseña.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Precondición: Alcance de red al puerto.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Método: Conectar con un cliente JDBC y ejecutar SQL libre.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Lectura, modificación y destrucción total de datos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Preventivo: Cuenta de servicio de mínimo privilegio, bóveda de secretos y segmentación.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Detectivo: Logging de conexiones y alertas por orígenes nuevos.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Correctivo: Rotar credenciales y reconstruir desde respaldo.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T08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Atacante con alcance de red al broker.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Objetivo: Falsificar o leer solicitudes de préstamo.</w:t>
            </w:r>
          </w:p>
        </w:tc>
        <w:tc>
          <w:tcPr>
            <w:tcW w:w="2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Vector: Conexión a tcp://host:61616.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Precondición: Alcance al puerto del broker.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Método: Publicar mensajes de respuesta con aprobación o consumir solicitudes.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Préstamos fraudulentos y fuga de datos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Preventivo: Autenticación, ACL, TLS y enlace a red interna.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Detectivo: Alertas de conexiones y mensajes anómalos.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Correctivo: Purgar colas, rotar credenciales y revisar préstamos aprobados.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T09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Atacante en la ruta de red (MITM).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Objetivo: Capturar credenciales y sesiones.</w:t>
            </w:r>
          </w:p>
        </w:tc>
        <w:tc>
          <w:tcPr>
            <w:tcW w:w="2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Vector: Intercepción del tráfico HTTP del cliente.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Precondición: Posición de red intermedia (Wi-Fi público, proxy).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Método: Sniffing de F01/F02 para obtener contraseña o JSESSIONID.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Suplantación y fraude con la cuenta de la víctima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Preventivo: TLS 1.2+, HSTS y cookies Secure.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Detectivo: Monitoreo de sesiones simultáneas.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Correctivo: Invalidar sesiones y forzar cambio de contraseña.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T10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Atacante externo.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Objetivo: Transferir fondos desde cuentas de víctimas.</w:t>
            </w:r>
          </w:p>
        </w:tc>
        <w:tc>
          <w:tcPr>
            <w:tcW w:w="2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Vector: Página maliciosa que dispara POST a transfer.htm.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Precondición: La víctima tiene sesión activa.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Método: Formulario auto-enviado o petición cruzada de sitio.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Transferencias no autorizadas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Preventivo: Token CSRF, SameSite y OTP en operaciones de valor.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Detectivo: Reglas antifraude por monto y beneficiario nuevo.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Correctivo: Reversar transferencias y reforzar controles.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T11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Cliente malicioso.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Objetivo: Alterar monto o cuenta de una operación.</w:t>
            </w:r>
          </w:p>
        </w:tc>
        <w:tc>
          <w:tcPr>
            <w:tcW w:w="2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Vector: Modificar parámetros en POST /transfer o /billpay.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Precondición: Sesión válida o acceso al API.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Método: Cambiar amount o cuenta origen en la petición.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Fraude financiero y descuadre contable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Preventivo: Validación de negocio en servidor, firma e idempotencia.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Detectivo: Conciliación y reglas antifraude.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Correctivo: Reversión y ajuste contable.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T12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Atacante con listas de credenciales filtradas.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Objetivo: Tomar cuentas de clientes.</w:t>
            </w:r>
          </w:p>
        </w:tc>
        <w:tc>
          <w:tcPr>
            <w:tcW w:w="2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Vector: Peticiones automatizadas a /login.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Precondición: Listas de usuarios y contraseñas.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Método: Credential stuffing sin límite de intentos.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Fraude y daño reputacional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Preventivo: MFA, bloqueo progresivo y rate limiting.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Detectivo: SIEM con alerta de fallos repetidos.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Correctivo: Bloquear cuentas, forzar restablecimiento y notificar.</w:t>
            </w:r>
          </w:p>
        </w:tc>
      </w:tr>
      <w:tr>
        <w:trPr>
          <w:cantSplit/>
        </w:trPr>
        <w:tc>
          <w:tcPr>
            <w:tcW w:w="7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T13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7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Atacante con acceso administrativo (por T03/T04).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Objetivo: Aprobar préstamos fraudulentos.</w:t>
            </w:r>
          </w:p>
        </w:tc>
        <w:tc>
          <w:tcPr>
            <w:tcW w:w="26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Vector: Modificar loanProcessorThreshold vía setParameter o admin.htm.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Precondición: Acceso a la administración.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Método: Subir el umbral para que toda solicitud sea aprobada.</w:t>
            </w:r>
          </w:p>
        </w:tc>
        <w:tc>
          <w:tcPr>
            <w:tcW w:w="13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Pérdidas por préstamos otorgados indebidamente</w:t>
            </w:r>
          </w:p>
        </w:tc>
        <w:tc>
          <w:tcPr>
            <w:tcW w:w="3106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Preventivo: Doble aprobación y rangos válidos.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Detectivo: Alerta de cambios de parámetros.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Correctivo: Revertir parámetros y auditar préstamos aprobados.</w:t>
            </w:r>
          </w:p>
        </w:tc>
      </w:tr>
    </w:tbl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Elaboración propia.</w:t>
      </w:r>
    </w:p>
    <w:p>
      <w:pPr>
        <w:keepNext/>
        <w:spacing w:before="120"/>
        <w:jc w:val="left"/>
        <w:outlineLvl w:val="1"/>
        <w:rPr>
          <w:lang w:val="es-GT"/>
        </w:rPr>
      </w:pPr>
      <w:bookmarkStart w:id="121" w:name="_Toc900121"/>
      <w:r>
        <w:rPr>
          <w:b/>
          <w:lang w:val="es-GT"/>
        </w:rPr>
        <w:t xml:space="preserve">6.1 Árbol de ataque</w:t>
      </w:r>
      <w:bookmarkEnd w:id="121"/>
    </w:p>
    <w:p>
      <w:pPr>
        <w:ind w:firstLine="720"/>
        <w:rPr>
          <w:lang w:val="es-GT"/>
        </w:rPr>
      </w:pPr>
      <w:r>
        <w:rPr>
          <w:lang w:val="es-GT"/>
        </w:rPr>
        <w:t xml:space="preserve">El propósito de visualizar o modificar la información de los clientes puede lograrse mediante tres vías: a través de la aplicación (introduciendo SQL en T01, enumerando identificadores en T05 y exponiendo credenciales en la URL en T02), a través de la infraestructura (conectando directamente como sa en T07 y accediendo a páginas de administración sin autenticación en T03) y mediante la mensajería (remitiendo mensajes al broker abierto en T08). La existencia de múltiples trayectorias hacia un objetivo común explica por qué la mitigación debe abarcar todas las capas.</w:t>
      </w:r>
    </w:p>
    <w:p>
      <w:pPr>
        <w:keepNext/>
        <w:spacing w:before="120"/>
        <w:jc w:val="center"/>
        <w:outlineLvl w:val="0"/>
        <w:rPr>
          <w:lang w:val="es-GT"/>
        </w:rPr>
      </w:pPr>
      <w:bookmarkStart w:id="122" w:name="_Toc900122"/>
      <w:r>
        <w:rPr>
          <w:b/>
          <w:lang w:val="es-GT"/>
        </w:rPr>
        <w:t xml:space="preserve">7. Controles de seguridad</w:t>
      </w:r>
      <w:bookmarkEnd w:id="122"/>
    </w:p>
    <w:p>
      <w:pPr>
        <w:ind w:firstLine="720"/>
        <w:rPr>
          <w:lang w:val="es-GT"/>
        </w:rPr>
      </w:pPr>
      <w:r>
        <w:rPr>
          <w:lang w:val="es-GT"/>
        </w:rPr>
        <w:t xml:space="preserve">Cada amenaza fue vinculada a controles de aplicación, interfaz de programación de aplicaciones (API), infraestructura y monitoreo. La columna final contrasta el riesgo inicial con el riesgo residual proyectado tras su aplicación; estos son valores que deben ser validados con el equipo, no constituyen una garantía.</w:t>
      </w:r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Tabla 11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Controles por amenaza y riesgo residual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600"/>
        <w:gridCol w:w="2200"/>
        <w:gridCol w:w="4806"/>
        <w:gridCol w:w="1800"/>
      </w:tblGrid>
      <w:tr>
        <w:trPr>
          <w:cantSplit/>
          <w:tblHeader/>
        </w:trPr>
        <w:tc>
          <w:tcPr>
            <w:tcW w:w="6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ID</w:t>
            </w:r>
          </w:p>
        </w:tc>
        <w:tc>
          <w:tcPr>
            <w:tcW w:w="22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Amenaza</w:t>
            </w:r>
          </w:p>
        </w:tc>
        <w:tc>
          <w:tcPr>
            <w:tcW w:w="480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Controles</w:t>
            </w:r>
          </w:p>
        </w:tc>
        <w:tc>
          <w:tcPr>
            <w:tcW w:w="18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Riesgo inicial → residual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T01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Inyección SQL en la actualización de clientes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Sentencias parametrizadas y uso de SecureJdbcCustomerDao en toda ruta de escritura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Validación de esquema y longitud de campos en el endpoint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Cuenta de BD con privilegios mínimos distinta de sa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Alerta de WAF/SIEM por patrones de inyección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T02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Credenciales viajan en la URL (GET /login/{usuario}/{contraseña})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Autenticar con POST y cuerpo, o con OAuth 2.0/OIDC con tokens de corta vida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Excluir rutas sensibles del registro de acceso y de proxies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Detección de credenciales en logs (DLP)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T03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Páginas de administración fuera del control de sesión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Autorización por rol (ADMIN) con deny-by-default en todas las rutas /admin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Publicar el módulo administrativo solo en red de gestión o VPN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MFA para administradores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Alertas por acceso a rutas administrativas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T04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Endpoints de mantenimiento expuestos en la API (cleanDB, initializeDB, setParameter, shutdownJmsListener)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Separar la API operativa de la administrativa y exigir token con scope admin en esta última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API Gateway con listas de control de acceso por ruta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Segmentación de red: operaciones de mantenimiento solo desde red interna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Registro y alerta de invocaciones de mantenimiento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T05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Acceso a cuentas y clientes ajenos mediante identificadores (BOLA/IDOR)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Autorización a nivel de objeto: comparar el ID del recurso con el sujeto del token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Identificadores no predecibles (UUID)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Alerta por enumeración secuencial de IDs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T06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Contraseñas y SSN almacenados sin protección criptográfica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Hash con Argon2id o bcrypt con sal por usuario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Cifrado de columnas sensibles (SSN) y gestión de claves en bóveda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Alertas por consultas masivas sobre Customer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T07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Cuenta sa sin contraseña y puerto HyperSQL 9001 accesible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Cuenta de aplicación con privilegios mínimos y contraseña robusta en bóveda de secretos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Segmentación: BD accesible solo desde el servidor de aplicaciones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Hardening: deshabilitar la cuenta sa por defecto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Logging de conexiones a la BD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 → Medio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T08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Broker ActiveMQ en 0.0.0.0:61616 sin autenticación configurada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Enlazar el broker a localhost o red interna y exigir TLS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Autenticación y ACL por cola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Firmar los mensajes de préstamo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Alertas de conexiones y mensajes anómalos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T09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Tráfico HTTP sin TLS: credenciales y cookie de sesión interceptables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TLS 1.2+ obligatorio con redirección y HSTS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Cookie con Secure y HttpOnly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Monitoreo de certificados y de suites débiles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T10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CSRF sobre transferencias y pagos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Token anti-CSRF por sesión en formularios de escritura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Cookie SameSite=Lax/Strict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Reautenticación o OTP para transferencias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Alerta de transferencias atípicas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T11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Manipulación de monto o cuenta en operaciones monetarias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Validación de negocio en el servidor: propiedad de la cuenta, saldo y límites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Firma o HMAC de la solicitud y control de idempotencia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TLS en tránsito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Reglas antifraude por monto y frecuencia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T12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Fuerza bruta y credential stuffing sobre el login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MFA y bloqueo progresivo de cuenta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Rate limiting por IP y por usuario en el API Gateway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Política de contraseñas y verificación contra listas filtradas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SIEM con alerta de fallos de login repetidos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T13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Alteración del umbral de aprobación de préstamos y del modo de acceso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Cambios de parámetros críticos con doble aprobación (cuatro ojos)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Rangos válidos y límites máximos para el umbral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Alerta y auditoría de cambios de parámetros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T14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Cabeceras CORS abiertas a cualquier origen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Lista blanca de orígenes permitidos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No combinar CORS abierto con credenciales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T15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Falta de no repudio en transacciones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Confirmación con OTP o firma para operaciones relevantes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Bitácora de auditoría con hash encadenado y sincronización de tiempo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T16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Acciones administrativas sin identidad ni auditoría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Cuentas nominales con roles para administración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Log centralizado de acciones administrativas hacia el SIEM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T17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Bitácoras modificables y con datos sensibles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Envío en tiempo real a un SIEM con almacenamiento de solo anexado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Enmascarar datos personales en logs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Bajo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T18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Denegación de servicio por API sin límites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Rate limiting y cuotas en el API Gateway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Protección anti-DDoS y autoescalado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Alertas de picos de tráfico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T19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Inundación de solicitudes de préstamo sobre la cola JMS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Límite de solicitudes por cliente y tamaño de cola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Cola persistente y dead-letter queue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Alertas de profundidad de cola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T20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Suplantación del proveedor de préstamos o respuesta falsa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TLS mutuo y firma de mensajes con validación de correlación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Conciliación de aprobaciones contra el proveedor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T21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Procesamiento XML inseguro en servicios SOAP (XXE)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Deshabilitar DTD y entidades externas en el parser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Validar contra XSD y limitar tamaño de mensaje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Egress filtering desde el servidor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T22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Dependencias de terceros sin gestión de vulnerabilidades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SCA en el pipeline (OWASP Dependency-Check) y SBOM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Parcheo periódico de Tomcat y ActiveMQ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 → Bajo</w:t>
            </w:r>
          </w:p>
        </w:tc>
      </w:tr>
      <w:tr>
        <w:trPr>
          <w:cantSplit/>
        </w:trPr>
        <w:tc>
          <w:tcPr>
            <w:tcW w:w="6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T23</w:t>
            </w:r>
          </w:p>
        </w:tc>
        <w:tc>
          <w:tcPr>
            <w:tcW w:w="22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Cookie de sesión sin atributos de endurecimiento verificados</w:t>
            </w:r>
          </w:p>
        </w:tc>
        <w:tc>
          <w:tcPr>
            <w:tcW w:w="4806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Cookie Secure/HttpOnly/SameSite, regeneración del ID al autenticar y timeout de 15 minutos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Detección de sesiones simultáneas desde orígenes distintos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 → Bajo</w:t>
            </w:r>
          </w:p>
        </w:tc>
      </w:tr>
    </w:tbl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Elaboración propia.</w:t>
      </w:r>
    </w:p>
    <w:p>
      <w:pPr>
        <w:keepNext/>
        <w:spacing w:before="120"/>
        <w:jc w:val="center"/>
        <w:outlineLvl w:val="0"/>
        <w:rPr>
          <w:lang w:val="es-GT"/>
        </w:rPr>
      </w:pPr>
      <w:bookmarkStart w:id="123" w:name="_Toc900123"/>
      <w:r>
        <w:rPr>
          <w:b/>
          <w:lang w:val="es-GT"/>
        </w:rPr>
        <w:t xml:space="preserve">8. Matriz de riesgos y remediación</w:t>
      </w:r>
      <w:bookmarkEnd w:id="123"/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Tabla 12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Plan de remediación ordenado por riesgo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600"/>
        <w:gridCol w:w="2000"/>
        <w:gridCol w:w="900"/>
        <w:gridCol w:w="1100"/>
        <w:gridCol w:w="3606"/>
        <w:gridCol w:w="1200"/>
      </w:tblGrid>
      <w:tr>
        <w:trPr>
          <w:cantSplit/>
          <w:tblHeader/>
        </w:trPr>
        <w:tc>
          <w:tcPr>
            <w:tcW w:w="6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ID</w:t>
            </w:r>
          </w:p>
        </w:tc>
        <w:tc>
          <w:tcPr>
            <w:tcW w:w="20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Riesgo</w:t>
            </w:r>
          </w:p>
        </w:tc>
        <w:tc>
          <w:tcPr>
            <w:tcW w:w="9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Severidad</w:t>
            </w:r>
          </w:p>
        </w:tc>
        <w:tc>
          <w:tcPr>
            <w:tcW w:w="11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Responsable</w:t>
            </w:r>
          </w:p>
        </w:tc>
        <w:tc>
          <w:tcPr>
            <w:tcW w:w="360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Acción correctiva</w:t>
            </w:r>
          </w:p>
        </w:tc>
        <w:tc>
          <w:tcPr>
            <w:tcW w:w="12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Fecha objetivo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T01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Inyección SQL en la actualización de clientes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Reemplazar la concatenación por parámetros con nombre y habilitar siempre SecureJdbcCustomerDao; agregar prueba unitaria de inyección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2026-11-05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T03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Páginas de administración fuera del control de sesión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Arquitectura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Proteger las rutas administrativas con rol ADMIN y MFA, y separarlas del acceso público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2026-11-05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T04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Endpoints de mantenimiento expuestos en la API (cleanDB, initializeDB, setParameter, shutdownJmsListener)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Arquitectura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Retirar de producción las operaciones de mantenimiento o protegerlas con OAuth 2.0 y scope administrativo detrás de un API Gateway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2026-11-05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T02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Credenciales viajan en la URL (GET /login/{usuario}/{contraseña})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Arquitectura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Retirar el login por GET y migrar a un flujo con token (OAuth 2.0/OIDC); depurar logs existentes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2026-11-05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T05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Acceso a cuentas y clientes ajenos mediante identificadores (BOLA/IDOR)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Implementar verificación de propiedad en cada operación por ID y pruebas automatizadas de BOLA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2026-11-05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T06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Contraseñas y SSN almacenados sin protección criptográfica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Migrar contraseñas a hash Argon2id y cifrar o tokenizar el SSN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2027-04-05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T07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Cuenta sa sin contraseña y puerto HyperSQL 9001 accesible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Crear cuenta de servicio con mínimos privilegios, retirar sa, cerrar el puerto a la red y mover secretos a bóveda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2027-01-05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T08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Broker ActiveMQ en 0.0.0.0:61616 sin autenticación configurada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Restringir el listener a la red interna, habilitar autenticación, ACL y TLS en ActiveMQ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2027-01-05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T09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Tráfico HTTP sin TLS: credenciales y cookie de sesión interceptables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Terminar TLS en un balanceador o en Tomcat, activar HSTS y marcar cookies Secure/HttpOnly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2027-01-05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T10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CSRF sobre transferencias y pagos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Agregar token CSRF y SameSite en todos los formularios y exigir OTP para operaciones de alto valor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2027-04-05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T11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Manipulación de monto o cuenta en operaciones monetarias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Validar propiedad, saldo y límites en servidor; agregar firma de solicitud e idempotencia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2027-04-05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T12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Fuerza bruta y credential stuffing sobre el login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Implementar MFA, bloqueo progresivo y rate limiting en el gateway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2027-01-05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T13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Alteración del umbral de aprobación de préstamos y del modo de acceso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Arquitectura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Imponer doble aprobación, validación de rangos y auditoría de los parámetros críticos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2027-04-05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T14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Cabeceras CORS abiertas a cualquier origen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Sustituir allowAllOrigins por una lista de orígenes autorizados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2027-01-05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T15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Falta de no repudio en transacciones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Registrar evidencia de consentimiento (OTP, IP, dispositivo, hora) por cada transacción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2027-04-05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T16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Acciones administrativas sin identidad ni auditoría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Arquitectura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Registrar usuario, hora y valor anterior y nuevo en cada cambio administrativo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2027-04-05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T18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Denegación de servicio por API sin límites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Poner un API Gateway con cuotas y protección anti-DDoS delante de los servicios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2027-04-05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T19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Inundación de solicitudes de préstamo sobre la cola JMS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Definir cuotas, cola persistente y monitoreo de profundidad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2027-04-05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T23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Cookie de sesión sin atributos de endurecimiento verificados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Configurar atributos de cookie, rotación de sesión y expiración por inactividad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2027-04-05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T20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Suplantación del proveedor de préstamos o respuesta falsa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Arquitectura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Exigir mTLS y firma en la integración con proveedores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2027-10-05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T21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Procesamiento XML inseguro en servicios SOAP (XXE)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Endurecer el parser XML y validar los mensajes contra el esquema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2027-10-05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T22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Dependencias de terceros sin gestión de vulnerabilidades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Integrar SCA y SBOM al pipeline con política de fallo por severidad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2027-10-05</w:t>
            </w:r>
          </w:p>
        </w:tc>
      </w:tr>
      <w:tr>
        <w:trPr>
          <w:cantSplit/>
        </w:trPr>
        <w:tc>
          <w:tcPr>
            <w:tcW w:w="6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T17</w:t>
            </w:r>
          </w:p>
        </w:tc>
        <w:tc>
          <w:tcPr>
            <w:tcW w:w="20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Bitácoras modificables y con datos sensibles</w:t>
            </w:r>
          </w:p>
        </w:tc>
        <w:tc>
          <w:tcPr>
            <w:tcW w:w="9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Bajo</w:t>
            </w:r>
          </w:p>
        </w:tc>
        <w:tc>
          <w:tcPr>
            <w:tcW w:w="11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</w:t>
            </w:r>
          </w:p>
        </w:tc>
        <w:tc>
          <w:tcPr>
            <w:tcW w:w="3606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Centralizar logs, protegerlos contra modificación y enmascarar datos sensibles</w:t>
            </w:r>
          </w:p>
        </w:tc>
        <w:tc>
          <w:tcPr>
            <w:tcW w:w="12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2027-04-05</w:t>
            </w:r>
          </w:p>
        </w:tc>
      </w:tr>
    </w:tbl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Los responsables son roles genéricos y las fechas parten del 5 de octubre de 2026. Las amenazas críticas se programan primero. Elaboración propia.</w:t>
      </w:r>
    </w:p>
    <w:p>
      <w:pPr>
        <w:keepNext/>
        <w:spacing w:before="120"/>
        <w:jc w:val="center"/>
        <w:outlineLvl w:val="0"/>
        <w:rPr>
          <w:lang w:val="es-GT"/>
        </w:rPr>
      </w:pPr>
      <w:bookmarkStart w:id="124" w:name="_Toc900124"/>
      <w:r>
        <w:rPr>
          <w:b/>
          <w:lang w:val="es-GT"/>
        </w:rPr>
        <w:t xml:space="preserve">9. Roadmap de mejoras</w:t>
      </w:r>
      <w:bookmarkEnd w:id="124"/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Tabla 13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Roadmap de mejoras por horizonte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1500"/>
        <w:gridCol w:w="600"/>
        <w:gridCol w:w="1000"/>
        <w:gridCol w:w="4806"/>
        <w:gridCol w:w="1500"/>
      </w:tblGrid>
      <w:tr>
        <w:trPr>
          <w:cantSplit/>
          <w:tblHeader/>
        </w:trPr>
        <w:tc>
          <w:tcPr>
            <w:tcW w:w="15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Horizonte</w:t>
            </w:r>
          </w:p>
        </w:tc>
        <w:tc>
          <w:tcPr>
            <w:tcW w:w="6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ID</w:t>
            </w:r>
          </w:p>
        </w:tc>
        <w:tc>
          <w:tcPr>
            <w:tcW w:w="10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Severidad</w:t>
            </w:r>
          </w:p>
        </w:tc>
        <w:tc>
          <w:tcPr>
            <w:tcW w:w="480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Acción</w:t>
            </w:r>
          </w:p>
        </w:tc>
        <w:tc>
          <w:tcPr>
            <w:tcW w:w="15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Responsable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Corto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(0-3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T01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Reemplazar la concatenación por parámetros con nombre y habilitar siempre SecureJdbcCustomerDao; agregar prueba unitaria de inyección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Corto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(0-3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T03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Proteger las rutas administrativas con rol ADMIN y MFA, y separarlas del acceso público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Arquitectura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Corto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(0-3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T04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Retirar de producción las operaciones de mantenimiento o protegerlas con OAuth 2.0 y scope administrativo detrás de un API Gateway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Arquitectura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Corto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(0-3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T02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Retirar el login por GET y migrar a un flujo con token (OAuth 2.0/OIDC); depurar logs existentes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Arquitectura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Corto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(0-3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T05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Implementar verificación de propiedad en cada operación por ID y pruebas automatizadas de BOLA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Corto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(0-3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T07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Crear cuenta de servicio con mínimos privilegios, retirar sa, cerrar el puerto a la red y mover secretos a bóveda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Corto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(0-3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T08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Restringir el listener a la red interna, habilitar autenticación, ACL y TLS en ActiveMQ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Corto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(0-3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T09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Terminar TLS en un balanceador o en Tomcat, activar HSTS y marcar cookies Secure/HttpOnly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Corto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(0-3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T12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Implementar MFA, bloqueo progresivo y rate limiting en el gateway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Corto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(0-3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T14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Sustituir allowAllOrigins por una lista de orígenes autorizados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Mediano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(3-6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T06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Migrar contraseñas a hash Argon2id y cifrar o tokenizar el SSN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Mediano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(3-6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T10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Agregar token CSRF y SameSite en todos los formularios y exigir OTP para operaciones de alto valor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Mediano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(3-6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T11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Validar propiedad, saldo y límites en servidor; agregar firma de solicitud e idempotencia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Mediano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(3-6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T13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Imponer doble aprobación, validación de rangos y auditoría de los parámetros críticos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Arquitectura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Mediano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(3-6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T15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Registrar evidencia de consentimiento (OTP, IP, dispositivo, hora) por cada transacción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Mediano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(3-6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T16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Registrar usuario, hora y valor anterior y nuevo en cada cambio administrativo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Arquitectura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Mediano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(3-6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T18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Poner un API Gateway con cuotas y protección anti-DDoS delante de los servicios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Mediano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(3-6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T19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Definir cuotas, cola persistente y monitoreo de profundidad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Mediano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(3-6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T23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Configurar atributos de cookie, rotación de sesión y expiración por inactividad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Mediano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(3-6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T17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Bajo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Centralizar logs, protegerlos contra modificación y enmascarar datos sensibles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Largo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(6-12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T20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Exigir mTLS y firma en la integración con proveedores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Arquitectura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Largo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(6-12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T21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Endurecer el parser XML y validar los mensajes contra el esquema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</w:tr>
      <w:tr>
        <w:trPr>
          <w:cantSplit/>
        </w:trPr>
        <w:tc>
          <w:tcPr>
            <w:tcW w:w="15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Largo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(6-12 meses)</w:t>
            </w:r>
          </w:p>
        </w:tc>
        <w:tc>
          <w:tcPr>
            <w:tcW w:w="6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T22</w:t>
            </w:r>
          </w:p>
        </w:tc>
        <w:tc>
          <w:tcPr>
            <w:tcW w:w="10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4806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Integrar SCA y SBOM al pipeline con política de fallo por severidad</w:t>
            </w:r>
          </w:p>
        </w:tc>
        <w:tc>
          <w:tcPr>
            <w:tcW w:w="15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</w:tr>
    </w:tbl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Elaboración propia.</w:t>
      </w:r>
    </w:p>
    <w:p>
      <w:pPr>
        <w:keepNext/>
        <w:pageBreakBefore/>
        <w:spacing w:before="120"/>
        <w:jc w:val="center"/>
        <w:outlineLvl w:val="0"/>
        <w:rPr>
          <w:lang w:val="es-GT"/>
        </w:rPr>
      </w:pPr>
      <w:bookmarkStart w:id="125" w:name="_Toc900125"/>
      <w:r>
        <w:rPr>
          <w:b/>
          <w:lang w:val="es-GT"/>
        </w:rPr>
        <w:t xml:space="preserve">Conclusión</w:t>
      </w:r>
      <w:bookmarkEnd w:id="125"/>
    </w:p>
    <w:p>
      <w:pPr>
        <w:ind w:firstLine="720"/>
        <w:rPr>
          <w:lang w:val="es-GT"/>
        </w:rPr>
      </w:pPr>
      <w:r>
        <w:rPr>
          <w:lang w:val="es-GT"/>
        </w:rPr>
        <w:t xml:space="preserve">La modelización de amenazas de ParaBank revela que las vulnerabilidades más severas se encuentran en decisiones de diseño y configuración, no en fallos exóticos: una consulta SQL desarrollada con concatenación, credenciales transmitidas en la URL, funciones administrativas sin autenticación, una base de datos con la cuenta de administración sin contraseña y un gestor de mensajes expuesto. Las cinco amenazas críticas se alinean con lo anticipado en una prueba de penetración sobre una aplicación ya en producción; sin embargo, en este caso, se identificaron desde el diseño.</w:t>
      </w:r>
    </w:p>
    <w:p>
      <w:pPr>
        <w:ind w:firstLine="720"/>
        <w:rPr>
          <w:lang w:val="es-GT"/>
        </w:rPr>
      </w:pPr>
      <w:r>
        <w:rPr>
          <w:lang w:val="es-GT"/>
        </w:rPr>
        <w:t xml:space="preserve">Esta es la ventaja inherente a la implementación temprana de la seguridad. Corregir estas amenazas antes de su implementación demanda modificaciones limitadas, tales como la parametrización de consultas, la separación de la administración y la activación de autenticación y TLS. Hacerlo después implica reingeniería, adquisiciones de emergencia y riesgo para los clientes y las transacciones. La etapa subsecuente consiste en corroborar las hipótesis mediante pruebas autorizadas y colaborar con los equipos de Arquitectura y Desarrollo, manteniendo el modelo en Threat Dragon como un artefacto vivo en el ciclo de desarrollo seguro.</w:t>
      </w:r>
    </w:p>
    <w:p>
      <w:pPr>
        <w:keepNext/>
        <w:pageBreakBefore/>
        <w:spacing w:before="120"/>
        <w:jc w:val="center"/>
        <w:outlineLvl w:val="0"/>
        <w:rPr>
          <w:lang w:val="es-GT"/>
        </w:rPr>
      </w:pPr>
      <w:bookmarkStart w:id="126" w:name="_Toc900126"/>
      <w:r>
        <w:rPr>
          <w:b/>
          <w:lang w:val="es-GT"/>
        </w:rPr>
        <w:t xml:space="preserve">Referencias</w:t>
      </w:r>
      <w:bookmarkEnd w:id="126"/>
    </w:p>
    <w:p>
      <w:pPr>
        <w:ind w:left="720" w:hanging="720"/>
        <w:jc w:val="left"/>
        <w:rPr>
          <w:lang w:val="es-GT"/>
        </w:rPr>
      </w:pPr>
      <w:r>
        <w:rPr>
          <w:lang w:val="es-GT"/>
        </w:rPr>
        <w:t xml:space="preserve">López Sajquin, M. R. (2026). </w:t>
      </w:r>
      <w:r>
        <w:rPr>
          <w:i/>
          <w:lang w:val="es-GT"/>
        </w:rPr>
        <w:t xml:space="preserve">Modelado de amenazas en el diseño: DFD, STRIDE, PASTA y priorización</w:t>
      </w:r>
      <w:r>
        <w:rPr>
          <w:lang w:val="es-GT"/>
        </w:rPr>
        <w:t xml:space="preserve"> [Diapositivas de la semana 2]. Seguridad en Aplicaciones, Universidad Mariano Gálvez de Guatemala.</w:t>
      </w:r>
    </w:p>
    <w:p>
      <w:pPr>
        <w:ind w:left="720" w:hanging="720"/>
        <w:jc w:val="left"/>
        <w:rPr>
          <w:lang w:val="es-GT"/>
        </w:rPr>
      </w:pPr>
      <w:r>
        <w:rPr>
          <w:lang w:val="es-GT"/>
        </w:rPr>
        <w:t xml:space="preserve">National Institute of Standards and Technology. (2022). </w:t>
      </w:r>
      <w:r>
        <w:rPr>
          <w:i/>
          <w:lang w:val="es-GT"/>
        </w:rPr>
        <w:t xml:space="preserve">Secure software development framework (SSDF) version 1.1: Recommendations for mitigating the risk of software vulnerabilities</w:t>
      </w:r>
      <w:r>
        <w:rPr>
          <w:lang w:val="es-GT"/>
        </w:rPr>
        <w:t xml:space="preserve"> (NIST SP 800-218). https://doi.org/10.6028/NIST.SP.800-218</w:t>
      </w:r>
    </w:p>
    <w:p>
      <w:pPr>
        <w:ind w:left="720" w:hanging="720"/>
        <w:jc w:val="left"/>
        <w:rPr>
          <w:lang w:val="es-GT"/>
        </w:rPr>
      </w:pPr>
      <w:r>
        <w:rPr>
          <w:lang w:val="es-GT"/>
        </w:rPr>
        <w:t xml:space="preserve">Open Worldwide Application Security Project. (s. f.). </w:t>
      </w:r>
      <w:r>
        <w:rPr>
          <w:i/>
          <w:lang w:val="es-GT"/>
        </w:rPr>
        <w:t xml:space="preserve">OWASP Threat Dragon</w:t>
      </w:r>
      <w:r>
        <w:rPr>
          <w:lang w:val="es-GT"/>
        </w:rPr>
        <w:t xml:space="preserve">. https://owasp.org/www-project-threat-dragon/</w:t>
      </w:r>
    </w:p>
    <w:p>
      <w:pPr>
        <w:ind w:left="720" w:hanging="720"/>
        <w:jc w:val="left"/>
        <w:rPr>
          <w:lang w:val="es-GT"/>
        </w:rPr>
      </w:pPr>
      <w:r>
        <w:rPr>
          <w:lang w:val="es-GT"/>
        </w:rPr>
        <w:t xml:space="preserve">Parasoft. (2026). </w:t>
      </w:r>
      <w:r>
        <w:rPr>
          <w:i/>
          <w:lang w:val="es-GT"/>
        </w:rPr>
        <w:t xml:space="preserve">ParaBank</w:t>
      </w:r>
      <w:r>
        <w:rPr>
          <w:lang w:val="es-GT"/>
        </w:rPr>
        <w:t xml:space="preserve"> [Software]. GitHub. https://github.com/parasoft/parabank</w:t>
      </w:r>
    </w:p>
    <w:p>
      <w:pPr>
        <w:ind w:left="720" w:hanging="720"/>
        <w:jc w:val="left"/>
        <w:rPr>
          <w:lang w:val="es-GT"/>
        </w:rPr>
      </w:pPr>
      <w:r>
        <w:rPr>
          <w:lang w:val="es-GT"/>
        </w:rPr>
        <w:t xml:space="preserve">Shostack, A. (2014). </w:t>
      </w:r>
      <w:r>
        <w:rPr>
          <w:i/>
          <w:lang w:val="es-GT"/>
        </w:rPr>
        <w:t xml:space="preserve">Threat modeling: Designing for security</w:t>
      </w:r>
      <w:r>
        <w:rPr>
          <w:lang w:val="es-GT"/>
        </w:rPr>
        <w:t xml:space="preserve">. Wiley.</w:t>
      </w:r>
    </w:p>
    <w:sectPr w:rsidR="005F209D" w:rsidRPr="00900852" w:rsidSect="00900852">
      <w:headerReference w:type="first" r:id="rId12"/>
      <w:pgSz w:w="12240" w:h="15840"/>
      <w:pgMar w:top="1417" w:right="1417" w:bottom="1417" w:left="1417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9FE16F" w14:textId="77777777" w:rsidR="003C64C8" w:rsidRDefault="003C64C8" w:rsidP="003C64C8">
      <w:pPr>
        <w:spacing w:after="0"/>
      </w:pPr>
      <w:r>
        <w:separator/>
      </w:r>
    </w:p>
  </w:endnote>
  <w:endnote w:type="continuationSeparator" w:id="0">
    <w:p w14:paraId="3B2362D7" w14:textId="77777777" w:rsidR="003C64C8" w:rsidRDefault="003C64C8" w:rsidP="003C64C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A4691B" w14:textId="77777777" w:rsidR="003C64C8" w:rsidRDefault="003C64C8" w:rsidP="003C64C8">
      <w:pPr>
        <w:spacing w:after="0"/>
      </w:pPr>
      <w:r>
        <w:separator/>
      </w:r>
    </w:p>
  </w:footnote>
  <w:footnote w:type="continuationSeparator" w:id="0">
    <w:p w14:paraId="344C5243" w14:textId="77777777" w:rsidR="003C64C8" w:rsidRDefault="003C64C8" w:rsidP="003C64C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08171661"/>
      <w:docPartObj>
        <w:docPartGallery w:val="Page Numbers (Top of Page)"/>
        <w:docPartUnique/>
      </w:docPartObj>
    </w:sdtPr>
    <w:sdtEndPr/>
    <w:sdtContent>
      <w:p w14:paraId="5C35C666" w14:textId="7ABFD8F1" w:rsidR="00900852" w:rsidRDefault="00900852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65B19F01" w14:textId="77777777" w:rsidR="00900852" w:rsidRDefault="0090085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04047177">
    <w:abstractNumId w:val="8"/>
  </w:num>
  <w:num w:numId="2" w16cid:durableId="219295368">
    <w:abstractNumId w:val="6"/>
  </w:num>
  <w:num w:numId="3" w16cid:durableId="588347090">
    <w:abstractNumId w:val="5"/>
  </w:num>
  <w:num w:numId="4" w16cid:durableId="2143493970">
    <w:abstractNumId w:val="4"/>
  </w:num>
  <w:num w:numId="5" w16cid:durableId="1386685182">
    <w:abstractNumId w:val="7"/>
  </w:num>
  <w:num w:numId="6" w16cid:durableId="207036656">
    <w:abstractNumId w:val="3"/>
  </w:num>
  <w:num w:numId="7" w16cid:durableId="78841685">
    <w:abstractNumId w:val="2"/>
  </w:num>
  <w:num w:numId="8" w16cid:durableId="1991858548">
    <w:abstractNumId w:val="1"/>
  </w:num>
  <w:num w:numId="9" w16cid:durableId="2612301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updateFields w:val="true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C64C8"/>
    <w:rsid w:val="00454FF4"/>
    <w:rsid w:val="00526C6E"/>
    <w:rsid w:val="005F209D"/>
    <w:rsid w:val="006A2202"/>
    <w:rsid w:val="008600F3"/>
    <w:rsid w:val="00900852"/>
    <w:rsid w:val="00AA1D8D"/>
    <w:rsid w:val="00B15BFE"/>
    <w:rsid w:val="00B3153B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322C00F"/>
  <w14:defaultImageDpi w14:val="300"/>
  <w15:docId w15:val="{42FAA0F6-620E-4E53-9566-F4A355ECE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40" w:lineRule="auto"/>
      <w:jc w:val="both"/>
    </w:pPr>
    <w:rPr>
      <w:rFonts w:ascii="Times New Roman" w:eastAsia="Times New Roman" w:hAnsi="Times New Roman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3C64C8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3C64C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Relationship Id="rIdDfd0" Type="http://schemas.openxmlformats.org/officeDocument/2006/relationships/image" Target="media/dfd_nivel0.png"/><Relationship Id="rIdDfd1" Type="http://schemas.openxmlformats.org/officeDocument/2006/relationships/image" Target="media/dfd_nivel1.png"/><Relationship Id="rIdDfd2" Type="http://schemas.openxmlformats.org/officeDocument/2006/relationships/image" Target="media/dfd_nivel2.png"/><Relationship Id="rIdDfd3" Type="http://schemas.openxmlformats.org/officeDocument/2006/relationships/image" Target="media/reporte_amenazas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692C97801E4904AB2C2C815ED137048" ma:contentTypeVersion="6" ma:contentTypeDescription="Crear nuevo documento." ma:contentTypeScope="" ma:versionID="3e90d88dcbb4ba24562640b438da1298">
  <xsd:schema xmlns:xsd="http://www.w3.org/2001/XMLSchema" xmlns:xs="http://www.w3.org/2001/XMLSchema" xmlns:p="http://schemas.microsoft.com/office/2006/metadata/properties" xmlns:ns3="d53121ff-3373-4de2-81b2-65d996ac094e" targetNamespace="http://schemas.microsoft.com/office/2006/metadata/properties" ma:root="true" ma:fieldsID="eee987184b3cac4ec853b909501723e0" ns3:_="">
    <xsd:import namespace="d53121ff-3373-4de2-81b2-65d996ac094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53121ff-3373-4de2-81b2-65d996ac094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53121ff-3373-4de2-81b2-65d996ac094e" xsi:nil="true"/>
  </documentManagement>
</p:properties>
</file>

<file path=customXml/itemProps1.xml><?xml version="1.0" encoding="utf-8"?>
<ds:datastoreItem xmlns:ds="http://schemas.openxmlformats.org/officeDocument/2006/customXml" ds:itemID="{379A0420-00DF-4A0A-A1A9-FA39EBC9035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DF7AF6A-19A3-4121-909D-6FBDC04D331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53121ff-3373-4de2-81b2-65d996ac094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FF4A46E-2BD7-4A74-9251-B6A20F3C6CD9}">
  <ds:schemaRefs>
    <ds:schemaRef ds:uri="d53121ff-3373-4de2-81b2-65d996ac094e"/>
    <ds:schemaRef ds:uri="http://schemas.microsoft.com/office/2006/documentManagement/types"/>
    <ds:schemaRef ds:uri="http://purl.org/dc/dcmitype/"/>
    <ds:schemaRef ds:uri="http://schemas.microsoft.com/office/2006/metadata/properties"/>
    <ds:schemaRef ds:uri="http://purl.org/dc/terms/"/>
    <ds:schemaRef ds:uri="http://purl.org/dc/elements/1.1/"/>
    <ds:schemaRef ds:uri="http://schemas.microsoft.com/office/infopath/2007/PartnerControls"/>
    <ds:schemaRef ds:uri="http://schemas.openxmlformats.org/package/2006/metadata/core-properties"/>
    <ds:schemaRef ds:uri="http://www.w3.org/XML/1998/namespa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10</Pages>
  <Words>1074</Words>
  <Characters>5912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6973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Tarea 2 - Modelo de amenazas de ParaBank con OWASP Threat Dragon</dc:title>
  <dc:subject/>
  <dc:creator>Gerbert David García Loaiza</dc:creator>
  <cp:keywords/>
  <dc:description/>
  <cp:lastModifiedBy>2111608 - GERBERT DAVID GARCIA LOAIZA</cp:lastModifiedBy>
  <cp:revision>2</cp:revision>
  <cp:lastPrinted>2026-07-07T04:41:00Z</cp:lastPrinted>
  <dcterms:created xsi:type="dcterms:W3CDTF">2026-10-05T15:23:00Z</dcterms:created>
  <dcterms:modified xsi:type="dcterms:W3CDTF">2026-10-05T15:23:00Z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0x010100C692C97801E4904AB2C2C815ED137048</vt:lpwstr>
  </property>
</Properties>
</file>