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A5650"/>
                <w:sz w:val="20"/>
                <w:szCs w:val="20"/>
              </w:rPr>
              <w:t xml:space="preserve">Von:</w:t>
            </w:r>
          </w:p>
        </w:tc>
        <w:tc>
          <w:tcPr>
            <w:tcW w:type="dxa" w:w="620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0"/>
                <w:szCs w:val="20"/>
              </w:rPr>
              <w:t xml:space="preserve">Ghassen Ghodhbani · GG Consulting · Sousse, Tunesien</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A5650"/>
                <w:sz w:val="20"/>
                <w:szCs w:val="20"/>
              </w:rPr>
              <w:t xml:space="preserve">An:</w:t>
            </w:r>
          </w:p>
        </w:tc>
        <w:tc>
          <w:tcPr>
            <w:tcW w:type="dxa" w:w="620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0"/>
                <w:szCs w:val="20"/>
              </w:rPr>
              <w:t xml:space="preserve">Deutsch-Tunesische Industrie- und Handelskammer (AHK Tunesien)</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A5650"/>
                <w:sz w:val="20"/>
                <w:szCs w:val="20"/>
              </w:rPr>
              <w:t xml:space="preserve">Betreff:</w:t>
            </w:r>
          </w:p>
        </w:tc>
        <w:tc>
          <w:tcPr>
            <w:tcW w:type="dxa" w:w="620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0"/>
                <w:szCs w:val="20"/>
              </w:rPr>
              <w:t xml:space="preserve">Kooperationsanfrage – Lokaler Consulting-Partner für deutsche Unternehmen</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A5650"/>
                <w:sz w:val="20"/>
                <w:szCs w:val="20"/>
              </w:rPr>
              <w:t xml:space="preserve">Datum:</w:t>
            </w:r>
          </w:p>
        </w:tc>
        <w:tc>
          <w:tcPr>
            <w:tcW w:type="dxa" w:w="620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0"/>
                <w:szCs w:val="20"/>
              </w:rPr>
              <w:t xml:space="preserve">07. Mai 2026</w:t>
            </w:r>
          </w:p>
        </w:tc>
      </w:tr>
    </w:tbl>
    <w:p>
      <w:pPr>
        <w:pBdr>
          <w:bottom w:val="single" w:color="C9A84C" w:sz="6" w:space="1"/>
        </w:pBdr>
        <w:spacing w:after="200" w:before="0"/>
      </w:pPr>
    </w:p>
    <w:p>
      <w:pPr>
        <w:spacing w:after="60" w:before="60"/>
      </w:pPr>
      <w:r>
        <w:rPr>
          <w:rFonts w:ascii="Arial" w:cs="Arial" w:eastAsia="Arial" w:hAnsi="Arial"/>
          <w:b w:val="false"/>
          <w:bCs w:val="false"/>
          <w:color w:val="1A1A1A"/>
          <w:sz w:val="22"/>
          <w:szCs w:val="22"/>
        </w:rPr>
        <w:t xml:space="preserve">Sehr geehrte Damen und Herren der AHK Tunesien,</w:t>
      </w:r>
    </w:p>
    <w:p>
      <w:pPr>
        <w:spacing w:after="80" w:before="80"/>
      </w:pPr>
    </w:p>
    <w:p>
      <w:pPr>
        <w:spacing w:after="60" w:before="60"/>
      </w:pPr>
      <w:r>
        <w:rPr>
          <w:rFonts w:ascii="Arial" w:cs="Arial" w:eastAsia="Arial" w:hAnsi="Arial"/>
          <w:b w:val="false"/>
          <w:bCs w:val="false"/>
          <w:color w:val="1A1A1A"/>
          <w:sz w:val="22"/>
          <w:szCs w:val="22"/>
        </w:rPr>
        <w:t xml:space="preserve">als in Tunesien ansässiger Qualitäts- und Industrieexperte mit fundierter Berufserfahrung in Deutschland wende ich mich an Sie mit dem Ziel, eine strategische Kooperation zu etablieren, die deutschen Unternehmen den Markteintritt und die operative Tätigkeit in Tunesien substanziell erleichtert.</w:t>
      </w:r>
    </w:p>
    <w:p>
      <w:pPr>
        <w:spacing w:after="60" w:before="60"/>
      </w:pPr>
    </w:p>
    <w:p>
      <w:pPr>
        <w:spacing w:after="60" w:before="200"/>
      </w:pPr>
      <w:r>
        <w:rPr>
          <w:rFonts w:ascii="Arial" w:cs="Arial" w:eastAsia="Arial" w:hAnsi="Arial"/>
          <w:b/>
          <w:bCs/>
          <w:color w:val="C9A84C"/>
          <w:spacing w:val="40"/>
          <w:sz w:val="16"/>
          <w:szCs w:val="16"/>
        </w:rPr>
        <w:t xml:space="preserve">WER ICH BIN</w:t>
      </w:r>
    </w:p>
    <w:p>
      <w:pPr>
        <w:pBdr>
          <w:bottom w:val="single" w:color="C9A84C" w:sz="6" w:space="1"/>
        </w:pBdr>
        <w:spacing w:after="200" w:before="0"/>
      </w:pPr>
    </w:p>
    <w:p>
      <w:pPr>
        <w:spacing w:after="60" w:before="60"/>
      </w:pPr>
      <w:r>
        <w:rPr>
          <w:rFonts w:ascii="Arial" w:cs="Arial" w:eastAsia="Arial" w:hAnsi="Arial"/>
          <w:b w:val="false"/>
          <w:bCs w:val="false"/>
          <w:color w:val="1A1A1A"/>
          <w:sz w:val="22"/>
          <w:szCs w:val="22"/>
        </w:rPr>
        <w:t xml:space="preserve">GG Consulting wurde gegründet, um die Schnittstelle zwischen deutschen Qualitätsansprüchen und der tunesischen Wirtschaftsrealität professionell zu besetzen. Als Gründer bringe ich ein einzigartiges Profil mit:</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F3E0" w:val="clear"/>
            <w:tcMar>
              <w:top w:type="dxa" w:w="120"/>
              <w:left w:type="dxa" w:w="160"/>
              <w:bottom w:type="dxa" w:w="80"/>
              <w:right w:type="dxa" w:w="160"/>
            </w:tcMar>
          </w:tcPr>
          <w:p>
            <w:r>
              <w:rPr>
                <w:rFonts w:ascii="Arial" w:cs="Arial" w:eastAsia="Arial" w:hAnsi="Arial"/>
                <w:b/>
                <w:bCs/>
                <w:color w:val="C9A84C"/>
                <w:spacing w:val="40"/>
                <w:sz w:val="18"/>
                <w:szCs w:val="18"/>
              </w:rPr>
              <w:t xml:space="preserve">MEIN PROFIL AUF EINEN BLICK</w:t>
            </w:r>
          </w:p>
        </w:tc>
      </w:tr>
      <w:tr>
        <w:tc>
          <w:tcPr>
            <w:tcW w:type="dxa" w:w="9026"/>
            <w:tcBorders>
              <w:top w:val="none" w:color="FFFFFF" w:sz="0"/>
              <w:left w:val="none" w:color="FFFFFF" w:sz="0"/>
              <w:bottom w:val="none" w:color="FFFFFF" w:sz="0"/>
              <w:right w:val="none" w:color="FFFFFF" w:sz="0"/>
            </w:tcBorders>
            <w:shd w:fill="FAF3E0" w:val="clear"/>
            <w:tcMar>
              <w:top w:type="dxa" w:w="40"/>
              <w:left w:type="dxa" w:w="160"/>
              <w:bottom w:type="dxa" w:w="40"/>
              <w:right w:type="dxa" w:w="160"/>
            </w:tcMar>
          </w:tcPr>
          <w:p>
            <w:r>
              <w:rPr>
                <w:rFonts w:ascii="Arial" w:cs="Arial" w:eastAsia="Arial" w:hAnsi="Arial"/>
                <w:color w:val="C9A84C"/>
                <w:sz w:val="20"/>
                <w:szCs w:val="20"/>
              </w:rPr>
              <w:t xml:space="preserve">◆  </w:t>
            </w:r>
            <w:r>
              <w:rPr>
                <w:rFonts w:ascii="Arial" w:cs="Arial" w:eastAsia="Arial" w:hAnsi="Arial"/>
                <w:color w:val="1A1A1A"/>
                <w:sz w:val="20"/>
                <w:szCs w:val="20"/>
              </w:rPr>
              <w:t xml:space="preserve">B.Eng. Automatisierungstechnik – Technische Hochschule Mittelhessen, Deutschland</w:t>
            </w:r>
          </w:p>
        </w:tc>
      </w:tr>
      <w:tr>
        <w:tc>
          <w:tcPr>
            <w:tcW w:type="dxa" w:w="9026"/>
            <w:tcBorders>
              <w:top w:val="none" w:color="FFFFFF" w:sz="0"/>
              <w:left w:val="none" w:color="FFFFFF" w:sz="0"/>
              <w:bottom w:val="none" w:color="FFFFFF" w:sz="0"/>
              <w:right w:val="none" w:color="FFFFFF" w:sz="0"/>
            </w:tcBorders>
            <w:shd w:fill="FAF3E0" w:val="clear"/>
            <w:tcMar>
              <w:top w:type="dxa" w:w="40"/>
              <w:left w:type="dxa" w:w="160"/>
              <w:bottom w:type="dxa" w:w="40"/>
              <w:right w:type="dxa" w:w="160"/>
            </w:tcMar>
          </w:tcPr>
          <w:p>
            <w:r>
              <w:rPr>
                <w:rFonts w:ascii="Arial" w:cs="Arial" w:eastAsia="Arial" w:hAnsi="Arial"/>
                <w:color w:val="C9A84C"/>
                <w:sz w:val="20"/>
                <w:szCs w:val="20"/>
              </w:rPr>
              <w:t xml:space="preserve">◆  </w:t>
            </w:r>
            <w:r>
              <w:rPr>
                <w:rFonts w:ascii="Arial" w:cs="Arial" w:eastAsia="Arial" w:hAnsi="Arial"/>
                <w:color w:val="1A1A1A"/>
                <w:sz w:val="20"/>
                <w:szCs w:val="20"/>
              </w:rPr>
              <w:t xml:space="preserve">Software Developer – Preccon Robotics GmbH, Deutschland (2017–2019)</w:t>
            </w:r>
          </w:p>
        </w:tc>
      </w:tr>
      <w:tr>
        <w:tc>
          <w:tcPr>
            <w:tcW w:type="dxa" w:w="9026"/>
            <w:tcBorders>
              <w:top w:val="none" w:color="FFFFFF" w:sz="0"/>
              <w:left w:val="none" w:color="FFFFFF" w:sz="0"/>
              <w:bottom w:val="none" w:color="FFFFFF" w:sz="0"/>
              <w:right w:val="none" w:color="FFFFFF" w:sz="0"/>
            </w:tcBorders>
            <w:shd w:fill="FAF3E0" w:val="clear"/>
            <w:tcMar>
              <w:top w:type="dxa" w:w="40"/>
              <w:left w:type="dxa" w:w="160"/>
              <w:bottom w:type="dxa" w:w="40"/>
              <w:right w:type="dxa" w:w="160"/>
            </w:tcMar>
          </w:tcPr>
          <w:p>
            <w:r>
              <w:rPr>
                <w:rFonts w:ascii="Arial" w:cs="Arial" w:eastAsia="Arial" w:hAnsi="Arial"/>
                <w:color w:val="C9A84C"/>
                <w:sz w:val="20"/>
                <w:szCs w:val="20"/>
              </w:rPr>
              <w:t xml:space="preserve">◆  </w:t>
            </w:r>
            <w:r>
              <w:rPr>
                <w:rFonts w:ascii="Arial" w:cs="Arial" w:eastAsia="Arial" w:hAnsi="Arial"/>
                <w:color w:val="1A1A1A"/>
                <w:sz w:val="20"/>
                <w:szCs w:val="20"/>
              </w:rPr>
              <w:t xml:space="preserve">Expert Quality Customer Interface – LEONI Tunisia (2020–2023)</w:t>
            </w:r>
          </w:p>
        </w:tc>
      </w:tr>
      <w:tr>
        <w:tc>
          <w:tcPr>
            <w:tcW w:type="dxa" w:w="9026"/>
            <w:tcBorders>
              <w:top w:val="none" w:color="FFFFFF" w:sz="0"/>
              <w:left w:val="none" w:color="FFFFFF" w:sz="0"/>
              <w:bottom w:val="none" w:color="FFFFFF" w:sz="0"/>
              <w:right w:val="none" w:color="FFFFFF" w:sz="0"/>
            </w:tcBorders>
            <w:shd w:fill="FAF3E0" w:val="clear"/>
            <w:tcMar>
              <w:top w:type="dxa" w:w="40"/>
              <w:left w:type="dxa" w:w="160"/>
              <w:bottom w:type="dxa" w:w="40"/>
              <w:right w:type="dxa" w:w="160"/>
            </w:tcMar>
          </w:tcPr>
          <w:p>
            <w:r>
              <w:rPr>
                <w:rFonts w:ascii="Arial" w:cs="Arial" w:eastAsia="Arial" w:hAnsi="Arial"/>
                <w:color w:val="C9A84C"/>
                <w:sz w:val="20"/>
                <w:szCs w:val="20"/>
              </w:rPr>
              <w:t xml:space="preserve">◆  </w:t>
            </w:r>
            <w:r>
              <w:rPr>
                <w:rFonts w:ascii="Arial" w:cs="Arial" w:eastAsia="Arial" w:hAnsi="Arial"/>
                <w:color w:val="1A1A1A"/>
                <w:sz w:val="20"/>
                <w:szCs w:val="20"/>
              </w:rPr>
              <w:t xml:space="preserve">QA Manager – LEONI Tunisia (2023–heute) · ISO 9001 · 8D · CAPA · PPM</w:t>
            </w:r>
          </w:p>
        </w:tc>
      </w:tr>
      <w:tr>
        <w:tc>
          <w:tcPr>
            <w:tcW w:type="dxa" w:w="9026"/>
            <w:tcBorders>
              <w:top w:val="none" w:color="FFFFFF" w:sz="0"/>
              <w:left w:val="none" w:color="FFFFFF" w:sz="0"/>
              <w:bottom w:val="none" w:color="FFFFFF" w:sz="0"/>
              <w:right w:val="none" w:color="FFFFFF" w:sz="0"/>
            </w:tcBorders>
            <w:shd w:fill="FAF3E0" w:val="clear"/>
            <w:tcMar>
              <w:top w:type="dxa" w:w="40"/>
              <w:left w:type="dxa" w:w="160"/>
              <w:bottom w:type="dxa" w:w="40"/>
              <w:right w:type="dxa" w:w="160"/>
            </w:tcMar>
          </w:tcPr>
          <w:p>
            <w:r>
              <w:rPr>
                <w:rFonts w:ascii="Arial" w:cs="Arial" w:eastAsia="Arial" w:hAnsi="Arial"/>
                <w:color w:val="C9A84C"/>
                <w:sz w:val="20"/>
                <w:szCs w:val="20"/>
              </w:rPr>
              <w:t xml:space="preserve">◆  </w:t>
            </w:r>
            <w:r>
              <w:rPr>
                <w:rFonts w:ascii="Arial" w:cs="Arial" w:eastAsia="Arial" w:hAnsi="Arial"/>
                <w:color w:val="1A1A1A"/>
                <w:sz w:val="20"/>
                <w:szCs w:val="20"/>
              </w:rPr>
              <w:t xml:space="preserve">Machine-Learning-basierte Fehlererkennung in der Industrieproduktion</w:t>
            </w:r>
          </w:p>
        </w:tc>
      </w:tr>
      <w:tr>
        <w:tc>
          <w:tcPr>
            <w:tcW w:type="dxa" w:w="9026"/>
            <w:tcBorders>
              <w:top w:val="none" w:color="FFFFFF" w:sz="0"/>
              <w:left w:val="none" w:color="FFFFFF" w:sz="0"/>
              <w:bottom w:val="none" w:color="FFFFFF" w:sz="0"/>
              <w:right w:val="none" w:color="FFFFFF" w:sz="0"/>
            </w:tcBorders>
            <w:shd w:fill="FAF3E0" w:val="clear"/>
            <w:tcMar>
              <w:top w:type="dxa" w:w="40"/>
              <w:left w:type="dxa" w:w="160"/>
              <w:bottom w:type="dxa" w:w="40"/>
              <w:right w:type="dxa" w:w="160"/>
            </w:tcMar>
          </w:tcPr>
          <w:p>
            <w:r>
              <w:rPr>
                <w:rFonts w:ascii="Arial" w:cs="Arial" w:eastAsia="Arial" w:hAnsi="Arial"/>
                <w:color w:val="C9A84C"/>
                <w:sz w:val="20"/>
                <w:szCs w:val="20"/>
              </w:rPr>
              <w:t xml:space="preserve">◆  </w:t>
            </w:r>
            <w:r>
              <w:rPr>
                <w:rFonts w:ascii="Arial" w:cs="Arial" w:eastAsia="Arial" w:hAnsi="Arial"/>
                <w:color w:val="1A1A1A"/>
                <w:sz w:val="20"/>
                <w:szCs w:val="20"/>
              </w:rPr>
              <w:t xml:space="preserve">Sprachen: Deutsch (C1/C2, professionell) · Englisch · Französisch · Arabisch</w:t>
            </w:r>
          </w:p>
        </w:tc>
      </w:tr>
      <w:tr>
        <w:tc>
          <w:tcPr>
            <w:tcW w:type="dxa" w:w="9026"/>
            <w:tcBorders>
              <w:top w:val="none" w:color="FFFFFF" w:sz="0"/>
              <w:left w:val="none" w:color="FFFFFF" w:sz="0"/>
              <w:bottom w:val="none" w:color="FFFFFF" w:sz="0"/>
              <w:right w:val="none" w:color="FFFFFF" w:sz="0"/>
            </w:tcBorders>
            <w:shd w:fill="FAF3E0" w:val="clear"/>
            <w:tcMar>
              <w:top w:type="dxa" w:w="60"/>
              <w:left w:type="dxa" w:w="0"/>
              <w:bottom w:type="dxa" w:w="60"/>
              <w:right w:type="dxa" w:w="0"/>
            </w:tcMar>
          </w:tcPr>
          <w:p/>
        </w:tc>
      </w:tr>
    </w:tbl>
    <w:p>
      <w:pPr>
        <w:spacing w:after="40" w:before="120"/>
      </w:pPr>
    </w:p>
    <w:p>
      <w:pPr>
        <w:spacing w:after="60" w:before="200"/>
      </w:pPr>
      <w:r>
        <w:rPr>
          <w:rFonts w:ascii="Arial" w:cs="Arial" w:eastAsia="Arial" w:hAnsi="Arial"/>
          <w:b/>
          <w:bCs/>
          <w:color w:val="C9A84C"/>
          <w:spacing w:val="40"/>
          <w:sz w:val="16"/>
          <w:szCs w:val="16"/>
        </w:rPr>
        <w:t xml:space="preserve">WARUM ICH MICH AN DIE AHK TUNESIEN WENDE</w:t>
      </w:r>
    </w:p>
    <w:p>
      <w:pPr>
        <w:pBdr>
          <w:bottom w:val="single" w:color="C9A84C" w:sz="6" w:space="1"/>
        </w:pBdr>
        <w:spacing w:after="200" w:before="0"/>
      </w:pPr>
    </w:p>
    <w:p>
      <w:pPr>
        <w:spacing w:after="60" w:before="60"/>
      </w:pPr>
      <w:r>
        <w:rPr>
          <w:rFonts w:ascii="Arial" w:cs="Arial" w:eastAsia="Arial" w:hAnsi="Arial"/>
          <w:b w:val="false"/>
          <w:bCs w:val="false"/>
          <w:color w:val="1A1A1A"/>
          <w:sz w:val="22"/>
          <w:szCs w:val="22"/>
        </w:rPr>
        <w:t xml:space="preserve">Die AHK Tunesien ist seit 1979 der zentrale Akteur der deutsch-tunesischen Wirtschaftszusammenarbeit mit über 1.000 Mitgliedsunternehmen. Genau in diesem Netzwerk möchte ich als lokaler Qualitäts- und Consulting-Partner sichtbar werden und aktiv Mehrwert schaffen – für Ihre Mitglieder und für neue Marktteilnehmer.</w:t>
      </w:r>
    </w:p>
    <w:p>
      <w:pPr>
        <w:spacing w:after="40" w:before="80"/>
      </w:pPr>
    </w:p>
    <w:p>
      <w:pPr>
        <w:spacing w:after="60" w:before="60"/>
      </w:pPr>
      <w:r>
        <w:rPr>
          <w:rFonts w:ascii="Arial" w:cs="Arial" w:eastAsia="Arial" w:hAnsi="Arial"/>
          <w:b w:val="false"/>
          <w:bCs w:val="false"/>
          <w:color w:val="1A1A1A"/>
          <w:sz w:val="22"/>
          <w:szCs w:val="22"/>
        </w:rPr>
        <w:t xml:space="preserve">Ich biete folgende Leistungen an, die direkt auf den Bedarf Ihrer Mitgliedsunternehmen ausgerichtet sind:</w:t>
      </w:r>
    </w:p>
    <w:p>
      <w:pPr>
        <w:spacing w:after="40" w:before="40"/>
      </w:pPr>
    </w:p>
    <w:p>
      <w:pPr>
        <w:pStyle w:val="ListParagraph"/>
        <w:numPr>
          <w:ilvl w:val="0"/>
          <w:numId w:val="2"/>
        </w:numPr>
        <w:spacing w:after="40" w:before="40"/>
      </w:pPr>
      <w:r>
        <w:rPr>
          <w:rFonts w:ascii="Arial" w:cs="Arial" w:eastAsia="Arial" w:hAnsi="Arial"/>
          <w:color w:val="1A1A1A"/>
          <w:sz w:val="22"/>
          <w:szCs w:val="22"/>
        </w:rPr>
        <w:t xml:space="preserve">Qualitätsmanagement-Beratung vor Ort (ISO 9001, IATF 16949, 8D, CAPA)</w:t>
      </w:r>
    </w:p>
    <w:p>
      <w:pPr>
        <w:pStyle w:val="ListParagraph"/>
        <w:numPr>
          <w:ilvl w:val="0"/>
          <w:numId w:val="2"/>
        </w:numPr>
        <w:spacing w:after="40" w:before="40"/>
      </w:pPr>
      <w:r>
        <w:rPr>
          <w:rFonts w:ascii="Arial" w:cs="Arial" w:eastAsia="Arial" w:hAnsi="Arial"/>
          <w:color w:val="1A1A1A"/>
          <w:sz w:val="22"/>
          <w:szCs w:val="22"/>
        </w:rPr>
        <w:t xml:space="preserve">Lieferantenqualifizierung und Audit-Begleitung für deutsche Einkäufer</w:t>
      </w:r>
    </w:p>
    <w:p>
      <w:pPr>
        <w:pStyle w:val="ListParagraph"/>
        <w:numPr>
          <w:ilvl w:val="0"/>
          <w:numId w:val="2"/>
        </w:numPr>
        <w:spacing w:after="40" w:before="40"/>
      </w:pPr>
      <w:r>
        <w:rPr>
          <w:rFonts w:ascii="Arial" w:cs="Arial" w:eastAsia="Arial" w:hAnsi="Arial"/>
          <w:color w:val="1A1A1A"/>
          <w:sz w:val="22"/>
          <w:szCs w:val="22"/>
        </w:rPr>
        <w:t xml:space="preserve">Markteintrittsbegleitung und lokale Partnervermittlung</w:t>
      </w:r>
    </w:p>
    <w:p>
      <w:pPr>
        <w:pStyle w:val="ListParagraph"/>
        <w:numPr>
          <w:ilvl w:val="0"/>
          <w:numId w:val="2"/>
        </w:numPr>
        <w:spacing w:after="40" w:before="40"/>
      </w:pPr>
      <w:r>
        <w:rPr>
          <w:rFonts w:ascii="Arial" w:cs="Arial" w:eastAsia="Arial" w:hAnsi="Arial"/>
          <w:color w:val="1A1A1A"/>
          <w:sz w:val="22"/>
          <w:szCs w:val="22"/>
        </w:rPr>
        <w:t xml:space="preserve">IT-Nearshoring-Vermittlung (Industrie 4.0, Automatisierung)</w:t>
      </w:r>
    </w:p>
    <w:p>
      <w:pPr>
        <w:pStyle w:val="ListParagraph"/>
        <w:numPr>
          <w:ilvl w:val="0"/>
          <w:numId w:val="2"/>
        </w:numPr>
        <w:spacing w:after="40" w:before="40"/>
      </w:pPr>
      <w:r>
        <w:rPr>
          <w:rFonts w:ascii="Arial" w:cs="Arial" w:eastAsia="Arial" w:hAnsi="Arial"/>
          <w:color w:val="1A1A1A"/>
          <w:sz w:val="22"/>
          <w:szCs w:val="22"/>
        </w:rPr>
        <w:t xml:space="preserve">Organisation von Firmenevents, Seminaren und Team-Building in Tunesien</w:t>
      </w:r>
    </w:p>
    <w:p>
      <w:pPr>
        <w:pStyle w:val="ListParagraph"/>
        <w:numPr>
          <w:ilvl w:val="0"/>
          <w:numId w:val="2"/>
        </w:numPr>
        <w:spacing w:after="40" w:before="40"/>
      </w:pPr>
      <w:r>
        <w:rPr>
          <w:rFonts w:ascii="Arial" w:cs="Arial" w:eastAsia="Arial" w:hAnsi="Arial"/>
          <w:color w:val="1A1A1A"/>
          <w:sz w:val="22"/>
          <w:szCs w:val="22"/>
        </w:rPr>
        <w:t xml:space="preserve">Vollständige Kommunikation und Berichterstattung auf professionellem Deutsch</w:t>
      </w:r>
    </w:p>
    <w:p>
      <w:pPr>
        <w:spacing w:after="40" w:before="120"/>
      </w:pPr>
    </w:p>
    <w:p>
      <w:pPr>
        <w:spacing w:after="60" w:before="200"/>
      </w:pPr>
      <w:r>
        <w:rPr>
          <w:rFonts w:ascii="Arial" w:cs="Arial" w:eastAsia="Arial" w:hAnsi="Arial"/>
          <w:b/>
          <w:bCs/>
          <w:color w:val="C9A84C"/>
          <w:spacing w:val="40"/>
          <w:sz w:val="16"/>
          <w:szCs w:val="16"/>
        </w:rPr>
        <w:t xml:space="preserve">MEIN KONKRETER KOOPERATIONSVORSCHLAG</w:t>
      </w:r>
    </w:p>
    <w:p>
      <w:pPr>
        <w:pBdr>
          <w:bottom w:val="single" w:color="C9A84C" w:sz="6" w:space="1"/>
        </w:pBdr>
        <w:spacing w:after="200" w:before="0"/>
      </w:pPr>
    </w:p>
    <w:p>
      <w:pPr>
        <w:spacing w:after="60" w:before="60"/>
      </w:pPr>
      <w:r>
        <w:rPr>
          <w:rFonts w:ascii="Arial" w:cs="Arial" w:eastAsia="Arial" w:hAnsi="Arial"/>
          <w:b w:val="false"/>
          <w:bCs w:val="false"/>
          <w:color w:val="1A1A1A"/>
          <w:sz w:val="22"/>
          <w:szCs w:val="22"/>
        </w:rPr>
        <w:t xml:space="preserve">Ich schlage folgende Formen der Zusammenarbeit vor:</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E0D9CC" w:sz="1"/>
              <w:left w:val="single" w:color="E0D9CC" w:sz="1"/>
              <w:bottom w:val="single" w:color="E0D9CC" w:sz="1"/>
              <w:right w:val="single" w:color="E0D9CC" w:sz="1"/>
            </w:tcBorders>
            <w:shd w:fill="1A1A1A" w:val="clear"/>
            <w:tcMar>
              <w:top w:type="dxa" w:w="100"/>
              <w:left w:type="dxa" w:w="140"/>
              <w:bottom w:type="dxa" w:w="100"/>
              <w:right w:type="dxa" w:w="140"/>
            </w:tcMar>
          </w:tcPr>
          <w:p>
            <w:r>
              <w:rPr>
                <w:rFonts w:ascii="Arial" w:cs="Arial" w:eastAsia="Arial" w:hAnsi="Arial"/>
                <w:b/>
                <w:bCs/>
                <w:color w:val="C9A84C"/>
                <w:sz w:val="20"/>
                <w:szCs w:val="20"/>
              </w:rPr>
              <w:t xml:space="preserve">Option</w:t>
            </w:r>
          </w:p>
        </w:tc>
        <w:tc>
          <w:tcPr>
            <w:tcW w:type="dxa" w:w="5826"/>
            <w:tcBorders>
              <w:top w:val="single" w:color="E0D9CC" w:sz="1"/>
              <w:left w:val="single" w:color="E0D9CC" w:sz="1"/>
              <w:bottom w:val="single" w:color="E0D9CC" w:sz="1"/>
              <w:right w:val="single" w:color="E0D9CC" w:sz="1"/>
            </w:tcBorders>
            <w:shd w:fill="1A1A1A" w:val="clear"/>
            <w:tcMar>
              <w:top w:type="dxa" w:w="100"/>
              <w:left w:type="dxa" w:w="140"/>
              <w:bottom w:type="dxa" w:w="100"/>
              <w:right w:type="dxa" w:w="140"/>
            </w:tcMar>
          </w:tcPr>
          <w:p>
            <w:r>
              <w:rPr>
                <w:rFonts w:ascii="Arial" w:cs="Arial" w:eastAsia="Arial" w:hAnsi="Arial"/>
                <w:b/>
                <w:bCs/>
                <w:color w:val="C9A84C"/>
                <w:sz w:val="20"/>
                <w:szCs w:val="20"/>
              </w:rPr>
              <w:t xml:space="preserve">Beschreibung</w:t>
            </w:r>
          </w:p>
        </w:tc>
      </w:tr>
      <w:tr>
        <w:tc>
          <w:tcPr>
            <w:tcW w:type="dxa" w:w="320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b/>
                <w:bCs/>
                <w:color w:val="1A1A1A"/>
                <w:sz w:val="20"/>
                <w:szCs w:val="20"/>
              </w:rPr>
              <w:t xml:space="preserve">AHK-Mitgliedschaft</w:t>
            </w:r>
          </w:p>
        </w:tc>
        <w:tc>
          <w:tcPr>
            <w:tcW w:type="dxa" w:w="5826"/>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1A1A1A"/>
                <w:sz w:val="20"/>
                <w:szCs w:val="20"/>
              </w:rPr>
              <w:t xml:space="preserve">Aufnahme von GG Consulting als Mitglied – Sichtbarkeit im Netzwerk und Magazin "Impact"</w:t>
            </w:r>
          </w:p>
        </w:tc>
      </w:tr>
      <w:tr>
        <w:tc>
          <w:tcPr>
            <w:tcW w:type="dxa" w:w="320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b/>
                <w:bCs/>
                <w:color w:val="1A1A1A"/>
                <w:sz w:val="20"/>
                <w:szCs w:val="20"/>
              </w:rPr>
              <w:t xml:space="preserve">Empfehlungspartner</w:t>
            </w:r>
          </w:p>
        </w:tc>
        <w:tc>
          <w:tcPr>
            <w:tcW w:type="dxa" w:w="5826"/>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1A1A1A"/>
                <w:sz w:val="20"/>
                <w:szCs w:val="20"/>
              </w:rPr>
              <w:t xml:space="preserve">Empfehlung an Ihre Mitglieder als lokaler Qualitäts- und Industrieberater vor Ort</w:t>
            </w:r>
          </w:p>
        </w:tc>
      </w:tr>
      <w:tr>
        <w:tc>
          <w:tcPr>
            <w:tcW w:type="dxa" w:w="320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b/>
                <w:bCs/>
                <w:color w:val="1A1A1A"/>
                <w:sz w:val="20"/>
                <w:szCs w:val="20"/>
              </w:rPr>
              <w:t xml:space="preserve">Veranstaltungen</w:t>
            </w:r>
          </w:p>
        </w:tc>
        <w:tc>
          <w:tcPr>
            <w:tcW w:type="dxa" w:w="5826"/>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1A1A1A"/>
                <w:sz w:val="20"/>
                <w:szCs w:val="20"/>
              </w:rPr>
              <w:t xml:space="preserve">Teilnahme an AHK-Events als Referent zu Qualitätsmanagement, Industrie 4.0 und ML</w:t>
            </w:r>
          </w:p>
        </w:tc>
      </w:tr>
    </w:tbl>
    <w:p>
      <w:pPr>
        <w:spacing w:after="40" w:before="160"/>
      </w:pPr>
    </w:p>
    <w:p>
      <w:pPr>
        <w:spacing w:after="60" w:before="60"/>
      </w:pPr>
      <w:r>
        <w:rPr>
          <w:rFonts w:ascii="Arial" w:cs="Arial" w:eastAsia="Arial" w:hAnsi="Arial"/>
          <w:b w:val="false"/>
          <w:bCs w:val="false"/>
          <w:color w:val="1A1A1A"/>
          <w:sz w:val="22"/>
          <w:szCs w:val="22"/>
        </w:rPr>
        <w:t xml:space="preserve">Ich würde mich sehr über ein erstes Gespräch freuen – gerne per Video-Call oder persönlich in Tunis. Alle Unterlagen und Gespräche sind selbstverständlich auf Deutsch möglich.</w:t>
      </w:r>
    </w:p>
    <w:p>
      <w:pPr>
        <w:spacing w:after="40" w:before="80"/>
      </w:pPr>
    </w:p>
    <w:p>
      <w:pPr>
        <w:spacing w:after="60" w:before="60"/>
      </w:pPr>
      <w:r>
        <w:rPr>
          <w:rFonts w:ascii="Arial" w:cs="Arial" w:eastAsia="Arial" w:hAnsi="Arial"/>
          <w:b w:val="false"/>
          <w:bCs w:val="false"/>
          <w:color w:val="1A1A1A"/>
          <w:sz w:val="22"/>
          <w:szCs w:val="22"/>
        </w:rPr>
        <w:t xml:space="preserve">Mit freundlichen Grüßen</w:t>
      </w:r>
    </w:p>
    <w:p>
      <w:pPr>
        <w:spacing w:after="40" w:before="200"/>
      </w:pPr>
    </w:p>
    <w:p>
      <w:pPr>
        <w:spacing w:after="60" w:before="60"/>
      </w:pPr>
      <w:r>
        <w:rPr>
          <w:rFonts w:ascii="Arial" w:cs="Arial" w:eastAsia="Arial" w:hAnsi="Arial"/>
          <w:b/>
          <w:bCs/>
          <w:color w:val="1A1A1A"/>
          <w:sz w:val="22"/>
          <w:szCs w:val="22"/>
        </w:rPr>
        <w:t xml:space="preserve">Ghassen Ghodhbani</w:t>
      </w:r>
    </w:p>
    <w:p>
      <w:pPr>
        <w:spacing w:after="60" w:before="60"/>
      </w:pPr>
      <w:r>
        <w:rPr>
          <w:rFonts w:ascii="Arial" w:cs="Arial" w:eastAsia="Arial" w:hAnsi="Arial"/>
          <w:b w:val="false"/>
          <w:bCs w:val="false"/>
          <w:color w:val="1A1A1A"/>
          <w:sz w:val="22"/>
          <w:szCs w:val="22"/>
        </w:rPr>
        <w:t xml:space="preserve">Gründer · GG Consulting</w:t>
      </w:r>
    </w:p>
    <w:p>
      <w:pPr>
        <w:spacing w:after="60" w:before="60"/>
      </w:pPr>
      <w:r>
        <w:rPr>
          <w:rFonts w:ascii="Arial" w:cs="Arial" w:eastAsia="Arial" w:hAnsi="Arial"/>
          <w:b w:val="false"/>
          <w:bCs w:val="false"/>
          <w:color w:val="C9A84C"/>
          <w:sz w:val="22"/>
          <w:szCs w:val="22"/>
        </w:rPr>
        <w:t xml:space="preserve">gg-consulting.netlify.app</w:t>
      </w:r>
    </w:p>
    <w:p>
      <w:pPr>
        <w:spacing w:after="60" w:before="60"/>
      </w:pPr>
      <w:r>
        <w:rPr>
          <w:rFonts w:ascii="Arial" w:cs="Arial" w:eastAsia="Arial" w:hAnsi="Arial"/>
          <w:b w:val="false"/>
          <w:bCs w:val="false"/>
          <w:color w:val="1A1A1A"/>
          <w:sz w:val="22"/>
          <w:szCs w:val="22"/>
        </w:rPr>
        <w:t xml:space="preserve">Sousse, Tunesien</w:t>
      </w:r>
    </w:p>
    <w:sectPr>
      <w:head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none" w:color="FFFFFF" w:sz="0"/>
            <w:left w:val="none" w:color="FFFFFF" w:sz="0"/>
            <w:bottom w:val="none" w:color="FFFFFF" w:sz="0"/>
            <w:right w:val="none" w:color="FFFFFF" w:sz="0"/>
          </w:tcBorders>
        </w:tcPr>
        <w:p>
          <w:r>
            <w:rPr>
              <w:rFonts w:ascii="Arial" w:cs="Arial" w:eastAsia="Arial" w:hAnsi="Arial"/>
              <w:b/>
              <w:bCs/>
              <w:color w:val="C9A84C"/>
              <w:sz w:val="26"/>
              <w:szCs w:val="26"/>
            </w:rPr>
            <w:t xml:space="preserve">GG Consulting</w:t>
          </w:r>
          <w:r>
            <w:rPr>
              <w:rFonts w:ascii="Arial" w:cs="Arial" w:eastAsia="Arial" w:hAnsi="Arial"/>
              <w:color w:val="5A5650"/>
              <w:sz w:val="18"/>
              <w:szCs w:val="18"/>
            </w:rPr>
            <w:t xml:space="preserve">  |  Deutsch-Tunesische Wirtschaftsbrücke</w:t>
          </w:r>
        </w:p>
      </w:tc>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color w:val="5A5650"/>
              <w:sz w:val="16"/>
              <w:szCs w:val="16"/>
            </w:rPr>
            <w:t xml:space="preserve">gg-consulting.netlify.app</w:t>
          </w:r>
        </w:p>
      </w:tc>
    </w:tr>
  </w:tbl>
  <w:p>
    <w:pPr>
      <w:pBdr>
        <w:bottom w:val="single" w:color="C9A84C" w:sz="4" w:space="1"/>
      </w:pBdr>
      <w:spacing w:after="2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color w:val="C9A84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2026-05-07T21:52:52.499Z</dcterms:created>
  <dcterms:modified xsi:type="dcterms:W3CDTF">2026-05-07T21:52:52.499Z</dcterms:modified>
</cp:coreProperties>
</file>

<file path=docProps/custom.xml><?xml version="1.0" encoding="utf-8"?>
<Properties xmlns="http://schemas.openxmlformats.org/officeDocument/2006/custom-properties" xmlns:vt="http://schemas.openxmlformats.org/officeDocument/2006/docPropsVTypes"/>
</file>