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left"/>
      </w:pPr>
      <w:r>
        <w:rPr>
          <w:rFonts w:ascii="Microsoft YaHei" w:hAnsi="Microsoft YaHei" w:eastAsia="Microsoft YaHei"/>
          <w:b/>
          <w:color w:val="0B2545"/>
          <w:sz w:val="40"/>
        </w:rPr>
        <w:t>头肩顶与反向头肩顶评分策略（信号触发即评分版）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适配信号规则：</w:t>
            </w:r>
            <w:r>
              <w:rPr>
                <w:rFonts w:ascii="Microsoft YaHei" w:hAnsi="Microsoft YaHei" w:eastAsia="Microsoft YaHei"/>
                <w:b/>
                <w:color w:val="555555"/>
                <w:sz w:val="20"/>
              </w:rPr>
              <w:t>右肩确认后，价格回落（反向：回升）到「右肩 ↔ 右颈」距离的一半时触发信号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。 因此本版本</w:t>
            </w:r>
            <w:r>
              <w:rPr>
                <w:rFonts w:ascii="Microsoft YaHei" w:hAnsi="Microsoft YaHei" w:eastAsia="Microsoft YaHei"/>
                <w:b/>
                <w:color w:val="555555"/>
                <w:sz w:val="20"/>
              </w:rPr>
              <w:t>取消所有以「颈线突破」为前提的得分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，改为以</w:t>
            </w:r>
            <w:r>
              <w:rPr>
                <w:rFonts w:ascii="Microsoft YaHei" w:hAnsi="Microsoft YaHei" w:eastAsia="Microsoft YaHei"/>
                <w:b/>
                <w:color w:val="555555"/>
                <w:sz w:val="20"/>
              </w:rPr>
              <w:t>信号触发时刻已经可观测的要素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 xml:space="preserve">评分，保证信号弹出时立即显示分数。 同时：① 用 </w:t>
            </w:r>
            <w:r>
              <w:rPr>
                <w:rFonts w:ascii="Microsoft YaHei" w:hAnsi="Microsoft YaHei" w:eastAsia="Microsoft YaHei"/>
                <w:b/>
                <w:color w:val="555555"/>
                <w:sz w:val="20"/>
              </w:rPr>
              <w:t>QTR 指标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衡量左右肩高度接近、左右颈价格接近；② 趋势背景仅评价</w:t>
            </w:r>
            <w:r>
              <w:rPr>
                <w:rFonts w:ascii="Microsoft YaHei" w:hAnsi="Microsoft YaHei" w:eastAsia="Microsoft YaHei"/>
                <w:b/>
                <w:color w:val="555555"/>
                <w:sz w:val="20"/>
              </w:rPr>
              <w:t>形态所在周期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的局部趋势（长期 H1/D1 趋势由策略既有趋势评分负责，不在此重复）。</w:t>
            </w:r>
          </w:p>
        </w:tc>
      </w:tr>
    </w:tbl>
    <w:p>
      <w:pPr>
        <w:spacing w:before="0" w:after="40" w:line="300" w:lineRule="auto"/>
      </w:pPr>
    </w:p>
    <w:p>
      <w:pPr>
        <w:pBdr>
          <w:bottom w:val="single" w:sz="6" w:space="1" w:color="DADCE0"/>
        </w:pBdr>
        <w:spacing w:before="60" w:after="18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一、评分目标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对</w:t>
      </w:r>
      <w:r>
        <w:rPr>
          <w:rFonts w:ascii="Microsoft YaHei" w:hAnsi="Microsoft YaHei" w:eastAsia="Microsoft YaHei"/>
          <w:b/>
          <w:sz w:val="22"/>
        </w:rPr>
        <w:t>已识别且右肩已确认</w:t>
      </w:r>
      <w:r>
        <w:rPr>
          <w:rFonts w:ascii="Microsoft YaHei" w:hAnsi="Microsoft YaHei" w:eastAsia="Microsoft YaHei"/>
          <w:b w:val="0"/>
          <w:sz w:val="22"/>
        </w:rPr>
        <w:t>的头肩顶 / 反向头肩顶形态进行量化评分。评分越高，代表结构越标准、右肩回落（回升）确认越干脆、交易价值越高。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总分 100 分制，结合封顶与惩罚规则避免「形似但无效」获得高分。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头肩顶判断上涨末端潜在反转；反向头肩顶判断下跌末端潜在反转。两者逻辑一致，只需将高低点、回落方向、目标方向反向处理。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/>
          <w:sz w:val="22"/>
        </w:rPr>
        <w:t>评分时刻 = 信号触发时刻（颈线尚未突破）</w:t>
      </w:r>
      <w:r>
        <w:rPr>
          <w:rFonts w:ascii="Microsoft YaHei" w:hAnsi="Microsoft YaHei" w:eastAsia="Microsoft YaHei"/>
          <w:b w:val="0"/>
          <w:sz w:val="22"/>
        </w:rPr>
        <w:t>，所有子项必须在该时刻可计算。</w:t>
      </w:r>
    </w:p>
    <w:p>
      <w:pPr>
        <w:pBdr>
          <w:bottom w:val="single" w:sz="6" w:space="1" w:color="DADCE0"/>
        </w:pBdr>
        <w:spacing w:before="60" w:after="18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二、总分结构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400"/>
        <w:gridCol w:w="1500"/>
        <w:gridCol w:w="54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评分维度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权重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核心判断（信号触发时刻可观测）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趋势背景（形态所在周期）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 分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形态出现前，</w:t>
            </w:r>
            <w:r>
              <w:rPr>
                <w:rFonts w:ascii="Microsoft YaHei" w:hAnsi="Microsoft YaHei" w:eastAsia="Microsoft YaHei"/>
                <w:b/>
                <w:sz w:val="20"/>
              </w:rPr>
              <w:t>当前周期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是否有明确趋势（头肩顶前上涨 / 反向前下跌）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三峰 / 三谷结构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25 分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头部最突出，</w:t>
            </w:r>
            <w:r>
              <w:rPr>
                <w:rFonts w:ascii="Microsoft YaHei" w:hAnsi="Microsoft YaHei" w:eastAsia="Microsoft YaHei"/>
                <w:b/>
                <w:sz w:val="20"/>
              </w:rPr>
              <w:t>左右肩高度接近（QTR 衡量）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，顺序清晰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颈线质量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15 分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颈线点明确，</w:t>
            </w:r>
            <w:r>
              <w:rPr>
                <w:rFonts w:ascii="Microsoft YaHei" w:hAnsi="Microsoft YaHei" w:eastAsia="Microsoft YaHei"/>
                <w:b/>
                <w:sz w:val="20"/>
              </w:rPr>
              <w:t>左右颈价格接近（QTR 衡量）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，斜率合理，价格对颈线有尊重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时间对称性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 分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左肩、头部、右肩之间的时间跨度不过度失衡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量能 / 动能配合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15 分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右肩动能衰减，右肩回落（回升）时放量，可结合 RSI/MACD 背离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回落确认（替代「突破确认」）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 分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右肩见顶（见底）结构明确，向颈线方向回落（回升）干脆、路径单向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交易价值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 分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以</w:t>
            </w:r>
            <w:r>
              <w:rPr>
                <w:rFonts w:ascii="Microsoft YaHei" w:hAnsi="Microsoft YaHei" w:eastAsia="Microsoft YaHei"/>
                <w:b/>
                <w:sz w:val="20"/>
              </w:rPr>
              <w:t>信号触发价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为入场参考的盈亏比是否合理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与原版差异：原「突破确认 20 分」依赖颈线突破，</w:t>
            </w:r>
            <w:r>
              <w:rPr>
                <w:rFonts w:ascii="Microsoft YaHei" w:hAnsi="Microsoft YaHei" w:eastAsia="Microsoft YaHei"/>
                <w:b/>
                <w:color w:val="555555"/>
                <w:sz w:val="20"/>
              </w:rPr>
              <w:t>信号触发时尚未发生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，已整体替换为</w:t>
            </w:r>
            <w:r>
              <w:rPr>
                <w:rFonts w:ascii="Microsoft YaHei" w:hAnsi="Microsoft YaHei" w:eastAsia="Microsoft YaHei"/>
                <w:b/>
                <w:color w:val="555555"/>
                <w:sz w:val="20"/>
              </w:rPr>
              <w:t>回落确认 20 分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（评价右肩反转质量与向颈线推进的质量）。</w:t>
            </w:r>
          </w:p>
        </w:tc>
      </w:tr>
    </w:tbl>
    <w:p>
      <w:pPr>
        <w:spacing w:before="0" w:after="40" w:line="300" w:lineRule="auto"/>
      </w:pPr>
    </w:p>
    <w:p>
      <w:pPr>
        <w:pBdr>
          <w:bottom w:val="single" w:sz="6" w:space="1" w:color="DADCE0"/>
        </w:pBdr>
        <w:spacing w:before="60" w:after="18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三、关键点定义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/>
          <w:sz w:val="22"/>
        </w:rPr>
        <w:t>头肩顶</w:t>
      </w:r>
      <w:r>
        <w:rPr>
          <w:rFonts w:ascii="Microsoft YaHei" w:hAnsi="Microsoft YaHei" w:eastAsia="Microsoft YaHei"/>
          <w:b w:val="0"/>
          <w:sz w:val="22"/>
        </w:rPr>
        <w:t xml:space="preserve">：左肩高点 LS、头部高点 H、右肩高点 RS、两个回调低点 N1/N2，N1–N2 连线为颈线。要求 </w:t>
      </w:r>
      <w:r>
        <w:rPr>
          <w:rFonts w:ascii="Consolas" w:hAnsi="Consolas" w:eastAsia="Consolas"/>
          <w:color w:val="9B1C1C"/>
          <w:sz w:val="20"/>
        </w:rPr>
        <w:t>H &gt; LS</w:t>
      </w:r>
      <w:r>
        <w:rPr>
          <w:rFonts w:ascii="Microsoft YaHei" w:hAnsi="Microsoft YaHei" w:eastAsia="Microsoft YaHei"/>
          <w:b w:val="0"/>
          <w:sz w:val="22"/>
        </w:rPr>
        <w:t xml:space="preserve"> 且 </w:t>
      </w:r>
      <w:r>
        <w:rPr>
          <w:rFonts w:ascii="Consolas" w:hAnsi="Consolas" w:eastAsia="Consolas"/>
          <w:color w:val="9B1C1C"/>
          <w:sz w:val="20"/>
        </w:rPr>
        <w:t>H &gt; RS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/>
          <w:sz w:val="22"/>
        </w:rPr>
        <w:t>反向头肩顶</w:t>
      </w:r>
      <w:r>
        <w:rPr>
          <w:rFonts w:ascii="Microsoft YaHei" w:hAnsi="Microsoft YaHei" w:eastAsia="Microsoft YaHei"/>
          <w:b w:val="0"/>
          <w:sz w:val="22"/>
        </w:rPr>
        <w:t xml:space="preserve">：左肩低点 LS、头部低点 H、右肩低点 RS、两个反弹高点 N1/N2，N1–N2 连线为颈线。要求 </w:t>
      </w:r>
      <w:r>
        <w:rPr>
          <w:rFonts w:ascii="Consolas" w:hAnsi="Consolas" w:eastAsia="Consolas"/>
          <w:color w:val="9B1C1C"/>
          <w:sz w:val="20"/>
        </w:rPr>
        <w:t>H &lt; LS</w:t>
      </w:r>
      <w:r>
        <w:rPr>
          <w:rFonts w:ascii="Microsoft YaHei" w:hAnsi="Microsoft YaHei" w:eastAsia="Microsoft YaHei"/>
          <w:b w:val="0"/>
          <w:sz w:val="22"/>
        </w:rPr>
        <w:t xml:space="preserve"> 且 </w:t>
      </w:r>
      <w:r>
        <w:rPr>
          <w:rFonts w:ascii="Consolas" w:hAnsi="Consolas" w:eastAsia="Consolas"/>
          <w:color w:val="9B1C1C"/>
          <w:sz w:val="20"/>
        </w:rPr>
        <w:t>H &lt; RS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/>
          <w:sz w:val="22"/>
        </w:rPr>
        <w:t>右颈价 `neckline_at_RS`</w:t>
      </w:r>
      <w:r>
        <w:rPr>
          <w:rFonts w:ascii="Microsoft YaHei" w:hAnsi="Microsoft YaHei" w:eastAsia="Microsoft YaHei"/>
          <w:b w:val="0"/>
          <w:sz w:val="22"/>
        </w:rPr>
        <w:t>：颈线在右肩位置（按 N1–N2 斜率外推到 RS 时间）的价格。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/>
          <w:sz w:val="22"/>
        </w:rPr>
        <w:t>信号触发价 `P_signal`</w:t>
      </w:r>
      <w:r>
        <w:rPr>
          <w:rFonts w:ascii="Microsoft YaHei" w:hAnsi="Microsoft YaHei" w:eastAsia="Microsoft YaHei"/>
          <w:b w:val="0"/>
          <w:sz w:val="22"/>
        </w:rPr>
        <w:t>：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头肩顶：</w:t>
      </w:r>
      <w:r>
        <w:rPr>
          <w:rFonts w:ascii="Consolas" w:hAnsi="Consolas" w:eastAsia="Consolas"/>
          <w:color w:val="9B1C1C"/>
          <w:sz w:val="20"/>
        </w:rPr>
        <w:t>P_signal = RS − 0.5 × (RS − neckline_at_RS)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反向头肩顶：</w:t>
      </w:r>
      <w:r>
        <w:rPr>
          <w:rFonts w:ascii="Consolas" w:hAnsi="Consolas" w:eastAsia="Consolas"/>
          <w:color w:val="9B1C1C"/>
          <w:sz w:val="20"/>
        </w:rPr>
        <w:t>P_signal = RS + 0.5 × (neckline_at_RS − RS)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/>
          <w:sz w:val="22"/>
        </w:rPr>
        <w:t>QTR</w:t>
      </w:r>
      <w:r>
        <w:rPr>
          <w:rFonts w:ascii="Microsoft YaHei" w:hAnsi="Microsoft YaHei" w:eastAsia="Microsoft YaHei"/>
          <w:b w:val="0"/>
          <w:sz w:val="22"/>
        </w:rPr>
        <w:t xml:space="preserve">：用于度量价格距离的波动单位（你已引入的指标）。下文所有「接近度」均以 </w:t>
      </w:r>
      <w:r>
        <w:rPr>
          <w:rFonts w:ascii="Microsoft YaHei" w:hAnsi="Microsoft YaHei" w:eastAsia="Microsoft YaHei"/>
          <w:b/>
          <w:sz w:val="22"/>
        </w:rPr>
        <w:t>QTR 的倍数</w:t>
      </w:r>
      <w:r>
        <w:rPr>
          <w:rFonts w:ascii="Microsoft YaHei" w:hAnsi="Microsoft YaHei" w:eastAsia="Microsoft YaHei"/>
          <w:b w:val="0"/>
          <w:sz w:val="22"/>
        </w:rPr>
        <w:t>衡量，倍数阈值为建议初始值，需回测校准。</w:t>
      </w:r>
    </w:p>
    <w:p>
      <w:pPr>
        <w:pBdr>
          <w:bottom w:val="single" w:sz="6" w:space="1" w:color="DADCE0"/>
        </w:pBdr>
        <w:spacing w:before="60" w:after="18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四、详细评分规则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1. 趋势背景（形态所在周期）— 10 分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只评价</w:t>
            </w:r>
            <w:r>
              <w:rPr>
                <w:rFonts w:ascii="Microsoft YaHei" w:hAnsi="Microsoft YaHei" w:eastAsia="Microsoft YaHei"/>
                <w:b/>
                <w:color w:val="555555"/>
                <w:sz w:val="20"/>
              </w:rPr>
              <w:t>形态出现的这个周期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的局部趋势（即从形态左侧、LS 之前的走势到 H 的方向）。长期跨周期趋势由策略既有趋势评分负责，此处不重复。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子项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分数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形态前在</w:t>
            </w:r>
            <w:r>
              <w:rPr>
                <w:rFonts w:ascii="Microsoft YaHei" w:hAnsi="Microsoft YaHei" w:eastAsia="Microsoft YaHei"/>
                <w:b/>
                <w:sz w:val="20"/>
              </w:rPr>
              <w:t>当前周期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存在明确趋势（头肩顶前上涨 / 反向前下跌）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该趋势在当前周期持续足够长，不是横盘区间里强行凑形态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形态靠近当前周期的重要压力 / 支撑、前高 / 前低或关键均线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</w:tr>
    </w:tbl>
    <w:p>
      <w:pPr>
        <w:spacing w:before="0" w:after="80" w:line="300" w:lineRule="auto"/>
      </w:pP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当前周期无明确前置趋势 → 本项 ≤ 2 分，并触发封顶规则（见第五节）。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2. 三峰 / 三谷结构 — 25 分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子项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分数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头部明显高于左右肩（反向：明显低于左右肩）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左右肩高度接近（QTR 衡量，见下表）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左肩、头部、右肩的结构顺序清晰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右肩未突破头部（反向：右肩未跌破头部）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中间没有过多破坏结构的杂峰 / 杂谷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2"/>
        </w:rPr>
        <w:t>左右肩高度接近（QTR 评分，满分 6）：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shoulder_diff = abs(LS − RS)          # 价格差</w:t>
              <w:br/>
              <w:t>ratio_S       = shoulder_diff / QTR   # 以 QTR 为单位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9B1C1C"/>
                <w:sz w:val="18"/>
              </w:rPr>
              <w:t>ratio_S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得分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≤ 0.5 × QTR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0.5 – 1.0 × QTR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1.0 – 1.5 × QTR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&gt; 1.5 × QTR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 分（并参与惩罚）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取代原「肩部相似度 = 1 − abs(LS−RS)/pattern_height」。用 QTR 而非形态高度做分母，使阈值在不同波动率品种间更稳定。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3. 颈线质量 — 15 分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子项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分数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N1、N2 两个颈线点清晰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左右颈价格接近 / 斜率合理（QTR 衡量，见下表）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信号触发前价格多次尊重颈线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颈线附近没有大量假突破 / 无效刺破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2"/>
        </w:rPr>
        <w:t>左右颈价格接近（QTR 评分，满分 4）：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neck_diff = abs(N1 − N2)          # 两个颈线点的价格差</w:t>
              <w:br/>
              <w:t>ratio_N   = neck_diff / QTR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9B1C1C"/>
                <w:sz w:val="18"/>
              </w:rPr>
              <w:t>ratio_N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得分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≤ 0.5 × QTR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0.5 – 1.0 × QTR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1.0 – 1.5 × QTR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&gt; 1.5 × QTR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 分（并参与惩罚）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color w:val="9B1C1C"/>
                <w:sz w:val="18"/>
              </w:rPr>
              <w:t>neck_diff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 xml:space="preserve"> 越小，颈线越水平、形态越标准。颈线可轻微上斜 / 下斜，但 </w:t>
            </w:r>
            <w:r>
              <w:rPr>
                <w:rFonts w:ascii="Consolas" w:hAnsi="Consolas" w:eastAsia="Consolas"/>
                <w:color w:val="9B1C1C"/>
                <w:sz w:val="18"/>
              </w:rPr>
              <w:t>ratio_N &gt; 1.5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 xml:space="preserve"> 视为倾斜过大。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4. 时间对称性 — 10 分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左侧时间 = H_time − LS_time</w:t>
              <w:br/>
              <w:t>右侧时间 = RS_time − H_time</w:t>
              <w:br/>
              <w:t>时间比例 = max(左侧时间, 右侧时间) / min(左侧时间, 右侧时间)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时间比例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得分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1.0 – 1.8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8 – 10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1.8 – 3.0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 – 7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&gt; 3.0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 – 3 分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一侧极短、一侧极长，通常说明形态不标准，降低结构可信度。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5. 量能 / 动能配合 — 15 分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全部基于信号触发时刻已形成的 K 线，不依赖颈线突破时的放量。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子项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分数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从左肩到头部再到右肩，动能逐步衰减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右肩成交量低于左肩或头部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右肩见顶（见底）后回落（回升）时成交量放大 / 动能放大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RSI / MACD 在右肩出现背离确认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原「突破颈线时成交量放大」依赖突破，已替换为「右肩回落 / 回升时放量」——该放量在信号触发时刻已可观测（价格已走完右肩到右颈的一半）。 若品种成交量不可靠（部分外汇、指数等），改为动能评分：RSI 背离 5 分、MACD 背离 4 分、波动率收缩 3 分、右肩回落动能 3 分。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6. 回落确认（替代「突破确认」）— 20 分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信号在「右肩 ↔ 右颈」中点触发，此时颈线尚未突破。本项评价</w:t>
            </w:r>
            <w:r>
              <w:rPr>
                <w:rFonts w:ascii="Microsoft YaHei" w:hAnsi="Microsoft YaHei" w:eastAsia="Microsoft YaHei"/>
                <w:b/>
                <w:color w:val="555555"/>
                <w:sz w:val="20"/>
              </w:rPr>
              <w:t>右肩反转质量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与</w:t>
            </w:r>
            <w:r>
              <w:rPr>
                <w:rFonts w:ascii="Microsoft YaHei" w:hAnsi="Microsoft YaHei" w:eastAsia="Microsoft YaHei"/>
                <w:b/>
                <w:color w:val="555555"/>
                <w:sz w:val="20"/>
              </w:rPr>
              <w:t>向颈线推进的质量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，是即时确认的核心。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子项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分数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右肩见顶（反向：见底）结构明确：顶 / 底分型、明显反转 K 线、长上影 / 长下影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从右肩到信号点的回落（回升）干脆，斜率 / 动能强，不拖泥带水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回落（回升）路径单向：途中未重新逼近 / 突破右肩高点（反向：未跌破右肩低点）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回落（回升）过程伴随放量或动能放大（卖压 / 买压释放）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信号点已明确脱离右肩极值区、向颈线方向有顺畅运行空间（颈线附近无密集反复支撑 / 阻力）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头肩顶以「右肩见顶 + 向下回落过半」作为即时确认；反向头肩顶以「右肩见底 + 向上回升过半」作为即时确认。 注意：颈线</w:t>
            </w:r>
            <w:r>
              <w:rPr>
                <w:rFonts w:ascii="Microsoft YaHei" w:hAnsi="Microsoft YaHei" w:eastAsia="Microsoft YaHei"/>
                <w:b/>
                <w:color w:val="555555"/>
                <w:sz w:val="20"/>
              </w:rPr>
              <w:t>是否最终突破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不在本评分内——评分服务于「信号弹出即显示」，突破与否由后续行情验证。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7. 交易价值 — 5 分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以</w:t>
            </w:r>
            <w:r>
              <w:rPr>
                <w:rFonts w:ascii="Microsoft YaHei" w:hAnsi="Microsoft YaHei" w:eastAsia="Microsoft YaHei"/>
                <w:b/>
                <w:color w:val="555555"/>
                <w:sz w:val="20"/>
              </w:rPr>
              <w:t>信号触发价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为入场参考（比等颈线突破入场更早，盈亏比通常更优）。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# 头肩顶</w:t>
              <w:br/>
              <w:t>目标价 = neckline_at_RS − (H − neckline_at_RS)</w:t>
              <w:br/>
              <w:t>止损价 = RS 上方（可加 缓冲，如 RS + k×QTR）</w:t>
              <w:br/>
              <w:t>盈亏比 = (P_signal − 目标价) / (止损价 − P_signal)</w:t>
              <w:br/>
              <w:br/>
              <w:t># 反向头肩顶</w:t>
              <w:br/>
              <w:t>目标价 = neckline_at_RS + (neckline_at_RS − H)</w:t>
              <w:br/>
              <w:t>止损价 = RS 下方（可减 缓冲，如 RS − k×QTR）</w:t>
              <w:br/>
              <w:t>盈亏比 = (目标价 − P_signal) / (P_signal − 止损价)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盈亏比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得分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≥ 2.0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1.5 – 2.0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1.2 – 1.5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&lt; 1.2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 分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目标价仍按经典测幅（头部到颈线的距离）计算，只是以颈线价为投影基准，无需等待突破即可给出。</w:t>
            </w:r>
          </w:p>
        </w:tc>
      </w:tr>
    </w:tbl>
    <w:p>
      <w:pPr>
        <w:spacing w:before="0" w:after="40" w:line="300" w:lineRule="auto"/>
      </w:pPr>
    </w:p>
    <w:p>
      <w:pPr>
        <w:pBdr>
          <w:bottom w:val="single" w:sz="6" w:space="1" w:color="DADCE0"/>
        </w:pBdr>
        <w:spacing w:before="60" w:after="18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五、封顶与惩罚规则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条件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当前周期没有明确前置趋势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总分封顶 </w:t>
            </w:r>
            <w:r>
              <w:rPr>
                <w:rFonts w:ascii="Microsoft YaHei" w:hAnsi="Microsoft YaHei" w:eastAsia="Microsoft YaHei"/>
                <w:b/>
                <w:sz w:val="20"/>
              </w:rPr>
              <w:t>70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头部不明显高于 / 低于左右肩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总分封顶 </w:t>
            </w:r>
            <w:r>
              <w:rPr>
                <w:rFonts w:ascii="Microsoft YaHei" w:hAnsi="Microsoft YaHei" w:eastAsia="Microsoft YaHei"/>
                <w:b/>
                <w:sz w:val="20"/>
              </w:rPr>
              <w:t>50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左右肩高度差 </w:t>
            </w:r>
            <w:r>
              <w:rPr>
                <w:rFonts w:ascii="Consolas" w:hAnsi="Consolas" w:eastAsia="Consolas"/>
                <w:color w:val="9B1C1C"/>
                <w:sz w:val="18"/>
              </w:rPr>
              <w:t>ratio_S &gt; 1.5 × QTR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（严重不对称）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总分额外扣 </w:t>
            </w:r>
            <w:r>
              <w:rPr>
                <w:rFonts w:ascii="Microsoft YaHei" w:hAnsi="Microsoft YaHei" w:eastAsia="Microsoft YaHei"/>
                <w:b/>
                <w:sz w:val="20"/>
              </w:rPr>
              <w:t>10 – 20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左右颈价格差 </w:t>
            </w:r>
            <w:r>
              <w:rPr>
                <w:rFonts w:ascii="Consolas" w:hAnsi="Consolas" w:eastAsia="Consolas"/>
                <w:color w:val="9B1C1C"/>
                <w:sz w:val="18"/>
              </w:rPr>
              <w:t>ratio_N &gt; 1.5 × QTR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（颈线倾斜过大）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总分额外扣 </w:t>
            </w:r>
            <w:r>
              <w:rPr>
                <w:rFonts w:ascii="Microsoft YaHei" w:hAnsi="Microsoft YaHei" w:eastAsia="Microsoft YaHei"/>
                <w:b/>
                <w:sz w:val="20"/>
              </w:rPr>
              <w:t>5 – 15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右肩回落 / 回升动能不足，或途中重新逼近 / 突破右肩极值（路径被破坏）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总分封顶 </w:t>
            </w:r>
            <w:r>
              <w:rPr>
                <w:rFonts w:ascii="Microsoft YaHei" w:hAnsi="Microsoft YaHei" w:eastAsia="Microsoft YaHei"/>
                <w:b/>
                <w:sz w:val="20"/>
              </w:rPr>
              <w:t>60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 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颈线附近多次假突破 / 假刺破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总分额外扣 </w:t>
            </w:r>
            <w:r>
              <w:rPr>
                <w:rFonts w:ascii="Microsoft YaHei" w:hAnsi="Microsoft YaHei" w:eastAsia="Microsoft YaHei"/>
                <w:b/>
                <w:sz w:val="20"/>
              </w:rPr>
              <w:t>5 – 15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 xml:space="preserve"> 分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已删除原版「没有有效突破颈线：封顶 75」「突破后快速回到颈线内部：封顶 60」——本策略在突破前发信号，这两条不再适用，相应风险由「回落确认」与「路径被破坏」封顶承接。</w:t>
            </w:r>
          </w:p>
        </w:tc>
      </w:tr>
    </w:tbl>
    <w:p>
      <w:pPr>
        <w:spacing w:before="0" w:after="40" w:line="300" w:lineRule="auto"/>
      </w:pPr>
    </w:p>
    <w:p>
      <w:pPr>
        <w:pBdr>
          <w:bottom w:val="single" w:sz="6" w:space="1" w:color="DADCE0"/>
        </w:pBdr>
        <w:spacing w:before="60" w:after="18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六、最终评级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400"/>
        <w:gridCol w:w="1500"/>
        <w:gridCol w:w="54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分数区间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评级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解释（信号触发时刻 / 颈线突破前）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85 – 100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 级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结构标准、右肩回落确认充分，信号质量高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70 – 84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 级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形态基本有效，存在部分瑕疵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55 – 69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 级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疑似形态，需结合后续走势进一步确认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40 – 54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 级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形似但质量差，参考价值较低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&lt; 40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忽略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不建议作为头肩形态处理</w:t>
            </w:r>
          </w:p>
        </w:tc>
      </w:tr>
    </w:tbl>
    <w:p>
      <w:pPr>
        <w:spacing w:before="0" w:after="80" w:line="300" w:lineRule="auto"/>
      </w:pPr>
    </w:p>
    <w:p>
      <w:pPr>
        <w:pBdr>
          <w:bottom w:val="single" w:sz="6" w:space="1" w:color="DADCE0"/>
        </w:pBdr>
        <w:spacing w:before="60" w:after="180" w:line="300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七、程序化评分流程建议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# 信号触发瞬间执行，立即返回分数</w:t>
              <w:br/>
              <w:t>final_score =</w:t>
              <w:br/>
              <w:t xml:space="preserve">      trend_score          # 形态所在周期的局部趋势，10</w:t>
              <w:br/>
              <w:t xml:space="preserve">    + structure_score      # 三峰/三谷，含 QTR 肩高接近，25</w:t>
              <w:br/>
              <w:t xml:space="preserve">    + neckline_score       # 颈线质量，含 QTR 左右颈接近，15</w:t>
              <w:br/>
              <w:t xml:space="preserve">    + time_score           # 时间对称性，10</w:t>
              <w:br/>
              <w:t xml:space="preserve">    + momentum_score       # 量能/动能，15</w:t>
              <w:br/>
              <w:t xml:space="preserve">    + pullback_score       # 回落确认（替代突破确认），20</w:t>
              <w:br/>
              <w:t xml:space="preserve">    + trade_value_score    # 以信号触发价计的盈亏比，5</w:t>
              <w:br/>
              <w:br/>
              <w:t>final_score = apply_caps_and_penalties(final_score)</w:t>
            </w:r>
          </w:p>
        </w:tc>
      </w:tr>
    </w:tbl>
    <w:p>
      <w:pPr>
        <w:spacing w:before="0" w:after="40" w:line="300" w:lineRule="auto"/>
      </w:pP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所有子项均在</w:t>
      </w:r>
      <w:r>
        <w:rPr>
          <w:rFonts w:ascii="Microsoft YaHei" w:hAnsi="Microsoft YaHei" w:eastAsia="Microsoft YaHei"/>
          <w:b/>
          <w:sz w:val="22"/>
        </w:rPr>
        <w:t>右肩 ↔ 右颈中点触发的瞬间</w:t>
      </w:r>
      <w:r>
        <w:rPr>
          <w:rFonts w:ascii="Microsoft YaHei" w:hAnsi="Microsoft YaHei" w:eastAsia="Microsoft YaHei"/>
          <w:b w:val="0"/>
          <w:sz w:val="22"/>
        </w:rPr>
        <w:t>可计算，信号弹出即显示评分。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80 分以上进入重点观察池；70 – 80 分作为辅助信号；低于 70 分仅做记录。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八、实操建议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信号已在突破前发出，因此评分核心从「突破确认」转移到「右肩反转质量 + 回落动能」。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QTR 的倍数阈值（0.5 / 1.0 / 1.5）为建议初始值，请用回测校准；不同品种、不同周期可分别校准。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趋势背景只评当前周期，避免与策略既有的 H1/D1 长期趋势评分重复计分。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sz w:val="22"/>
        </w:rPr>
        <w:t>不同周期可分别评分，大周期高分形态优先级更高。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