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40"/>
        </w:rPr>
        <w:t>头肩顶与反向头肩顶评分策略</w:t>
      </w:r>
    </w:p>
    <w:p>
      <w:pPr>
        <w:jc w:val="center"/>
      </w:pPr>
      <w:r>
        <w:rPr>
          <w:rFonts w:ascii="微软雅黑" w:hAnsi="微软雅黑" w:eastAsia="微软雅黑"/>
          <w:b w:val="0"/>
          <w:sz w:val="21"/>
        </w:rPr>
        <w:t>用于对已识别出的形态进行结构质量、确认强度与交易价值评分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一、评分目标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本方案用于对已经识别出的头肩顶或反向头肩顶形态进行量化评分。评分越高，代表形态越接近标准结构，且市场确认越充分。建议总分采用 100 分制，并结合封顶规则避免“形似但无效”的形态获得过高分数。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头肩顶用于判断上涨趋势末端的潜在反转；反向头肩顶用于判断下跌趋势末端的潜在反转。两者评分逻辑一致，只需将高低点、突破方向和目标方向反向处理。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二、总分结构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评分维度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权重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核心判断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趋势背景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 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形态出现前是否存在明确趋势，头肩顶前应上涨，反向头肩顶前应下跌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三峰/三谷结构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25 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头部最突出，左右肩相近，形态顺序清晰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颈线质量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 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颈线点明确，斜率合理，价格对颈线有尊重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时间对称性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 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左肩、头部、右肩之间的时间跨度不过度失衡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量能/动能配合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15 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右肩动能衰减，突破颈线时放量，可结合 RSI/MACD 背离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突破确认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 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收盘价有效突破颈线，突破后不快速回到形态内部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交易价值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 分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目标空间与止损空间的盈亏比是否合理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三、关键点定义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头肩顶关键点：左肩高点 LS、头部高点 H、右肩高点 RS、两个回调低点 N1/N2，N1 与 N2 连线为颈线。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反向头肩顶关键点：左肩低点 LS、头部低点 H、右肩低点 RS、两个反弹高点 N1/N2，N1 与 N2 连线为颈线。</w:t>
      </w:r>
    </w:p>
    <w:p>
      <w:pPr>
        <w:ind w:left="360"/>
      </w:pPr>
      <w:r>
        <w:rPr>
          <w:rFonts w:ascii="Consolas" w:hAnsi="Consolas"/>
          <w:sz w:val="20"/>
        </w:rPr>
        <w:t>头肩顶要求：H &gt; LS 且 H &gt; RS，跌破颈线确认</w:t>
      </w:r>
    </w:p>
    <w:p>
      <w:pPr>
        <w:ind w:left="360"/>
      </w:pPr>
      <w:r>
        <w:rPr>
          <w:rFonts w:ascii="Consolas" w:hAnsi="Consolas"/>
          <w:sz w:val="20"/>
        </w:rPr>
        <w:t>反向头肩顶要求：H &lt; LS 且 H &lt; RS，突破颈线确认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四、详细评分规则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1. 趋势背景，10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子项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分数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形态前存在明确趋势，头肩顶前上涨、反向头肩顶前下跌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趋势持续时间足够，不是在横盘区间中强行寻找形态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形态靠近重要压力/支撑、前高/前低或关键均线区域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</w:tr>
    </w:tbl>
    <w:p/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若没有明确前置趋势，即使形态结构较像，总分建议封顶 70 分。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2. 三峰/三谷结构，25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子项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分数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头部明显高于左右肩；反向形态中头部明显低于左右肩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左右肩高度接近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左肩、头部、右肩的结构顺序清晰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右肩未突破头部；反向形态中右肩未跌破头部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中间没有过多破坏结构的杂峰/杂谷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</w:tr>
    </w:tbl>
    <w:p/>
    <w:p>
      <w:pPr>
        <w:ind w:left="360"/>
      </w:pPr>
      <w:r>
        <w:rPr>
          <w:rFonts w:ascii="Consolas" w:hAnsi="Consolas"/>
          <w:sz w:val="20"/>
        </w:rPr>
        <w:t>肩部相似度 = 1 - abs(LS - RS) / pattern_height</w:t>
      </w:r>
    </w:p>
    <w:p>
      <w:pPr>
        <w:ind w:left="360"/>
      </w:pPr>
      <w:r>
        <w:rPr>
          <w:rFonts w:ascii="Consolas" w:hAnsi="Consolas"/>
          <w:sz w:val="20"/>
        </w:rPr>
        <w:t>头肩顶 pattern_height = H - neckline_at_H</w:t>
      </w:r>
    </w:p>
    <w:p>
      <w:pPr>
        <w:ind w:left="360"/>
      </w:pPr>
      <w:r>
        <w:rPr>
          <w:rFonts w:ascii="Consolas" w:hAnsi="Consolas"/>
          <w:sz w:val="20"/>
        </w:rPr>
        <w:t>反向头肩顶 pattern_height = neckline_at_H - H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左右肩差距小于形态高度 10% 可给高分；10%-25% 给中等分；超过 35% 应明显扣分。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3. 颈线质量，15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子项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分数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N1、N2 两个颈线点清晰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颈线斜率合理，不极端倾斜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突破前价格多次尊重颈线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颈线附近没有大量假突破或无效刺破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</w:tr>
    </w:tbl>
    <w:p/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颈线可以上斜或下斜，但斜率过大时形态质量下降。建议颈线两端价差不要超过形态高度的 30%-40%，否则扣分。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4. 时间对称性，10 分</w:t>
      </w:r>
    </w:p>
    <w:p>
      <w:pPr>
        <w:ind w:left="360"/>
      </w:pPr>
      <w:r>
        <w:rPr>
          <w:rFonts w:ascii="Consolas" w:hAnsi="Consolas"/>
          <w:sz w:val="20"/>
        </w:rPr>
        <w:t>左侧时间 = H_time - LS_time</w:t>
      </w:r>
    </w:p>
    <w:p>
      <w:pPr>
        <w:ind w:left="360"/>
      </w:pPr>
      <w:r>
        <w:rPr>
          <w:rFonts w:ascii="Consolas" w:hAnsi="Consolas"/>
          <w:sz w:val="20"/>
        </w:rPr>
        <w:t>右侧时间 = RS_time - H_time</w:t>
      </w:r>
    </w:p>
    <w:p>
      <w:pPr>
        <w:ind w:left="360"/>
      </w:pPr>
      <w:r>
        <w:rPr>
          <w:rFonts w:ascii="Consolas" w:hAnsi="Consolas"/>
          <w:sz w:val="20"/>
        </w:rPr>
        <w:t>时间比例 = max(左侧时间, 右侧时间) / min(左侧时间, 右侧时间)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时间比例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建议得分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1.0 - 1.8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8-10 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1.8 - 3.0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4-7 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&gt; 3.0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0-3 分</w:t>
            </w:r>
          </w:p>
        </w:tc>
      </w:tr>
    </w:tbl>
    <w:p/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如果一侧极短、一侧极长，通常说明该形态并不标准，需降低结构可信度。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5. 量能/动能配合，15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子项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分数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从左肩到头部再到右肩，动能逐步衰减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右肩成交量低于左肩或头部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突破颈线时成交量放大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RSI/MACD 等指标出现背离确认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</w:tr>
    </w:tbl>
    <w:p/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如果交易品种成交量不可靠，例如部分外汇、指数或缺失真实成交量的数据，可将该项改为动能评分：RSI 背离 5 分，MACD 背离 4 分，波动率收缩后突破 3 分，突破后延续性 3 分。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6. 突破确认，20 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子项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分数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收盘价有效突破颈线，而不是盘中短暂刺破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突破幅度大于 0.5 ATR 或 0.5%-1%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突破时放量或动能明显增强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突破后 3-5 根 K 线不快速回到颈线内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回踩颈线后继续按突破方向运行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</w:tr>
    </w:tbl>
    <w:p/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头肩顶以收盘价跌破颈线作为确认；反向头肩顶以收盘价突破颈线作为确认。没有颈线突破时，只能视为潜在形态。</w:t>
      </w:r>
    </w:p>
    <w:p>
      <w:pPr>
        <w:pStyle w:val="Heading2"/>
      </w:pPr>
      <w:r>
        <w:rPr>
          <w:rFonts w:ascii="微软雅黑" w:hAnsi="微软雅黑" w:eastAsia="微软雅黑"/>
          <w:b/>
          <w:sz w:val="24"/>
        </w:rPr>
        <w:t>7. 交易价值，5 分</w:t>
      </w:r>
    </w:p>
    <w:p>
      <w:pPr>
        <w:ind w:left="360"/>
      </w:pPr>
      <w:r>
        <w:rPr>
          <w:rFonts w:ascii="Consolas" w:hAnsi="Consolas"/>
          <w:sz w:val="20"/>
        </w:rPr>
        <w:t>头肩顶目标价 = 颈线突破价 - (头部高点 - 颈线价)</w:t>
      </w:r>
    </w:p>
    <w:p>
      <w:pPr>
        <w:ind w:left="360"/>
      </w:pPr>
      <w:r>
        <w:rPr>
          <w:rFonts w:ascii="Consolas" w:hAnsi="Consolas"/>
          <w:sz w:val="20"/>
        </w:rPr>
        <w:t>反向头肩顶目标价 = 颈线突破价 + (颈线价 - 头部低点)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止损参考：头肩顶可放在右肩高点上方；反向头肩顶可放在右肩低点下方。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盈亏比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建议得分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&gt;= 2.0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 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1.5 - 2.0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 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1.2 - 1.5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 分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&lt; 1.2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 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五、封顶与惩罚规则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没有明确前置趋势：总分封顶 70 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头部不明显高于/低于左右肩：总分封顶 50 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没有有效突破颈线：总分封顶 75 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突破后快速回到颈线内部：总分封顶 60 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左右肩严重不对称：总分额外扣 10-20 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颈线附近多次假突破：总分额外扣 5-15 分。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六、最终评级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分数区间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评级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微软雅黑" w:hAnsi="微软雅黑" w:eastAsia="微软雅黑"/>
                <w:b/>
                <w:sz w:val="21"/>
              </w:rPr>
              <w:t>解释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85 - 100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 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结构标准，突破确认充分，具备较高参考价值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70 - 84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B 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形态基本有效，但存在部分瑕疵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55 - 69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C 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疑似形态，需要更多确认，不宜单独作为交易依据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40 - 54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D 级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形似但质量差，参考价值较低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&lt; 40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忽略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不建议作为头肩形态处理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28"/>
        </w:rPr>
        <w:t>七、程序化评分流程建议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建议在程序中先识别五个关键点，再按结构、颈线、时间、动能、突破和交易价值分别打分。最后应用封顶规则与惩罚规则，得到最终分数。</w:t>
      </w:r>
    </w:p>
    <w:p>
      <w:pPr>
        <w:ind w:left="360"/>
      </w:pPr>
      <w:r>
        <w:rPr>
          <w:rFonts w:ascii="Consolas" w:hAnsi="Consolas"/>
          <w:sz w:val="20"/>
        </w:rPr>
        <w:t>final_score = trend_score + structure_score + neckline_score + time_score + momentum_score + breakout_score + trade_value_score</w:t>
      </w:r>
    </w:p>
    <w:p>
      <w:pPr>
        <w:ind w:left="360"/>
      </w:pPr>
      <w:r>
        <w:rPr>
          <w:rFonts w:ascii="Consolas" w:hAnsi="Consolas"/>
          <w:sz w:val="20"/>
        </w:rPr>
        <w:t>final_score = apply_caps_and_penalties(final_score)</w:t>
      </w:r>
    </w:p>
    <w:p>
      <w:pPr>
        <w:spacing w:line="300" w:lineRule="auto"/>
      </w:pPr>
      <w:r>
        <w:rPr>
          <w:rFonts w:ascii="微软雅黑" w:hAnsi="微软雅黑" w:eastAsia="微软雅黑"/>
          <w:b w:val="0"/>
          <w:sz w:val="21"/>
        </w:rPr>
        <w:t>实际使用中，80 分以上的形态可以进入重点观察池；70-80 分可作为辅助信号；低于 70 分建议只做记录，不作为主要交易依据。</w:t>
      </w:r>
    </w:p>
    <w:p>
      <w:pPr>
        <w:pStyle w:val="Heading1"/>
      </w:pPr>
      <w:r>
        <w:rPr>
          <w:rFonts w:ascii="微软雅黑" w:hAnsi="微软雅黑" w:eastAsia="微软雅黑"/>
          <w:b/>
          <w:sz w:val="28"/>
        </w:rPr>
        <w:t>八、实操建议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不要只看形状，必须结合趋势背景和颈线突破。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没有突破颈线前，最多只能定义为“潜在头肩形态”。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程序识别时建议先宽松识别，再用评分系统过滤。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不同周期可分别评分，大周期高分形态优先级更高。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评分系统应配合回测微调，例如肩部相似度阈值、突破幅度阈值和成交量阈值。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