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Andina Solar, S. A. — Modelo de negocio</w:t>
      </w:r>
    </w:p>
    <w:p>
      <w:r>
        <w:t xml:space="preserve">Andina Solar opera cuatro parques fotovoltaicos en Panama con contratos PPA a quince anios.</w:t>
      </w:r>
    </w:p>
    <w:p>
      <w:r>
        <w:t xml:space="preserve">El proceso de credito busca refinanciar la deuda puente del parque Chiriqui II.</w:t>
      </w:r>
    </w:p>
    <w:p>
      <w:r>
        <w:t xml:space="preserve">Este documento es una ficcion de prueba: no describe ninguna empresa real.</w:t>
      </w:r>
    </w:p>
  </w:body>
</w:document>
</file>