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c3d5a"/>
          <w:sz w:val="40"/>
          <w:szCs w:val="40"/>
        </w:rPr>
        <w:t xml:space="preserve">ANDINA SOLAR, S. A.</w:t>
      </w:r>
    </w:p>
    <w:p>
      <w:pPr>
        <w:spacing w:after="40"/>
      </w:pPr>
      <w:r>
        <w:rPr>
          <w:rFonts w:ascii="Georgia" w:cs="Georgia" w:eastAsia="Georgia" w:hAnsi="Georgia"/>
          <w:b/>
          <w:bCs/>
          <w:color w:val="1f1f1f"/>
          <w:sz w:val="28"/>
          <w:szCs w:val="28"/>
        </w:rPr>
        <w:t xml:space="preserve">Resumen del Contrato de Compraventa de Energía (PPA)</w:t>
      </w:r>
    </w:p>
    <w:p>
      <w:pPr>
        <w:spacing w:after="300"/>
      </w:pPr>
      <w:r>
        <w:rPr>
          <w:rFonts w:ascii="Georgia" w:cs="Georgia" w:eastAsia="Georgia" w:hAnsi="Georgia"/>
          <w:i/>
          <w:iCs/>
          <w:color w:val="5b5b5b"/>
          <w:sz w:val="18"/>
          <w:szCs w:val="18"/>
        </w:rPr>
        <w:t xml:space="preserve">Documento sintético preparado para fines de demostración del proceso de preparación de levantamiento de crédito. No constituye una oferta de venta de valores ni una promesa de retornos.</w:t>
      </w:r>
    </w:p>
    <w:p>
      <w:pPr>
        <w:pStyle w:val="Heading1"/>
        <w:pBdr>
          <w:bottom w:val="single" w:color="b8862f" w:sz="6" w:space="4"/>
        </w:pBdr>
        <w:spacing w:after="140" w:before="320"/>
      </w:pPr>
      <w:r>
        <w:rPr>
          <w:rFonts w:ascii="Georgia" w:cs="Georgia" w:eastAsia="Georgia" w:hAnsi="Georgia"/>
          <w:b/>
          <w:bCs/>
          <w:color w:val="1c3d5a"/>
          <w:sz w:val="26"/>
          <w:szCs w:val="26"/>
        </w:rPr>
        <w:t xml:space="preserve">1. Partes</w:t>
      </w:r>
    </w:p>
    <w:p>
      <w:pPr>
        <w:spacing w:after="160" w:line="276"/>
        <w:jc w:val="both"/>
      </w:pPr>
      <w:r>
        <w:rPr>
          <w:rFonts w:ascii="Georgia" w:cs="Georgia" w:eastAsia="Georgia" w:hAnsi="Georgia"/>
          <w:color w:val="1f1f1f"/>
          <w:sz w:val="21"/>
          <w:szCs w:val="21"/>
        </w:rPr>
        <w:t xml:space="preserve">El presente documento resume los términos principales del contrato de compraventa de energía a largo plazo ("PPA", por sus siglas en inglés) suscrito entre Andina Solar, S. A. y Distribuidora Istmeña, S. A., para la venta de la totalidad de la energía generada por la planta solar fotovoltaica de 42 MW ubicada en Provincia de Coclé, República de Panamá.</w:t>
      </w:r>
    </w:p>
    <w:tbl>
      <w:tblPr>
        <w:tblW w:type="pct" w:w="100%"/>
        <w:tblBorders>
          <w:top w:val="single" w:color="c9c2bd" w:sz="4"/>
          <w:left w:val="single" w:color="c9c2bd" w:sz="4"/>
          <w:bottom w:val="single" w:color="c9c2bd" w:sz="4"/>
          <w:right w:val="single" w:color="c9c2bd" w:sz="4"/>
          <w:insideH w:val="single" w:color="c9c2bd" w:sz="2"/>
          <w:insideV w:val="single" w:color="c9c2bd" w:sz="2"/>
        </w:tblBorders>
      </w:tblPr>
      <w:tblGrid>
        <w:gridCol w:w="100"/>
        <w:gridCol w:w="100"/>
      </w:tblGrid>
      <w:tr>
        <w:tc>
          <w:tcPr>
            <w:tcW w:type="pct" w:w="25%"/>
            <w:shd w:fill="1c3d5a" w:color="1c3d5a" w:val="solid"/>
            <w:tcMar>
              <w:top w:type="dxa" w:w="80"/>
              <w:left w:type="dxa" w:w="120"/>
              <w:bottom w:type="dxa" w:w="80"/>
              <w:right w:type="dxa" w:w="120"/>
            </w:tcMar>
          </w:tcPr>
          <w:p>
            <w:pPr>
              <w:jc w:val="left"/>
            </w:pPr>
            <w:r>
              <w:rPr>
                <w:rFonts w:ascii="Georgia" w:cs="Georgia" w:eastAsia="Georgia" w:hAnsi="Georgia"/>
                <w:b/>
                <w:bCs/>
                <w:color w:val="FFFFFF"/>
                <w:sz w:val="19"/>
                <w:szCs w:val="19"/>
              </w:rPr>
              <w:t xml:space="preserve">Rol</w:t>
            </w:r>
          </w:p>
        </w:tc>
        <w:tc>
          <w:tcPr>
            <w:tcW w:type="pct" w:w="75%"/>
            <w:shd w:fill="1c3d5a" w:color="1c3d5a" w:val="solid"/>
            <w:tcMar>
              <w:top w:type="dxa" w:w="80"/>
              <w:left w:type="dxa" w:w="120"/>
              <w:bottom w:type="dxa" w:w="80"/>
              <w:right w:type="dxa" w:w="120"/>
            </w:tcMar>
          </w:tcPr>
          <w:p>
            <w:pPr>
              <w:jc w:val="left"/>
            </w:pPr>
            <w:r>
              <w:rPr>
                <w:rFonts w:ascii="Georgia" w:cs="Georgia" w:eastAsia="Georgia" w:hAnsi="Georgia"/>
                <w:b/>
                <w:bCs/>
                <w:color w:val="FFFFFF"/>
                <w:sz w:val="19"/>
                <w:szCs w:val="19"/>
              </w:rPr>
              <w:t xml:space="preserve">Parte</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Vendedor ("el Generador")</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Andina Solar, S. A., sociedad anónima constituida bajo las leyes de la República de Panamá</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Comprador ("la Distribuidora")</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Distribuidora Istmeña, S. A., empresa distribuidora de energía eléctrica en la República de Panamá</w:t>
            </w:r>
          </w:p>
        </w:tc>
      </w:tr>
    </w:tbl>
    <w:p>
      <w:pPr>
        <w:spacing w:before="200"/>
      </w:pPr>
    </w:p>
    <w:p>
      <w:pPr>
        <w:pStyle w:val="Heading1"/>
        <w:pBdr>
          <w:bottom w:val="single" w:color="b8862f" w:sz="6" w:space="4"/>
        </w:pBdr>
        <w:spacing w:after="140" w:before="320"/>
      </w:pPr>
      <w:r>
        <w:rPr>
          <w:rFonts w:ascii="Georgia" w:cs="Georgia" w:eastAsia="Georgia" w:hAnsi="Georgia"/>
          <w:b/>
          <w:bCs/>
          <w:color w:val="1c3d5a"/>
          <w:sz w:val="26"/>
          <w:szCs w:val="26"/>
        </w:rPr>
        <w:t xml:space="preserve">2. Objeto y plazo</w:t>
      </w:r>
    </w:p>
    <w:p>
      <w:pPr>
        <w:spacing w:after="160" w:line="276"/>
        <w:jc w:val="both"/>
      </w:pPr>
      <w:r>
        <w:rPr>
          <w:rFonts w:ascii="Georgia" w:cs="Georgia" w:eastAsia="Georgia" w:hAnsi="Georgia"/>
          <w:color w:val="1f1f1f"/>
          <w:sz w:val="21"/>
          <w:szCs w:val="21"/>
        </w:rPr>
        <w:t xml:space="preserve">Mediante el contrato, el Generador se obliga a vender y la Distribuidora se obliga a comprar la totalidad de la energía eléctrica generada por la planta, a la tarifa y bajo las condiciones establecidas en el Anexo A del contrato. El plazo del contrato es de 15 años contados a partir de la fecha de entrada en operación comercial de la planta (2019), con vencimiento estimado en el año 2034, salvo terminación anticipada conforme a las causales previstas en el contrato.</w:t>
      </w:r>
    </w:p>
    <w:tbl>
      <w:tblPr>
        <w:tblW w:type="pct" w:w="100%"/>
        <w:tblBorders>
          <w:top w:val="single" w:color="c9c2bd" w:sz="4"/>
          <w:left w:val="single" w:color="c9c2bd" w:sz="4"/>
          <w:bottom w:val="single" w:color="c9c2bd" w:sz="4"/>
          <w:right w:val="single" w:color="c9c2bd" w:sz="4"/>
          <w:insideH w:val="single" w:color="c9c2bd" w:sz="2"/>
          <w:insideV w:val="single" w:color="c9c2bd" w:sz="2"/>
        </w:tblBorders>
      </w:tblPr>
      <w:tblGrid>
        <w:gridCol w:w="100"/>
        <w:gridCol w:w="100"/>
      </w:tblGrid>
      <w:tr>
        <w:tc>
          <w:tcPr>
            <w:tcW w:type="pct" w:w="40%"/>
            <w:shd w:fill="1c3d5a" w:color="1c3d5a" w:val="solid"/>
            <w:tcMar>
              <w:top w:type="dxa" w:w="80"/>
              <w:left w:type="dxa" w:w="120"/>
              <w:bottom w:type="dxa" w:w="80"/>
              <w:right w:type="dxa" w:w="120"/>
            </w:tcMar>
          </w:tcPr>
          <w:p>
            <w:pPr>
              <w:jc w:val="left"/>
            </w:pPr>
            <w:r>
              <w:rPr>
                <w:rFonts w:ascii="Georgia" w:cs="Georgia" w:eastAsia="Georgia" w:hAnsi="Georgia"/>
                <w:b/>
                <w:bCs/>
                <w:color w:val="FFFFFF"/>
                <w:sz w:val="19"/>
                <w:szCs w:val="19"/>
              </w:rPr>
              <w:t xml:space="preserve">Término</w:t>
            </w:r>
          </w:p>
        </w:tc>
        <w:tc>
          <w:tcPr>
            <w:tcW w:type="pct" w:w="60%"/>
            <w:shd w:fill="1c3d5a" w:color="1c3d5a" w:val="solid"/>
            <w:tcMar>
              <w:top w:type="dxa" w:w="80"/>
              <w:left w:type="dxa" w:w="120"/>
              <w:bottom w:type="dxa" w:w="80"/>
              <w:right w:type="dxa" w:w="120"/>
            </w:tcMar>
          </w:tcPr>
          <w:p>
            <w:pPr>
              <w:jc w:val="left"/>
            </w:pPr>
            <w:r>
              <w:rPr>
                <w:rFonts w:ascii="Georgia" w:cs="Georgia" w:eastAsia="Georgia" w:hAnsi="Georgia"/>
                <w:b/>
                <w:bCs/>
                <w:color w:val="FFFFFF"/>
                <w:sz w:val="19"/>
                <w:szCs w:val="19"/>
              </w:rPr>
              <w:t xml:space="preserve">Valor</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Fecha de suscripción</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2019</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Plazo del contrato</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15 años</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Fecha estimada de vencimiento</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2034</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Capacidad de la planta asociada</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42 MW</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Tarifa vigente (2024)</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US$0.1607/kWh</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Indexación anual de tarifa</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2% anual, aplicada cada 1 de enero</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Ingresos por venta de energía (FY24)</w:t>
            </w:r>
          </w:p>
        </w:tc>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US$9,834,840</w:t>
            </w:r>
          </w:p>
        </w:tc>
      </w:tr>
    </w:tbl>
    <w:p>
      <w:pPr>
        <w:spacing w:before="200"/>
      </w:pPr>
    </w:p>
    <w:p>
      <w:pPr>
        <w:pStyle w:val="Heading1"/>
        <w:pBdr>
          <w:bottom w:val="single" w:color="b8862f" w:sz="6" w:space="4"/>
        </w:pBdr>
        <w:spacing w:after="140" w:before="320"/>
      </w:pPr>
      <w:r>
        <w:rPr>
          <w:rFonts w:ascii="Georgia" w:cs="Georgia" w:eastAsia="Georgia" w:hAnsi="Georgia"/>
          <w:b/>
          <w:bCs/>
          <w:color w:val="1c3d5a"/>
          <w:sz w:val="26"/>
          <w:szCs w:val="26"/>
        </w:rPr>
        <w:t xml:space="preserve">3. Tarifa e indexación</w:t>
      </w:r>
    </w:p>
    <w:p>
      <w:pPr>
        <w:spacing w:after="160" w:line="276"/>
        <w:jc w:val="both"/>
      </w:pPr>
      <w:r>
        <w:rPr>
          <w:rFonts w:ascii="Georgia" w:cs="Georgia" w:eastAsia="Georgia" w:hAnsi="Georgia"/>
          <w:color w:val="1f1f1f"/>
          <w:sz w:val="21"/>
          <w:szCs w:val="21"/>
        </w:rPr>
        <w:t xml:space="preserve">La tarifa aplicable se fija en dólares de los Estados Unidos de América por kilovatio-hora (US$/kWh) y se ajusta anualmente mediante un mecanismo de indexación de aproximadamente 2% por año, aplicado cada 1 de enero, sobre la tarifa vigente del año anterior. La tarifa vigente para el ejercicio 2024 es de US$0.1607/kWh. El siguiente cuadro resume la evolución de la tarifa, la generación neta facturada y el ingreso por venta de energía durante los últimos tres ejercicios:</w:t>
      </w:r>
    </w:p>
    <w:tbl>
      <w:tblPr>
        <w:tblW w:type="pct" w:w="100%"/>
        <w:tblBorders>
          <w:top w:val="single" w:color="c9c2bd" w:sz="4"/>
          <w:left w:val="single" w:color="c9c2bd" w:sz="4"/>
          <w:bottom w:val="single" w:color="c9c2bd" w:sz="4"/>
          <w:right w:val="single" w:color="c9c2bd" w:sz="4"/>
          <w:insideH w:val="single" w:color="c9c2bd" w:sz="2"/>
          <w:insideV w:val="single" w:color="c9c2bd" w:sz="2"/>
        </w:tblBorders>
      </w:tblPr>
      <w:tblGrid>
        <w:gridCol w:w="100"/>
        <w:gridCol w:w="100"/>
        <w:gridCol w:w="100"/>
        <w:gridCol w:w="100"/>
      </w:tblGrid>
      <w:tr>
        <w:tc>
          <w:tcPr>
            <w:tcW w:type="pct" w:w="25%"/>
            <w:shd w:fill="1c3d5a" w:color="1c3d5a" w:val="solid"/>
            <w:tcMar>
              <w:top w:type="dxa" w:w="80"/>
              <w:left w:type="dxa" w:w="120"/>
              <w:bottom w:type="dxa" w:w="80"/>
              <w:right w:type="dxa" w:w="120"/>
            </w:tcMar>
          </w:tcPr>
          <w:p>
            <w:pPr>
              <w:jc w:val="left"/>
            </w:pPr>
            <w:r>
              <w:rPr>
                <w:rFonts w:ascii="Georgia" w:cs="Georgia" w:eastAsia="Georgia" w:hAnsi="Georgia"/>
                <w:b/>
                <w:bCs/>
                <w:color w:val="FFFFFF"/>
                <w:sz w:val="19"/>
                <w:szCs w:val="19"/>
              </w:rPr>
              <w:t xml:space="preserve">Ejercicio</w:t>
            </w:r>
          </w:p>
        </w:tc>
        <w:tc>
          <w:tcPr>
            <w:tcW w:type="pct" w:w="30%"/>
            <w:shd w:fill="1c3d5a" w:color="1c3d5a" w:val="solid"/>
            <w:tcMar>
              <w:top w:type="dxa" w:w="80"/>
              <w:left w:type="dxa" w:w="120"/>
              <w:bottom w:type="dxa" w:w="80"/>
              <w:right w:type="dxa" w:w="120"/>
            </w:tcMar>
          </w:tcPr>
          <w:p>
            <w:pPr>
              <w:jc w:val="right"/>
            </w:pPr>
            <w:r>
              <w:rPr>
                <w:rFonts w:ascii="Georgia" w:cs="Georgia" w:eastAsia="Georgia" w:hAnsi="Georgia"/>
                <w:b/>
                <w:bCs/>
                <w:color w:val="FFFFFF"/>
                <w:sz w:val="19"/>
                <w:szCs w:val="19"/>
              </w:rPr>
              <w:t xml:space="preserve">Generación neta (MWh)</w:t>
            </w:r>
          </w:p>
        </w:tc>
        <w:tc>
          <w:tcPr>
            <w:tcW w:type="pct" w:w="20%"/>
            <w:shd w:fill="1c3d5a" w:color="1c3d5a" w:val="solid"/>
            <w:tcMar>
              <w:top w:type="dxa" w:w="80"/>
              <w:left w:type="dxa" w:w="120"/>
              <w:bottom w:type="dxa" w:w="80"/>
              <w:right w:type="dxa" w:w="120"/>
            </w:tcMar>
          </w:tcPr>
          <w:p>
            <w:pPr>
              <w:jc w:val="right"/>
            </w:pPr>
            <w:r>
              <w:rPr>
                <w:rFonts w:ascii="Georgia" w:cs="Georgia" w:eastAsia="Georgia" w:hAnsi="Georgia"/>
                <w:b/>
                <w:bCs/>
                <w:color w:val="FFFFFF"/>
                <w:sz w:val="19"/>
                <w:szCs w:val="19"/>
              </w:rPr>
              <w:t xml:space="preserve">Tarifa (US$/kWh)</w:t>
            </w:r>
          </w:p>
        </w:tc>
        <w:tc>
          <w:tcPr>
            <w:tcW w:type="pct" w:w="25%"/>
            <w:shd w:fill="1c3d5a" w:color="1c3d5a" w:val="solid"/>
            <w:tcMar>
              <w:top w:type="dxa" w:w="80"/>
              <w:left w:type="dxa" w:w="120"/>
              <w:bottom w:type="dxa" w:w="80"/>
              <w:right w:type="dxa" w:w="120"/>
            </w:tcMar>
          </w:tcPr>
          <w:p>
            <w:pPr>
              <w:jc w:val="right"/>
            </w:pPr>
            <w:r>
              <w:rPr>
                <w:rFonts w:ascii="Georgia" w:cs="Georgia" w:eastAsia="Georgia" w:hAnsi="Georgia"/>
                <w:b/>
                <w:bCs/>
                <w:color w:val="FFFFFF"/>
                <w:sz w:val="19"/>
                <w:szCs w:val="19"/>
              </w:rPr>
              <w:t xml:space="preserve">Ingreso por energía (US$)</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2022</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58,900</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0.1545</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US$9,100,050</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2023</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60,100</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0.1576</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US$9,471,760</w:t>
            </w:r>
          </w:p>
        </w:tc>
      </w:tr>
      <w:tr>
        <w:tc>
          <w:tcPr>
            <w:tcW w:type="pct" w:w="25%"/>
            <w:tcMar>
              <w:top w:type="dxa" w:w="80"/>
              <w:left w:type="dxa" w:w="120"/>
              <w:bottom w:type="dxa" w:w="80"/>
              <w:right w:type="dxa" w:w="120"/>
            </w:tcMar>
          </w:tcPr>
          <w:p>
            <w:pPr>
              <w:jc w:val="left"/>
            </w:pPr>
            <w:r>
              <w:rPr>
                <w:rFonts w:ascii="Georgia" w:cs="Georgia" w:eastAsia="Georgia" w:hAnsi="Georgia"/>
                <w:b w:val="false"/>
                <w:bCs w:val="false"/>
                <w:color w:val="1f1f1f"/>
                <w:sz w:val="19"/>
                <w:szCs w:val="19"/>
              </w:rPr>
              <w:t xml:space="preserve">2024</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61,200</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0.1607</w:t>
            </w:r>
          </w:p>
        </w:tc>
        <w:tc>
          <w:tcPr>
            <w:tcW w:type="pct" w:w="25%"/>
            <w:tcMar>
              <w:top w:type="dxa" w:w="80"/>
              <w:left w:type="dxa" w:w="120"/>
              <w:bottom w:type="dxa" w:w="80"/>
              <w:right w:type="dxa" w:w="120"/>
            </w:tcMar>
          </w:tcPr>
          <w:p>
            <w:pPr>
              <w:jc w:val="right"/>
            </w:pPr>
            <w:r>
              <w:rPr>
                <w:rFonts w:ascii="Georgia" w:cs="Georgia" w:eastAsia="Georgia" w:hAnsi="Georgia"/>
                <w:b w:val="false"/>
                <w:bCs w:val="false"/>
                <w:color w:val="1f1f1f"/>
                <w:sz w:val="19"/>
                <w:szCs w:val="19"/>
              </w:rPr>
              <w:t xml:space="preserve">US$9,834,840</w:t>
            </w:r>
          </w:p>
        </w:tc>
      </w:tr>
    </w:tbl>
    <w:p>
      <w:pPr>
        <w:spacing w:after="160" w:before="200"/>
      </w:pPr>
    </w:p>
    <w:p>
      <w:pPr>
        <w:spacing w:after="160" w:line="276"/>
        <w:jc w:val="both"/>
      </w:pPr>
      <w:r>
        <w:rPr>
          <w:rFonts w:ascii="Georgia" w:cs="Georgia" w:eastAsia="Georgia" w:hAnsi="Georgia"/>
          <w:color w:val="1f1f1f"/>
          <w:sz w:val="21"/>
          <w:szCs w:val="21"/>
        </w:rPr>
        <w:t xml:space="preserve">La administración considera que el mecanismo de indexación descrito reduce, sin eliminar, la exposición del negocio a la inflación de costos operativos denominados en dólares, al mantener el poder adquisitivo real de la tarifa contractual a lo largo del plazo del contrato.</w:t>
      </w:r>
    </w:p>
    <w:p>
      <w:pPr>
        <w:pStyle w:val="Heading1"/>
        <w:pBdr>
          <w:bottom w:val="single" w:color="b8862f" w:sz="6" w:space="4"/>
        </w:pBdr>
        <w:spacing w:after="140" w:before="320"/>
      </w:pPr>
      <w:r>
        <w:rPr>
          <w:rFonts w:ascii="Georgia" w:cs="Georgia" w:eastAsia="Georgia" w:hAnsi="Georgia"/>
          <w:b/>
          <w:bCs/>
          <w:color w:val="1c3d5a"/>
          <w:sz w:val="26"/>
          <w:szCs w:val="26"/>
        </w:rPr>
        <w:t xml:space="preserve">4. Despacho y medición</w:t>
      </w:r>
    </w:p>
    <w:p>
      <w:pPr>
        <w:spacing w:after="160" w:line="276"/>
        <w:jc w:val="both"/>
      </w:pPr>
      <w:r>
        <w:rPr>
          <w:rFonts w:ascii="Georgia" w:cs="Georgia" w:eastAsia="Georgia" w:hAnsi="Georgia"/>
          <w:color w:val="1f1f1f"/>
          <w:sz w:val="21"/>
          <w:szCs w:val="21"/>
        </w:rPr>
        <w:t xml:space="preserve">La energía generada por la planta se despacha de manera prioritaria conforme a las reglas del operador del sistema eléctrico nacional aplicables a fuentes de generación renovable no convencional. La medición de la energía entregada se realiza mediante equipos de medición certificados, instalados en el punto de interconexión de la planta, con lecturas mensuales conciliadas entre ambas partes para efectos de facturación.</w:t>
      </w:r>
    </w:p>
    <w:p>
      <w:pPr>
        <w:pStyle w:val="Heading1"/>
        <w:pBdr>
          <w:bottom w:val="single" w:color="b8862f" w:sz="6" w:space="4"/>
        </w:pBdr>
        <w:spacing w:after="140" w:before="320"/>
      </w:pPr>
      <w:r>
        <w:rPr>
          <w:rFonts w:ascii="Georgia" w:cs="Georgia" w:eastAsia="Georgia" w:hAnsi="Georgia"/>
          <w:b/>
          <w:bCs/>
          <w:color w:val="1c3d5a"/>
          <w:sz w:val="26"/>
          <w:szCs w:val="26"/>
        </w:rPr>
        <w:t xml:space="preserve">5. Garantías y mecanismos de cobertura</w:t>
      </w:r>
    </w:p>
    <w:p>
      <w:pPr>
        <w:spacing w:after="160" w:line="276"/>
        <w:jc w:val="both"/>
      </w:pPr>
      <w:r>
        <w:rPr>
          <w:rFonts w:ascii="Georgia" w:cs="Georgia" w:eastAsia="Georgia" w:hAnsi="Georgia"/>
          <w:color w:val="1f1f1f"/>
          <w:sz w:val="21"/>
          <w:szCs w:val="21"/>
        </w:rPr>
        <w:t xml:space="preserve">El contrato contempla los siguientes mecanismos de garantía y cobertura a favor del Generador y de sus acreedores financieros:</w:t>
      </w:r>
    </w:p>
    <w:p>
      <w:pPr>
        <w:pStyle w:val="ListParagraph"/>
        <w:numPr>
          <w:ilvl w:val="0"/>
          <w:numId w:val="2"/>
        </w:numPr>
        <w:spacing w:after="90"/>
      </w:pPr>
      <w:r>
        <w:rPr>
          <w:rFonts w:ascii="Georgia" w:cs="Georgia" w:eastAsia="Georgia" w:hAnsi="Georgia"/>
          <w:color w:val="1f1f1f"/>
          <w:sz w:val="21"/>
          <w:szCs w:val="21"/>
        </w:rPr>
        <w:t xml:space="preserve">Garantía de cumplimiento de pago a cargo de la Distribuidora, constituida mediante carta de crédito o fianza equivalente por un monto equivalente a un período de facturación mensual promedio.</w:t>
      </w:r>
    </w:p>
    <w:p>
      <w:pPr>
        <w:pStyle w:val="ListParagraph"/>
        <w:numPr>
          <w:ilvl w:val="0"/>
          <w:numId w:val="2"/>
        </w:numPr>
        <w:spacing w:after="90"/>
      </w:pPr>
      <w:r>
        <w:rPr>
          <w:rFonts w:ascii="Georgia" w:cs="Georgia" w:eastAsia="Georgia" w:hAnsi="Georgia"/>
          <w:color w:val="1f1f1f"/>
          <w:sz w:val="21"/>
          <w:szCs w:val="21"/>
        </w:rPr>
        <w:t xml:space="preserve">Cuenta de reserva de servicio de deuda ("DSRA") constituida por el Generador a favor de sus acreedores financieros, equivalente a un período de servicio de deuda.</w:t>
      </w:r>
    </w:p>
    <w:p>
      <w:pPr>
        <w:pStyle w:val="ListParagraph"/>
        <w:numPr>
          <w:ilvl w:val="0"/>
          <w:numId w:val="2"/>
        </w:numPr>
        <w:spacing w:after="90"/>
      </w:pPr>
      <w:r>
        <w:rPr>
          <w:rFonts w:ascii="Georgia" w:cs="Georgia" w:eastAsia="Georgia" w:hAnsi="Georgia"/>
          <w:color w:val="1f1f1f"/>
          <w:sz w:val="21"/>
          <w:szCs w:val="21"/>
        </w:rPr>
        <w:t xml:space="preserve">Cesión en garantía de los derechos de cobro bajo el contrato a favor de los acreedores financieros del Generador, mediante fideicomiso de flujos.</w:t>
      </w:r>
    </w:p>
    <w:p>
      <w:pPr>
        <w:pStyle w:val="ListParagraph"/>
        <w:numPr>
          <w:ilvl w:val="0"/>
          <w:numId w:val="2"/>
        </w:numPr>
        <w:spacing w:after="90"/>
      </w:pPr>
      <w:r>
        <w:rPr>
          <w:rFonts w:ascii="Georgia" w:cs="Georgia" w:eastAsia="Georgia" w:hAnsi="Georgia"/>
          <w:color w:val="1f1f1f"/>
          <w:sz w:val="21"/>
          <w:szCs w:val="21"/>
        </w:rPr>
        <w:t xml:space="preserve">Póliza de seguro de todo riesgo de operación y de interrupción de negocio sobre los activos de la planta, con el acreedor financiero como beneficiario adicional.</w:t>
      </w:r>
    </w:p>
    <w:p>
      <w:pPr>
        <w:pStyle w:val="ListParagraph"/>
        <w:numPr>
          <w:ilvl w:val="0"/>
          <w:numId w:val="2"/>
        </w:numPr>
        <w:spacing w:after="90"/>
      </w:pPr>
      <w:r>
        <w:rPr>
          <w:rFonts w:ascii="Georgia" w:cs="Georgia" w:eastAsia="Georgia" w:hAnsi="Georgia"/>
          <w:color w:val="1f1f1f"/>
          <w:sz w:val="21"/>
          <w:szCs w:val="21"/>
        </w:rPr>
        <w:t xml:space="preserve">Cláusulas de fuerza mayor y de caso fortuito que suspenden, mas no extinguen, las obligaciones de las partes durante la ocurrencia del evento correspondiente.</w:t>
      </w:r>
    </w:p>
    <w:p>
      <w:pPr>
        <w:pStyle w:val="Heading1"/>
        <w:pBdr>
          <w:bottom w:val="single" w:color="b8862f" w:sz="6" w:space="4"/>
        </w:pBdr>
        <w:spacing w:after="140" w:before="320"/>
      </w:pPr>
      <w:r>
        <w:rPr>
          <w:rFonts w:ascii="Georgia" w:cs="Georgia" w:eastAsia="Georgia" w:hAnsi="Georgia"/>
          <w:b/>
          <w:bCs/>
          <w:color w:val="1c3d5a"/>
          <w:sz w:val="26"/>
          <w:szCs w:val="26"/>
        </w:rPr>
        <w:t xml:space="preserve">6. Terminación y remedios</w:t>
      </w:r>
    </w:p>
    <w:p>
      <w:pPr>
        <w:spacing w:after="160" w:line="276"/>
        <w:jc w:val="both"/>
      </w:pPr>
      <w:r>
        <w:rPr>
          <w:rFonts w:ascii="Georgia" w:cs="Georgia" w:eastAsia="Georgia" w:hAnsi="Georgia"/>
          <w:color w:val="1f1f1f"/>
          <w:sz w:val="21"/>
          <w:szCs w:val="21"/>
        </w:rPr>
        <w:t xml:space="preserve">El contrato podrá darse por terminado de forma anticipada por incumplimiento material no subsanado dentro del período de cura aplicable, por insolvencia de cualquiera de las partes, o por la ocurrencia de un evento de fuerza mayor prolongado más allá del período máximo previsto en el contrato. En caso de terminación anticipada por causa imputable a la Distribuidora, el contrato prevé el pago de una compensación calculada sobre la base del valor presente de los flujos contractuales remanentes, sujeto a los límites y procedimientos establecidos en el propio contrato.</w:t>
      </w:r>
    </w:p>
    <w:p>
      <w:pPr>
        <w:pStyle w:val="Heading1"/>
        <w:pBdr>
          <w:bottom w:val="single" w:color="b8862f" w:sz="6" w:space="4"/>
        </w:pBdr>
        <w:spacing w:after="140" w:before="320"/>
      </w:pPr>
      <w:r>
        <w:rPr>
          <w:rFonts w:ascii="Georgia" w:cs="Georgia" w:eastAsia="Georgia" w:hAnsi="Georgia"/>
          <w:b/>
          <w:bCs/>
          <w:color w:val="1c3d5a"/>
          <w:sz w:val="26"/>
          <w:szCs w:val="26"/>
        </w:rPr>
        <w:t xml:space="preserve">7. Cesión y consentimiento de acreedores financieros</w:t>
      </w:r>
    </w:p>
    <w:p>
      <w:pPr>
        <w:spacing w:after="160" w:line="276"/>
        <w:jc w:val="both"/>
      </w:pPr>
      <w:r>
        <w:rPr>
          <w:rFonts w:ascii="Georgia" w:cs="Georgia" w:eastAsia="Georgia" w:hAnsi="Georgia"/>
          <w:color w:val="1f1f1f"/>
          <w:sz w:val="21"/>
          <w:szCs w:val="21"/>
        </w:rPr>
        <w:t xml:space="preserve">El contrato permite la cesión de los derechos de cobro del Generador a favor de sus acreedores financieros, incluyendo el derecho de dichos acreedores a recibir notificación previa de cualquier incumplimiento y a subsanarlo dentro de un período adicional de cura ("step-in rights"), práctica estándar en contratos de compraventa de energía que respaldan financiamientos de proyecto. La Distribuidora reconoce dicha cesión y se obliga a realizar los pagos correspondientes directamente a la cuenta designada por el fideicomiso de flujos, sin que ello genere una novación de las obligaciones contractuales originales.</w:t>
      </w:r>
    </w:p>
    <w:p>
      <w:pPr>
        <w:spacing w:after="160" w:line="276"/>
        <w:jc w:val="both"/>
      </w:pPr>
      <w:r>
        <w:rPr>
          <w:rFonts w:ascii="Georgia" w:cs="Georgia" w:eastAsia="Georgia" w:hAnsi="Georgia"/>
          <w:color w:val="1f1f1f"/>
          <w:sz w:val="21"/>
          <w:szCs w:val="21"/>
        </w:rPr>
        <w:t xml:space="preserve">Adicionalmente, el contrato contempla que cualquier modificación sustancial de sus términos comerciales —incluyendo la tarifa, el plazo o el mecanismo de indexación— requiere el consentimiento previo y por escrito de los acreedores financieros del Generador, mientras la deuda de proyecto se encuentre vigente.</w:t>
      </w:r>
    </w:p>
    <w:p>
      <w:pPr>
        <w:pStyle w:val="Heading1"/>
        <w:pBdr>
          <w:bottom w:val="single" w:color="b8862f" w:sz="6" w:space="4"/>
        </w:pBdr>
        <w:spacing w:after="140" w:before="320"/>
      </w:pPr>
      <w:r>
        <w:rPr>
          <w:rFonts w:ascii="Georgia" w:cs="Georgia" w:eastAsia="Georgia" w:hAnsi="Georgia"/>
          <w:b/>
          <w:bCs/>
          <w:color w:val="1c3d5a"/>
          <w:sz w:val="26"/>
          <w:szCs w:val="26"/>
        </w:rPr>
        <w:t xml:space="preserve">8. Ley aplicable y resolución de disputas</w:t>
      </w:r>
    </w:p>
    <w:p>
      <w:pPr>
        <w:spacing w:after="160" w:line="276"/>
        <w:jc w:val="both"/>
      </w:pPr>
      <w:r>
        <w:rPr>
          <w:rFonts w:ascii="Georgia" w:cs="Georgia" w:eastAsia="Georgia" w:hAnsi="Georgia"/>
          <w:color w:val="1f1f1f"/>
          <w:sz w:val="21"/>
          <w:szCs w:val="21"/>
        </w:rPr>
        <w:t xml:space="preserve">El contrato se rige por las leyes de la República de Panamá. Las controversias que surjan de su interpretación o ejecución que no puedan resolverse mediante negociación directa entre las partes dentro de un período razonable serán sometidas a arbitraje, conforme al reglamento del centro de arbitraje pactado en el propio contrato, con sede en la Ciudad de Panamá.</w:t>
      </w:r>
    </w:p>
    <w:p>
      <w:pPr>
        <w:spacing w:after="160" w:line="276"/>
        <w:jc w:val="both"/>
      </w:pPr>
      <w:r>
        <w:rPr>
          <w:rFonts w:ascii="Georgia" w:cs="Georgia" w:eastAsia="Georgia" w:hAnsi="Georgia"/>
          <w:color w:val="1f1f1f"/>
          <w:sz w:val="21"/>
          <w:szCs w:val="21"/>
        </w:rPr>
        <w:t xml:space="preserve">El presente resumen tiene fines exclusivamente informativos y no sustituye la revisión del texto completo del contrato de compraventa de energía, el cual se encuentra disponible en la sala de datos ("VDR") del proceso.</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5b5b5b"/>
        <w:sz w:val="16"/>
        <w:szCs w:val="16"/>
      </w:rPr>
      <w:t xml:space="preserve">Página </w:t>
    </w:r>
    <w:r>
      <w:rPr>
        <w:rFonts w:ascii="Georgia" w:cs="Georgia" w:eastAsia="Georgia" w:hAnsi="Georgia"/>
        <w:color w:val="5b5b5b"/>
        <w:sz w:val="16"/>
        <w:szCs w:val="16"/>
      </w:rPr>
      <w:fldChar w:fldCharType="begin"/>
      <w:instrText xml:space="preserve">PAGE</w:instrText>
      <w:fldChar w:fldCharType="separate"/>
      <w:fldChar w:fldCharType="end"/>
    </w:r>
    <w:r>
      <w:rPr>
        <w:rFonts w:ascii="Georgia" w:cs="Georgia" w:eastAsia="Georgia" w:hAnsi="Georgia"/>
        <w:color w:val="5b5b5b"/>
        <w:sz w:val="16"/>
        <w:szCs w:val="16"/>
      </w:rPr>
      <w:t xml:space="preserve"> de </w:t>
    </w:r>
    <w:r>
      <w:rPr>
        <w:rFonts w:ascii="Georgia" w:cs="Georgia" w:eastAsia="Georgia" w:hAnsi="Georgia"/>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f" w:sz="4" w:space="4"/>
      </w:pBdr>
    </w:pPr>
    <w:r>
      <w:rPr>
        <w:rFonts w:ascii="Georgia" w:cs="Georgia" w:eastAsia="Georgia" w:hAnsi="Georgia"/>
        <w:b/>
        <w:bCs/>
        <w:color w:val="1c3d5a"/>
        <w:sz w:val="16"/>
        <w:szCs w:val="16"/>
      </w:rPr>
      <w:t xml:space="preserve">ANDINA SOLAR, S. A.</w:t>
    </w:r>
    <w:r>
      <w:rPr>
        <w:rFonts w:ascii="Georgia" w:cs="Georgia" w:eastAsia="Georgia" w:hAnsi="Georgia"/>
        <w:color w:val="5b5b5b"/>
        <w:sz w:val="16"/>
        <w:szCs w:val="16"/>
      </w:rPr>
      <w:t xml:space="preserve">   |   Resumen del contrato de compraventa de energía (PPA)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2026-08-25T01:03:22.014Z</dcterms:created>
  <dcterms:modified xsi:type="dcterms:W3CDTF">2026-08-25T01:03:22.014Z</dcterms:modified>
</cp:coreProperties>
</file>

<file path=docProps/custom.xml><?xml version="1.0" encoding="utf-8"?>
<Properties xmlns="http://schemas.openxmlformats.org/officeDocument/2006/custom-properties" xmlns:vt="http://schemas.openxmlformats.org/officeDocument/2006/docPropsVTypes"/>
</file>