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Ex1.xml" ContentType="application/vnd.ms-office.chartex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856DB" w14:textId="3F6F3483" w:rsidR="004D2A1C" w:rsidRPr="004D2A1C" w:rsidRDefault="004D2A1C" w:rsidP="004D2A1C">
      <w:pPr>
        <w:jc w:val="center"/>
        <w:rPr>
          <w:rFonts w:ascii="標楷體" w:eastAsia="標楷體" w:hAnsi="標楷體"/>
          <w:sz w:val="44"/>
          <w:szCs w:val="44"/>
        </w:rPr>
      </w:pPr>
      <w:r w:rsidRPr="004D2A1C">
        <w:rPr>
          <w:rFonts w:ascii="標楷體" w:eastAsia="標楷體" w:hAnsi="標楷體" w:hint="eastAsia"/>
          <w:sz w:val="44"/>
          <w:szCs w:val="44"/>
        </w:rPr>
        <w:t xml:space="preserve">[實驗名稱] </w:t>
      </w:r>
    </w:p>
    <w:p w14:paraId="7893042D" w14:textId="283E5C22" w:rsidR="004D2A1C" w:rsidRDefault="004D2A1C" w:rsidP="004D2A1C">
      <w:pPr>
        <w:jc w:val="center"/>
        <w:rPr>
          <w:rFonts w:ascii="標楷體" w:eastAsia="標楷體" w:hAnsi="標楷體"/>
        </w:rPr>
      </w:pPr>
      <w:r w:rsidRPr="004D2A1C">
        <w:rPr>
          <w:rFonts w:ascii="標楷體" w:eastAsia="標楷體" w:hAnsi="標楷體" w:hint="eastAsia"/>
        </w:rPr>
        <w:t>組別</w:t>
      </w:r>
    </w:p>
    <w:p w14:paraId="212C485F" w14:textId="7FAA1D50" w:rsidR="004D2A1C" w:rsidRPr="00C843FB" w:rsidRDefault="004D2A1C" w:rsidP="00C843FB">
      <w:pPr>
        <w:jc w:val="center"/>
        <w:rPr>
          <w:rFonts w:ascii="標楷體" w:eastAsia="標楷體" w:hAnsi="標楷體" w:hint="eastAsia"/>
        </w:rPr>
      </w:pPr>
      <w:r>
        <w:rPr>
          <w:rFonts w:ascii="標楷體" w:eastAsia="標楷體" w:hAnsi="標楷體" w:hint="eastAsia"/>
        </w:rPr>
        <w:t>王翊權 E24146107</w:t>
      </w:r>
    </w:p>
    <w:p w14:paraId="6C109F86" w14:textId="70DB9917" w:rsidR="00A31C43" w:rsidRDefault="004D2A1C" w:rsidP="00A31C43">
      <w:pPr>
        <w:pStyle w:val="a9"/>
        <w:numPr>
          <w:ilvl w:val="0"/>
          <w:numId w:val="1"/>
        </w:numPr>
        <w:rPr>
          <w:rFonts w:ascii="標楷體" w:eastAsia="標楷體" w:hAnsi="標楷體"/>
        </w:rPr>
      </w:pPr>
      <w:r w:rsidRPr="00C843FB">
        <w:rPr>
          <w:rFonts w:ascii="標楷體" w:eastAsia="標楷體" w:hAnsi="標楷體" w:hint="eastAsia"/>
        </w:rPr>
        <w:t>實驗數據</w:t>
      </w:r>
    </w:p>
    <w:p w14:paraId="4C5CB696" w14:textId="77777777" w:rsidR="00C843FB" w:rsidRDefault="004D2A1C" w:rsidP="00C843FB">
      <w:pPr>
        <w:pStyle w:val="a9"/>
        <w:numPr>
          <w:ilvl w:val="0"/>
          <w:numId w:val="1"/>
        </w:numPr>
        <w:rPr>
          <w:rFonts w:ascii="標楷體" w:eastAsia="標楷體" w:hAnsi="標楷體"/>
        </w:rPr>
      </w:pPr>
      <w:r w:rsidRPr="00C843FB">
        <w:rPr>
          <w:rFonts w:ascii="標楷體" w:eastAsia="標楷體" w:hAnsi="標楷體" w:hint="eastAsia"/>
        </w:rPr>
        <w:t>數據分析</w:t>
      </w:r>
    </w:p>
    <w:p w14:paraId="03B23ECC" w14:textId="77777777" w:rsidR="00DB629F" w:rsidRPr="00DB629F" w:rsidRDefault="00DB629F" w:rsidP="00DB629F">
      <w:pPr>
        <w:jc w:val="center"/>
        <w:rPr>
          <w:rFonts w:ascii="標楷體" w:eastAsia="標楷體" w:hAnsi="標楷體"/>
        </w:rPr>
      </w:pPr>
      <w:r w:rsidRPr="00A31C43">
        <w:rPr>
          <w:rFonts w:hint="eastAsia"/>
        </w:rPr>
        <w:drawing>
          <wp:inline distT="0" distB="0" distL="0" distR="0" wp14:anchorId="29616DAE" wp14:editId="19B972B9">
            <wp:extent cx="1520190" cy="4434115"/>
            <wp:effectExtent l="0" t="0" r="3810" b="5080"/>
            <wp:docPr id="11382003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9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0190" cy="443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A31C43">
        <w:rPr>
          <w:rFonts w:hint="eastAsia"/>
        </w:rPr>
        <w:drawing>
          <wp:inline distT="0" distB="0" distL="0" distR="0" wp14:anchorId="7A72D3C2" wp14:editId="2232AE4B">
            <wp:extent cx="1520190" cy="4438650"/>
            <wp:effectExtent l="0" t="0" r="3810" b="0"/>
            <wp:docPr id="99909763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9920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0190" cy="443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1FDCAB" w14:textId="77777777" w:rsidR="00DB629F" w:rsidRPr="00DB629F" w:rsidRDefault="00DB629F" w:rsidP="00DB629F">
      <w:pPr>
        <w:jc w:val="center"/>
        <w:rPr>
          <w:rFonts w:ascii="標楷體" w:eastAsia="標楷體" w:hAnsi="標楷體" w:hint="eastAsia"/>
        </w:rPr>
      </w:pPr>
      <w:r>
        <w:rPr>
          <w:noProof/>
        </w:rPr>
        <w:lastRenderedPageBreak/>
        <mc:AlternateContent>
          <mc:Choice Requires="cx1">
            <w:drawing>
              <wp:inline distT="0" distB="0" distL="0" distR="0" wp14:anchorId="0D552D9E" wp14:editId="17C3CCFC">
                <wp:extent cx="4627050" cy="2610190"/>
                <wp:effectExtent l="0" t="0" r="2540" b="0"/>
                <wp:docPr id="1377546087" name="圖表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F2C3D6D5-CF4B-E6DD-8171-6AF41FFA0B7E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drawing/2014/chartex">
                    <cx:chart xmlns:cx="http://schemas.microsoft.com/office/drawing/2014/chartex" xmlns:r="http://schemas.openxmlformats.org/officeDocument/2006/relationships" r:id="rId6"/>
                  </a:graphicData>
                </a:graphic>
              </wp:inline>
            </w:drawing>
          </mc:Choice>
          <mc:Fallback>
            <w:drawing>
              <wp:inline distT="0" distB="0" distL="0" distR="0" wp14:anchorId="0D552D9E" wp14:editId="17C3CCFC">
                <wp:extent cx="4627050" cy="2610190"/>
                <wp:effectExtent l="0" t="0" r="2540" b="0"/>
                <wp:docPr id="1377546087" name="圖表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F2C3D6D5-CF4B-E6DD-8171-6AF41FFA0B7E}"/>
                    </a:ext>
                  </a:extLst>
                </wp:docPr>
                <wp:cNvGraphicFramePr>
                  <a:graphicFrameLocks xmlns:a="http://schemas.openxmlformats.org/drawingml/2006/main" noGrp="1" noDrilldown="1" noSelect="1" noChangeAspect="1" noMove="1" noResize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77546087" name="圖表 1">
                          <a:extLst>
                            <a:ext uri="{FF2B5EF4-FFF2-40B4-BE49-F238E27FC236}">
                              <a16:creationId xmlns:a16="http://schemas.microsoft.com/office/drawing/2014/main" id="{F2C3D6D5-CF4B-E6DD-8171-6AF41FFA0B7E}"/>
                            </a:ext>
                          </a:extLst>
                        </pic:cNvPr>
                        <pic:cNvPicPr>
                          <a:picLocks noGrp="1" noRot="1" noChangeAspect="1" noMove="1" noResize="1" noEditPoints="1" noAdjustHandles="1" noChangeArrowheads="1" noChangeShapeType="1"/>
                        </pic:cNvPicPr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626610" cy="2609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Fallback>
        </mc:AlternateContent>
      </w:r>
    </w:p>
    <w:p w14:paraId="6BF07B2C" w14:textId="77777777" w:rsidR="00DB629F" w:rsidRDefault="00DB629F" w:rsidP="00DB629F">
      <w:pPr>
        <w:pStyle w:val="a9"/>
        <w:ind w:left="480"/>
        <w:rPr>
          <w:rFonts w:ascii="標楷體" w:eastAsia="標楷體" w:hAnsi="標楷體" w:hint="eastAsia"/>
        </w:rPr>
      </w:pPr>
    </w:p>
    <w:p w14:paraId="23BAD33E" w14:textId="3DCF14C6" w:rsidR="00BE6B18" w:rsidRPr="00C843FB" w:rsidRDefault="004D2A1C" w:rsidP="00C843FB">
      <w:pPr>
        <w:pStyle w:val="a9"/>
        <w:numPr>
          <w:ilvl w:val="0"/>
          <w:numId w:val="1"/>
        </w:numPr>
        <w:rPr>
          <w:rFonts w:ascii="標楷體" w:eastAsia="標楷體" w:hAnsi="標楷體"/>
        </w:rPr>
      </w:pPr>
      <w:r w:rsidRPr="00C843FB">
        <w:rPr>
          <w:rFonts w:ascii="標楷體" w:eastAsia="標楷體" w:hAnsi="標楷體" w:hint="eastAsia"/>
        </w:rPr>
        <w:t>誤差來源與解釋</w:t>
      </w:r>
    </w:p>
    <w:sectPr w:rsidR="00BE6B18" w:rsidRPr="00C843F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3929EB"/>
    <w:multiLevelType w:val="hybridMultilevel"/>
    <w:tmpl w:val="86CE255E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7004746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0DD"/>
    <w:rsid w:val="00211F76"/>
    <w:rsid w:val="003944D5"/>
    <w:rsid w:val="003A0B3F"/>
    <w:rsid w:val="004620DD"/>
    <w:rsid w:val="004D2A1C"/>
    <w:rsid w:val="00A31C43"/>
    <w:rsid w:val="00B31AA9"/>
    <w:rsid w:val="00BE6B18"/>
    <w:rsid w:val="00C843FB"/>
    <w:rsid w:val="00DB62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92F5D7"/>
  <w15:chartTrackingRefBased/>
  <w15:docId w15:val="{7EB5A2C7-1844-43A8-8F59-EC8D9B417E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620D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20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20D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20D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20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20D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20D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20D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20D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620D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620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620D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620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620D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620D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620D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620D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620D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620D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620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20D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620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20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620D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20D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20D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20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620D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20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4/relationships/chartEx" Target="charts/chartEx1.xml"/><Relationship Id="rId5" Type="http://schemas.openxmlformats.org/officeDocument/2006/relationships/image" Target="media/image1.emf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charts/_rels/chartEx1.xml.rels><?xml version="1.0" encoding="UTF-8" standalone="yes"?>
<Relationships xmlns="http://schemas.openxmlformats.org/package/2006/relationships"><Relationship Id="rId3" Type="http://schemas.microsoft.com/office/2011/relationships/chartColorStyle" Target="colors1.xml"/><Relationship Id="rId2" Type="http://schemas.microsoft.com/office/2011/relationships/chartStyle" Target="style1.xml"/><Relationship Id="rId1" Type="http://schemas.openxmlformats.org/officeDocument/2006/relationships/oleObject" Target="file:///C:\Users\D.tuy\Documents\GitHub\school\one%20down\&#26222;&#29289;&#23526;&#39511;\6%20&#23494;&#31435;&#26681;&#27833;&#28404;&#23526;&#39511;\E24146107_&#29579;&#32714;&#27402;_&#38928;&#22577;6_&#34920;&#26684;.xlsx" TargetMode="External"/></Relationships>
</file>

<file path=word/charts/chartEx1.xml><?xml version="1.0" encoding="utf-8"?>
<cx:chartSpace xmlns:a="http://schemas.openxmlformats.org/drawingml/2006/main" xmlns:r="http://schemas.openxmlformats.org/officeDocument/2006/relationships" xmlns:cx="http://schemas.microsoft.com/office/drawing/2014/chartex">
  <cx:chartData>
    <cx:externalData r:id="rId1" cx:autoUpdate="0"/>
    <cx:data id="0">
      <cx:numDim type="val">
        <cx:f>工作表1!$L$3:$L$52</cx:f>
        <cx:lvl ptCount="50" formatCode="0.00E+00">
          <cx:pt idx="0">9.9999999999999995e-21</cx:pt>
          <cx:pt idx="1">1.9999999999999999e-20</cx:pt>
          <cx:pt idx="2">3.0000000000000003e-20</cx:pt>
          <cx:pt idx="3">3.9999999999999998e-20</cx:pt>
          <cx:pt idx="4">4.9999999999999999e-20</cx:pt>
          <cx:pt idx="5">6.0000000000000006e-20</cx:pt>
          <cx:pt idx="6">7.0000000000000001e-20</cx:pt>
          <cx:pt idx="7">7.9999999999999996e-20</cx:pt>
          <cx:pt idx="8">9.0000000000000003e-20</cx:pt>
          <cx:pt idx="9">9.9999999999999998e-20</cx:pt>
          <cx:pt idx="10">1.0999999999999999e-19</cx:pt>
          <cx:pt idx="11">1.2000000000000001e-19</cx:pt>
          <cx:pt idx="12">1.3000000000000001e-19</cx:pt>
          <cx:pt idx="13">1.4e-19</cx:pt>
          <cx:pt idx="14">1.5e-19</cx:pt>
          <cx:pt idx="15">1.5999999999999999e-19</cx:pt>
          <cx:pt idx="16">1.7000000000000001e-19</cx:pt>
          <cx:pt idx="17">1.8000000000000001e-19</cx:pt>
          <cx:pt idx="18">1.9e-19</cx:pt>
          <cx:pt idx="19">2e-19</cx:pt>
          <cx:pt idx="20">2.0999999999999999e-19</cx:pt>
          <cx:pt idx="21">2.1999999999999998e-19</cx:pt>
          <cx:pt idx="22">2.2999999999999998e-19</cx:pt>
          <cx:pt idx="23">2.4000000000000002e-19</cx:pt>
          <cx:pt idx="24">2.5000000000000002e-19</cx:pt>
          <cx:pt idx="25">2.6000000000000001e-19</cx:pt>
          <cx:pt idx="26">2.7000000000000001e-19</cx:pt>
          <cx:pt idx="27">2.8e-19</cx:pt>
          <cx:pt idx="28">2.9e-19</cx:pt>
          <cx:pt idx="29">2.9999999999999999e-19</cx:pt>
          <cx:pt idx="30">3.0999999999999999e-19</cx:pt>
          <cx:pt idx="31">3.1999999999999998e-19</cx:pt>
          <cx:pt idx="32">3.2999999999999998e-19</cx:pt>
          <cx:pt idx="33">3.4000000000000002e-19</cx:pt>
          <cx:pt idx="34">3.5000000000000002e-19</cx:pt>
          <cx:pt idx="35">3.6000000000000001e-19</cx:pt>
          <cx:pt idx="36">3.7000000000000001e-19</cx:pt>
          <cx:pt idx="37">3.8e-19</cx:pt>
          <cx:pt idx="38">3.9e-19</cx:pt>
          <cx:pt idx="39">3.9999999999999999e-19</cx:pt>
          <cx:pt idx="40">4.0999999999999999e-19</cx:pt>
          <cx:pt idx="41">4.1999999999999998e-19</cx:pt>
          <cx:pt idx="42">4.3000000000000002e-19</cx:pt>
          <cx:pt idx="43">4.3999999999999997e-19</cx:pt>
          <cx:pt idx="44">4.5000000000000001e-19</cx:pt>
          <cx:pt idx="45">4.5999999999999996e-19</cx:pt>
          <cx:pt idx="46">4.7e-19</cx:pt>
          <cx:pt idx="47">4.8000000000000005e-19</cx:pt>
          <cx:pt idx="48">4.8999999999999999e-19</cx:pt>
          <cx:pt idx="49">5.0000000000000004e-19</cx:pt>
        </cx:lvl>
      </cx:numDim>
    </cx:data>
    <cx:data id="1">
      <cx:numDim type="val">
        <cx:f>工作表1!$M$3:$M$52</cx:f>
        <cx:lvl ptCount="50" formatCode="0.00E+00"/>
      </cx:numDim>
    </cx:data>
    <cx:data id="2">
      <cx:numDim type="val">
        <cx:f>工作表1!$N$3:$N$52</cx:f>
        <cx:lvl ptCount="50" formatCode="G/通用格式">
          <cx:pt idx="0">0</cx:pt>
          <cx:pt idx="1">0</cx:pt>
          <cx:pt idx="2">0</cx:pt>
          <cx:pt idx="3">1</cx:pt>
          <cx:pt idx="4">2</cx:pt>
          <cx:pt idx="5">0</cx:pt>
          <cx:pt idx="6">3</cx:pt>
          <cx:pt idx="7">2</cx:pt>
          <cx:pt idx="8">1</cx:pt>
          <cx:pt idx="9">1</cx:pt>
          <cx:pt idx="10">2</cx:pt>
          <cx:pt idx="11">0</cx:pt>
          <cx:pt idx="12">0</cx:pt>
          <cx:pt idx="13">1</cx:pt>
          <cx:pt idx="14">0</cx:pt>
          <cx:pt idx="15">2</cx:pt>
          <cx:pt idx="16">4</cx:pt>
          <cx:pt idx="17">1</cx:pt>
          <cx:pt idx="18">2</cx:pt>
          <cx:pt idx="19">0</cx:pt>
          <cx:pt idx="20">1</cx:pt>
          <cx:pt idx="21">1</cx:pt>
          <cx:pt idx="22">1</cx:pt>
          <cx:pt idx="23">1</cx:pt>
          <cx:pt idx="24">1</cx:pt>
          <cx:pt idx="25">0</cx:pt>
          <cx:pt idx="26">0</cx:pt>
          <cx:pt idx="27">1</cx:pt>
          <cx:pt idx="28">1</cx:pt>
          <cx:pt idx="29">0</cx:pt>
          <cx:pt idx="30">1</cx:pt>
          <cx:pt idx="31">0</cx:pt>
          <cx:pt idx="32">0</cx:pt>
          <cx:pt idx="33">1</cx:pt>
          <cx:pt idx="34">0</cx:pt>
          <cx:pt idx="35">0</cx:pt>
          <cx:pt idx="36">4</cx:pt>
          <cx:pt idx="37">0</cx:pt>
          <cx:pt idx="38">0</cx:pt>
          <cx:pt idx="39">2</cx:pt>
          <cx:pt idx="40">0</cx:pt>
          <cx:pt idx="41">1</cx:pt>
          <cx:pt idx="42">1</cx:pt>
          <cx:pt idx="43">1</cx:pt>
          <cx:pt idx="44">2</cx:pt>
          <cx:pt idx="45">1</cx:pt>
          <cx:pt idx="46">0</cx:pt>
          <cx:pt idx="47">0</cx:pt>
          <cx:pt idx="48">0</cx:pt>
          <cx:pt idx="49">0</cx:pt>
        </cx:lvl>
      </cx:numDim>
    </cx:data>
  </cx:chartData>
  <cx:chart>
    <cx:title pos="t" align="ctr" overlay="0"/>
    <cx:plotArea>
      <cx:plotAreaRegion>
        <cx:series layoutId="clusteredColumn" uniqueId="{EFB47B4B-4C1F-4CF9-A965-E782A27B7B23}" formatIdx="0">
          <cx:tx>
            <cx:txData>
              <cx:f>工作表1!$L$2</cx:f>
              <cx:v>區間</cx:v>
            </cx:txData>
          </cx:tx>
          <cx:spPr>
            <a:solidFill>
              <a:schemeClr val="tx1"/>
            </a:solidFill>
          </cx:spPr>
          <cx:dataId val="0"/>
          <cx:layoutPr>
            <cx:binning intervalClosed="r"/>
          </cx:layoutPr>
        </cx:series>
        <cx:series layoutId="clusteredColumn" hidden="1" uniqueId="{5597F895-2740-437A-B876-2D7FD89BF48C}" formatIdx="1">
          <cx:tx>
            <cx:txData>
              <cx:f>工作表1!$M$2</cx:f>
              <cx:v/>
            </cx:txData>
          </cx:tx>
          <cx:dataId val="1"/>
          <cx:layoutPr>
            <cx:binning intervalClosed="r"/>
          </cx:layoutPr>
        </cx:series>
        <cx:series layoutId="clusteredColumn" hidden="1" uniqueId="{13374917-7E77-4835-ADAD-B237BC2EB100}" formatIdx="2">
          <cx:tx>
            <cx:txData>
              <cx:f>工作表1!$N$2</cx:f>
              <cx:v>個數</cx:v>
            </cx:txData>
          </cx:tx>
          <cx:dataId val="2"/>
          <cx:layoutPr>
            <cx:binning intervalClosed="r"/>
          </cx:layoutPr>
        </cx:series>
      </cx:plotAreaRegion>
      <cx:axis id="0">
        <cx:catScaling gapWidth="0"/>
        <cx:tickLabels/>
      </cx:axis>
      <cx:axis id="1">
        <cx:valScaling/>
        <cx:majorGridlines/>
        <cx:tickLabels/>
      </cx:axis>
    </cx:plotArea>
  </cx:chart>
</cx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6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/>
  </cs:chartArea>
  <cs:data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lt1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seriesAxis>
  <cs:seriesLine>
    <cs:lnRef idx="0"/>
    <cs:fillRef idx="0"/>
    <cs:effectRef idx="0"/>
    <cs:fontRef idx="minor">
      <a:schemeClr val="tx1"/>
    </cs:fontRef>
    <cs:spPr>
      <a:ln w="9525" cap="flat">
        <a:solidFill>
          <a:srgbClr val="D9D9D9"/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/>
  </cs:valueAxis>
  <cs:wall>
    <cs:lnRef idx="0"/>
    <cs:fillRef idx="0"/>
    <cs:effectRef idx="0"/>
    <cs:fontRef idx="minor">
      <a:schemeClr val="tx1"/>
    </cs:fontRef>
  </cs:wall>
</cs:chartStyle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</TotalTime>
  <Pages>2</Pages>
  <Words>21</Words>
  <Characters>28</Characters>
  <Application>Microsoft Office Word</Application>
  <DocSecurity>0</DocSecurity>
  <Lines>5</Lines>
  <Paragraphs>6</Paragraphs>
  <ScaleCrop>false</ScaleCrop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asa_wang</dc:creator>
  <cp:keywords/>
  <dc:description/>
  <cp:lastModifiedBy>asa_wang</cp:lastModifiedBy>
  <cp:revision>4</cp:revision>
  <dcterms:created xsi:type="dcterms:W3CDTF">2026-02-24T10:40:00Z</dcterms:created>
  <dcterms:modified xsi:type="dcterms:W3CDTF">2026-04-06T06:44:00Z</dcterms:modified>
</cp:coreProperties>
</file>