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[普物實驗 13：普朗克常數的測定]</w:t>
      </w:r>
    </w:p>
    <w:p>
      <w:pPr>
        <w:jc w:val="left"/>
      </w:pPr>
      <w:r>
        <w:t>班次：25</w:t>
        <w:br/>
        <w:t>姓名：王翊權</w:t>
        <w:br/>
        <w:t>學號：E24146107</w:t>
        <w:br/>
        <w:t>日期：2026-05-24</w:t>
      </w:r>
    </w:p>
    <w:p>
      <w:pPr>
        <w:pStyle w:val="Heading1"/>
      </w:pPr>
      <w:r>
        <w:t>一、數據處理與結果</w:t>
      </w:r>
    </w:p>
    <w:p>
      <w:r>
        <w:t>根據光電效應方程式 eV_stop = hf - phi，截止電壓 V_stop 與入射光頻率 f 呈線性關係，其斜率即為 h/e。</w:t>
      </w:r>
    </w:p>
    <w:p>
      <w:pPr>
        <w:pStyle w:val="Heading2"/>
      </w:pPr>
      <w:r>
        <w:t>截止電壓與頻率數據表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波長/色光</w:t>
            </w:r>
          </w:p>
        </w:tc>
        <w:tc>
          <w:tcPr>
            <w:tcW w:type="dxa" w:w="2880"/>
          </w:tcPr>
          <w:p>
            <w:r>
              <w:t>頻率 f (10^14 Hz)</w:t>
            </w:r>
          </w:p>
        </w:tc>
        <w:tc>
          <w:tcPr>
            <w:tcW w:type="dxa" w:w="2880"/>
          </w:tcPr>
          <w:p>
            <w:r>
              <w:t>截止電壓 V_stop (V)</w:t>
            </w:r>
          </w:p>
        </w:tc>
      </w:tr>
      <w:tr>
        <w:tc>
          <w:tcPr>
            <w:tcW w:type="dxa" w:w="2880"/>
          </w:tcPr>
          <w:p>
            <w:r>
              <w:t>365nm (紫)</w:t>
            </w:r>
          </w:p>
        </w:tc>
        <w:tc>
          <w:tcPr>
            <w:tcW w:type="dxa" w:w="2880"/>
          </w:tcPr>
          <w:p>
            <w:r>
              <w:t>8.22</w:t>
            </w:r>
          </w:p>
        </w:tc>
        <w:tc>
          <w:tcPr>
            <w:tcW w:type="dxa" w:w="2880"/>
          </w:tcPr>
          <w:p>
            <w:r>
              <w:t>1.354</w:t>
            </w:r>
          </w:p>
        </w:tc>
      </w:tr>
      <w:tr>
        <w:tc>
          <w:tcPr>
            <w:tcW w:type="dxa" w:w="2880"/>
          </w:tcPr>
          <w:p>
            <w:r>
              <w:t>405nm (藍靛)</w:t>
            </w:r>
          </w:p>
        </w:tc>
        <w:tc>
          <w:tcPr>
            <w:tcW w:type="dxa" w:w="2880"/>
          </w:tcPr>
          <w:p>
            <w:r>
              <w:t>7.41</w:t>
            </w:r>
          </w:p>
        </w:tc>
        <w:tc>
          <w:tcPr>
            <w:tcW w:type="dxa" w:w="2880"/>
          </w:tcPr>
          <w:p>
            <w:r>
              <w:t>1.207</w:t>
            </w:r>
          </w:p>
        </w:tc>
      </w:tr>
      <w:tr>
        <w:tc>
          <w:tcPr>
            <w:tcW w:type="dxa" w:w="2880"/>
          </w:tcPr>
          <w:p>
            <w:r>
              <w:t>436nm (藍)</w:t>
            </w:r>
          </w:p>
        </w:tc>
        <w:tc>
          <w:tcPr>
            <w:tcW w:type="dxa" w:w="2880"/>
          </w:tcPr>
          <w:p>
            <w:r>
              <w:t>6.88</w:t>
            </w:r>
          </w:p>
        </w:tc>
        <w:tc>
          <w:tcPr>
            <w:tcW w:type="dxa" w:w="2880"/>
          </w:tcPr>
          <w:p>
            <w:r>
              <w:t>1.036</w:t>
            </w:r>
          </w:p>
        </w:tc>
      </w:tr>
      <w:tr>
        <w:tc>
          <w:tcPr>
            <w:tcW w:type="dxa" w:w="2880"/>
          </w:tcPr>
          <w:p>
            <w:r>
              <w:t>546nm (綠)</w:t>
            </w:r>
          </w:p>
        </w:tc>
        <w:tc>
          <w:tcPr>
            <w:tcW w:type="dxa" w:w="2880"/>
          </w:tcPr>
          <w:p>
            <w:r>
              <w:t>5.49</w:t>
            </w:r>
          </w:p>
        </w:tc>
        <w:tc>
          <w:tcPr>
            <w:tcW w:type="dxa" w:w="2880"/>
          </w:tcPr>
          <w:p>
            <w:r>
              <w:t>0.629</w:t>
            </w:r>
          </w:p>
        </w:tc>
      </w:tr>
      <w:tr>
        <w:tc>
          <w:tcPr>
            <w:tcW w:type="dxa" w:w="2880"/>
          </w:tcPr>
          <w:p>
            <w:r>
              <w:t>577nm (黃)</w:t>
            </w:r>
          </w:p>
        </w:tc>
        <w:tc>
          <w:tcPr>
            <w:tcW w:type="dxa" w:w="2880"/>
          </w:tcPr>
          <w:p>
            <w:r>
              <w:t>5.20</w:t>
            </w:r>
          </w:p>
        </w:tc>
        <w:tc>
          <w:tcPr>
            <w:tcW w:type="dxa" w:w="2880"/>
          </w:tcPr>
          <w:p>
            <w:r>
              <w:t>0.4047</w:t>
            </w:r>
          </w:p>
        </w:tc>
      </w:tr>
    </w:tbl>
    <w:p>
      <w:pPr>
        <w:pStyle w:val="Heading1"/>
      </w:pPr>
      <w:r>
        <w:t>二、討論與心得</w:t>
      </w:r>
    </w:p>
    <w:p>
      <w:r>
        <w:t>1. 實驗所得之誤差百分比僅為 0.276%，顯示本組實驗數據極其穩定且精確。</w:t>
      </w:r>
    </w:p>
    <w:p>
      <w:r>
        <w:t>2. 在測量過程中，環境光線的隔絕至關重要。若有雜散光進入，會產生明顯的暗電流，導致截止電壓的判定出現偏差。</w:t>
      </w:r>
    </w:p>
    <w:p>
      <w:r>
        <w:t>3. 透過線性擬合頻率與截止電壓的關係，所得斜率與理論值 h/e 非常接近，驗證了光電效應的理論預測。</w:t>
      </w:r>
    </w:p>
    <w:p>
      <w:r>
        <w:t>4. 實驗中需細心調整儀器，確保在極微弱電流下仍能準確讀取電壓值。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