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315970"/>
            <wp:effectExtent l="0" t="0" r="12700" b="11430"/>
            <wp:docPr id="2" name="图片 2" descr="屏幕快照 2019-04-18 上午9.0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4-18 上午9.02.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46705"/>
            <wp:effectExtent l="0" t="0" r="15240" b="23495"/>
            <wp:docPr id="1" name="图片 1" descr="屏幕快照 2019-04-18 上午9.1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4-18 上午9.15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根据课本上的定义以及教材提供的源代码，我们可以发现在PatternIndex这个情况下，无法体现出PWC减少多区块下测试用例数量的特性，因此我们选择BCC作为该用例的覆盖方法。</w:t>
      </w:r>
    </w:p>
    <w:p>
      <w:r>
        <w:t xml:space="preserve">    这个参数接收命令行传入的2个参数：subject和pattern，用来判断pattern是否为subject的子字符串（即subject是否包含pattern）。对于pattern和subject，他们可能的取值为：[null, </w:t>
      </w:r>
      <w:r>
        <w:rPr>
          <w:rFonts w:hint="default"/>
        </w:rPr>
        <w:t>“”, “xxx”</w:t>
      </w:r>
      <w:r>
        <w:t xml:space="preserve">]和[null, </w:t>
      </w:r>
      <w:r>
        <w:rPr>
          <w:rFonts w:hint="default"/>
        </w:rPr>
        <w:t>“”, “xxx”</w:t>
      </w:r>
      <w:r>
        <w:t>]。我们将“xxx”和“xxx”作为基本选择，那么基本选择用例是(“xxx”, “xxx”)，剩下的用例为(</w:t>
      </w:r>
      <w:r>
        <w:rPr>
          <w:rFonts w:hint="default"/>
        </w:rPr>
        <w:t>“”, “xxx”</w:t>
      </w:r>
      <w:r>
        <w:t xml:space="preserve">), (null, “xxx”), (“xxx”, </w:t>
      </w:r>
      <w:r>
        <w:rPr>
          <w:rFonts w:hint="default"/>
        </w:rPr>
        <w:t>“”</w:t>
      </w:r>
      <w:r>
        <w:t>)和(“xxx”, null</w:t>
      </w:r>
      <w:bookmarkStart w:id="0" w:name="_GoBack"/>
      <w:bookmarkEnd w:id="0"/>
      <w:r>
        <w:t>)。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F55465"/>
    <w:rsid w:val="E7F55465"/>
    <w:rsid w:val="EF5F4E23"/>
    <w:rsid w:val="FFEF8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2019-04-18T09:16:00Z</dcterms:created>
  <dc:creator>gggwx</dc:creator>
  <cp:lastModifiedBy>gggwx</cp:lastModifiedBy>
  <dcterms:modified xsi:type="dcterms:W3CDTF">2019-04-18T09:31:00Z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