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"/>
        <w:spacing w:before="5280" w:after="60"/>
        <w:jc w:val="right"/>
        <w:rPr/>
      </w:pPr>
      <w:r>
        <w:rPr/>
        <w:t>Documento de Requisitos do Sistema</w:t>
      </w:r>
    </w:p>
    <w:p>
      <w:pPr>
        <w:pStyle w:val="sistema"/>
        <w:rPr/>
      </w:pPr>
      <w:r>
        <w:rPr>
          <w:i/>
        </w:rPr>
        <w:t>Financial Control App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18" w:right="1418" w:gutter="0" w:header="680" w:top="1418" w:footer="0" w:bottom="1418"/>
          <w:pgNumType w:fmt="decimal"/>
          <w:formProt w:val="false"/>
          <w:textDirection w:val="lrTb"/>
          <w:docGrid w:type="default" w:linePitch="360" w:charSpace="0"/>
        </w:sectPr>
        <w:pStyle w:val="versao"/>
        <w:spacing w:before="0" w:after="0"/>
        <w:rPr/>
      </w:pPr>
      <w:r>
        <w:rPr/>
        <w:t>Versão 1</w:t>
      </w:r>
      <w:r>
        <w:rPr>
          <w:iCs/>
        </w:rPr>
        <w:t>.0</w:t>
      </w:r>
    </w:p>
    <w:p>
      <w:pPr>
        <w:pStyle w:val="Normal"/>
        <w:spacing w:before="0" w:after="0"/>
        <w:jc w:val="center"/>
        <w:rPr/>
      </w:pPr>
      <w:r>
        <w:rPr/>
        <w:t>Histórico de Alterações</w:t>
      </w:r>
    </w:p>
    <w:tbl>
      <w:tblPr>
        <w:tblW w:w="8789" w:type="dxa"/>
        <w:jc w:val="left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276"/>
        <w:gridCol w:w="991"/>
        <w:gridCol w:w="4536"/>
        <w:gridCol w:w="1985"/>
      </w:tblGrid>
      <w:tr>
        <w:trPr/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34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34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3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>
        <w:trPr/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left="0"/>
              <w:rPr>
                <w:rFonts w:ascii="Times;Times New Roman" w:hAnsi="Times;Times New Roman" w:cs="Times;Times New Roman"/>
                <w:lang w:val="pt-BR"/>
              </w:rPr>
            </w:pPr>
            <w:r>
              <w:rPr>
                <w:rFonts w:cs="Times;Times New Roman" w:ascii="Times;Times New Roman" w:hAnsi="Times;Times New Roman"/>
                <w:lang w:val="pt-BR"/>
              </w:rPr>
              <w:t>04</w:t>
            </w:r>
            <w:r>
              <w:rPr>
                <w:rFonts w:cs="Times;Times New Roman" w:ascii="Times;Times New Roman" w:hAnsi="Times;Times New Roman"/>
                <w:lang w:val="pt-BR"/>
              </w:rPr>
              <w:t>/1</w:t>
            </w:r>
            <w:r>
              <w:rPr>
                <w:rFonts w:cs="Times;Times New Roman" w:ascii="Times;Times New Roman" w:hAnsi="Times;Times New Roman"/>
                <w:lang w:val="pt-BR"/>
              </w:rPr>
              <w:t>2</w:t>
            </w:r>
            <w:r>
              <w:rPr>
                <w:rFonts w:cs="Times;Times New Roman" w:ascii="Times;Times New Roman" w:hAnsi="Times;Times New Roman"/>
                <w:lang w:val="pt-BR"/>
              </w:rPr>
              <w:t>/202</w:t>
            </w:r>
            <w:r>
              <w:rPr>
                <w:rFonts w:cs="Times;Times New Roman" w:ascii="Times;Times New Roman" w:hAnsi="Times;Times New Roman"/>
                <w:lang w:val="pt-BR"/>
              </w:rPr>
              <w:t>5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left="34"/>
              <w:rPr>
                <w:rFonts w:ascii="Times;Times New Roman" w:hAnsi="Times;Times New Roman" w:cs="Times;Times New Roman"/>
                <w:lang w:val="pt-BR"/>
              </w:rPr>
            </w:pPr>
            <w:r>
              <w:rPr>
                <w:rFonts w:cs="Times;Times New Roman" w:ascii="Times;Times New Roman" w:hAnsi="Times;Times New Roman"/>
                <w:lang w:val="pt-BR"/>
              </w:rPr>
              <w:t>1</w:t>
            </w:r>
            <w:r>
              <w:rPr>
                <w:rFonts w:cs="Times;Times New Roman" w:ascii="Times;Times New Roman" w:hAnsi="Times;Times New Roman"/>
                <w:lang w:val="pt-BR"/>
              </w:rPr>
              <w:t>.0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hanging="0" w:left="0"/>
              <w:rPr/>
            </w:pPr>
            <w:r>
              <w:rPr/>
              <w:t>Confecção do documeno inicial com os requisitos do sistema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left="30"/>
              <w:rPr>
                <w:rFonts w:ascii="Times;Times New Roman" w:hAnsi="Times;Times New Roman" w:cs="Times;Times New Roman"/>
                <w:lang w:val="pt-BR"/>
              </w:rPr>
            </w:pPr>
            <w:r>
              <w:rPr>
                <w:rFonts w:cs="Times;Times New Roman" w:ascii="Times;Times New Roman" w:hAnsi="Times;Times New Roman"/>
                <w:lang w:val="pt-BR"/>
              </w:rPr>
              <w:t>Estevão Gegenheimer</w:t>
            </w:r>
          </w:p>
        </w:tc>
      </w:tr>
    </w:tbl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1906" w:h="16838"/>
          <w:pgMar w:left="1418" w:right="1418" w:gutter="0" w:header="680" w:top="1418" w:footer="0" w:bottom="1418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conteudo"/>
        <w:numPr>
          <w:ilvl w:val="0"/>
          <w:numId w:val="0"/>
        </w:numPr>
        <w:outlineLvl w:val="0"/>
        <w:rPr/>
      </w:pPr>
      <w:r>
        <w:rPr/>
        <w:t>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r>
            <w:fldChar w:fldCharType="begin"/>
          </w:r>
          <w:r>
            <w:rPr>
              <w:webHidden/>
              <w:rStyle w:val="Vnculodendice"/>
              <w:szCs w:val="28"/>
            </w:rPr>
            <w:instrText xml:space="preserve"> TOC \z \o "1-3" \h</w:instrText>
          </w:r>
          <w:r>
            <w:rPr>
              <w:webHidden/>
              <w:rStyle w:val="Vnculodendice"/>
              <w:szCs w:val="28"/>
            </w:rPr>
            <w:fldChar w:fldCharType="separate"/>
          </w:r>
          <w:hyperlink w:anchor="__RefHeading___Toc35261013">
            <w:r>
              <w:rPr>
                <w:webHidden/>
                <w:rStyle w:val="Vnculodendice"/>
                <w:szCs w:val="28"/>
              </w:rPr>
              <w:t>1.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Introdução</w:t>
            </w:r>
            <w:r>
              <w:rPr>
                <w:rStyle w:val="Vnculodendice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14">
            <w:r>
              <w:rPr>
                <w:webHidden/>
                <w:rStyle w:val="Vnculodendice"/>
                <w:szCs w:val="26"/>
                <w:lang w:eastAsia="pt-BR"/>
              </w:rPr>
              <w:t>1.1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szCs w:val="26"/>
                <w:lang w:eastAsia="pt-BR"/>
              </w:rPr>
              <w:t>Visão geral do documento</w:t>
            </w:r>
            <w:r>
              <w:rPr>
                <w:rStyle w:val="Vnculodendice"/>
                <w:lang w:eastAsia="pt-BR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15">
            <w:r>
              <w:rPr>
                <w:webHidden/>
                <w:rStyle w:val="Vnculodendice"/>
                <w:szCs w:val="26"/>
                <w:lang w:eastAsia="pt-BR"/>
              </w:rPr>
              <w:t>1.2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szCs w:val="26"/>
                <w:lang w:eastAsia="pt-BR"/>
              </w:rPr>
              <w:t>Convenções, termos e abreviações</w:t>
            </w:r>
            <w:r>
              <w:rPr>
                <w:rStyle w:val="Vnculodendice"/>
                <w:lang w:eastAsia="pt-BR"/>
              </w:rPr>
              <w:tab/>
              <w:t>4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060" w:leader="dot"/>
            </w:tabs>
            <w:rPr/>
          </w:pPr>
          <w:hyperlink w:anchor="__RefHeading___Toc35261016">
            <w:r>
              <w:rPr>
                <w:webHidden/>
                <w:rStyle w:val="Vnculodendice"/>
                <w:lang w:eastAsia="pt-BR"/>
              </w:rPr>
              <w:t>1.2.1</w:t>
            </w:r>
            <w:r>
              <w:rPr>
                <w:rStyle w:val="Vnculodendice"/>
                <w:i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lang w:eastAsia="pt-BR"/>
              </w:rPr>
              <w:t>Identificação dos requisitos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060" w:leader="dot"/>
            </w:tabs>
            <w:rPr/>
          </w:pPr>
          <w:hyperlink w:anchor="__RefHeading___Toc35261017">
            <w:r>
              <w:rPr>
                <w:webHidden/>
                <w:rStyle w:val="Vnculodendice"/>
                <w:lang w:eastAsia="pt-BR"/>
              </w:rPr>
              <w:t>1.2.2</w:t>
            </w:r>
            <w:r>
              <w:rPr>
                <w:rStyle w:val="Vnculodendice"/>
                <w:i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lang w:eastAsia="pt-BR"/>
              </w:rPr>
              <w:t>Prioridades dos requisitos</w:t>
              <w:tab/>
              <w:t>4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hyperlink w:anchor="__RefHeading___Toc35261018">
            <w:r>
              <w:rPr>
                <w:webHidden/>
                <w:rStyle w:val="Vnculodendice"/>
                <w:szCs w:val="28"/>
              </w:rPr>
              <w:t>2.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Descrição geral do sistema</w:t>
            </w:r>
            <w:r>
              <w:rPr>
                <w:rStyle w:val="Vnculodendice"/>
              </w:rPr>
              <w:tab/>
              <w:t>5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19">
            <w:r>
              <w:rPr>
                <w:webHidden/>
                <w:rStyle w:val="Vnculodendice"/>
                <w:szCs w:val="26"/>
                <w:lang w:eastAsia="pt-BR"/>
              </w:rPr>
              <w:t>2.1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szCs w:val="26"/>
                <w:lang w:eastAsia="pt-BR"/>
              </w:rPr>
              <w:t>Abrangência e sistemas relacionados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hyperlink w:anchor="__RefHeading___Toc35261020">
            <w:r>
              <w:rPr>
                <w:webHidden/>
                <w:rStyle w:val="Vnculodendice"/>
                <w:szCs w:val="28"/>
              </w:rPr>
              <w:t>3.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Requisitos funcionais (casos de uso)</w:t>
            </w:r>
            <w:r>
              <w:rPr>
                <w:rStyle w:val="Vnculodendice"/>
              </w:rPr>
              <w:tab/>
              <w:t>5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21">
            <w:r>
              <w:rPr>
                <w:webHidden/>
                <w:rStyle w:val="Vnculodendice"/>
                <w:iCs/>
                <w:szCs w:val="26"/>
                <w:lang w:eastAsia="pt-BR"/>
              </w:rPr>
              <w:t>3.1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Cadastro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2">
            <w:r>
              <w:rPr>
                <w:webHidden/>
                <w:rStyle w:val="Vnculodendic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Criar componente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3">
            <w:r>
              <w:rPr>
                <w:webHidden/>
                <w:rStyle w:val="Vnculodendice"/>
                <w:lang w:eastAsia="pt-BR"/>
              </w:rPr>
              <w:t xml:space="preserve">[RF002] </w:t>
            </w:r>
            <w:r>
              <w:rPr>
                <w:rStyle w:val="Vnculodendice"/>
                <w:iCs/>
                <w:lang w:eastAsia="pt-BR"/>
              </w:rPr>
              <w:t>Excluir componente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4">
            <w:r>
              <w:rPr>
                <w:webHidden/>
                <w:rStyle w:val="Vnculodendice"/>
                <w:lang w:eastAsia="pt-BR"/>
              </w:rPr>
              <w:t xml:space="preserve">[RF003] </w:t>
            </w:r>
            <w:r>
              <w:rPr>
                <w:rStyle w:val="Vnculodendice"/>
                <w:iCs/>
                <w:lang w:eastAsia="pt-BR"/>
              </w:rPr>
              <w:t>Alterar componente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25">
            <w:r>
              <w:rPr>
                <w:webHidden/>
                <w:rStyle w:val="Vnculodendice"/>
                <w:iCs/>
                <w:szCs w:val="26"/>
                <w:lang w:eastAsia="pt-BR"/>
              </w:rPr>
              <w:t>3.2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Interface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6">
            <w:r>
              <w:rPr>
                <w:webHidden/>
                <w:rStyle w:val="Vnculodendic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Visualizar Componente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7">
            <w:r>
              <w:rPr>
                <w:webHidden/>
                <w:rStyle w:val="Vnculodendice"/>
                <w:lang w:eastAsia="pt-BR"/>
              </w:rPr>
              <w:t xml:space="preserve">[RF002] </w:t>
            </w:r>
            <w:r>
              <w:rPr>
                <w:rStyle w:val="Vnculodendice"/>
                <w:iCs/>
                <w:lang w:eastAsia="pt-BR"/>
              </w:rPr>
              <w:t>Copiar componente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8">
            <w:r>
              <w:rPr>
                <w:webHidden/>
                <w:rStyle w:val="Vnculodendice"/>
                <w:lang w:eastAsia="pt-BR"/>
              </w:rPr>
              <w:t xml:space="preserve">[RF003] </w:t>
            </w:r>
            <w:r>
              <w:rPr>
                <w:rStyle w:val="Vnculodendice"/>
                <w:iCs/>
                <w:lang w:eastAsia="pt-BR"/>
              </w:rPr>
              <w:t>Colar componentes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29">
            <w:r>
              <w:rPr>
                <w:webHidden/>
                <w:rStyle w:val="Vnculodendice"/>
                <w:iCs/>
                <w:szCs w:val="26"/>
                <w:lang w:eastAsia="pt-BR"/>
              </w:rPr>
              <w:t>3.3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Compilação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0">
            <w:r>
              <w:rPr>
                <w:webHidden/>
                <w:rStyle w:val="Vnculodendic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Compilar componente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31">
            <w:r>
              <w:rPr>
                <w:webHidden/>
                <w:rStyle w:val="Vnculodendice"/>
                <w:iCs/>
                <w:szCs w:val="26"/>
                <w:lang w:eastAsia="pt-BR"/>
              </w:rPr>
              <w:t>3.4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Importação/Exportação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2">
            <w:r>
              <w:rPr>
                <w:webHidden/>
                <w:rStyle w:val="Vnculodendic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Anexar documentos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3">
            <w:r>
              <w:rPr>
                <w:webHidden/>
                <w:rStyle w:val="Vnculodendice"/>
                <w:lang w:eastAsia="pt-BR"/>
              </w:rPr>
              <w:t xml:space="preserve">[RF002] </w:t>
            </w:r>
            <w:r>
              <w:rPr>
                <w:rStyle w:val="Vnculodendice"/>
                <w:iCs/>
                <w:lang w:eastAsia="pt-BR"/>
              </w:rPr>
              <w:t>Exportar metodologia</w:t>
            </w:r>
            <w:r>
              <w:rPr>
                <w:rStyle w:val="Vnculodendice"/>
                <w:lang w:eastAsia="pt-BR"/>
              </w:rPr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4">
            <w:r>
              <w:rPr>
                <w:webHidden/>
                <w:rStyle w:val="Vnculodendice"/>
                <w:lang w:eastAsia="pt-BR"/>
              </w:rPr>
              <w:t>[RF003] Importar metodologia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5">
            <w:r>
              <w:rPr>
                <w:webHidden/>
                <w:rStyle w:val="Vnculodendice"/>
                <w:lang w:eastAsia="pt-BR"/>
              </w:rPr>
              <w:t xml:space="preserve">[RF004] </w:t>
            </w:r>
            <w:r>
              <w:rPr>
                <w:rStyle w:val="Vnculodendice"/>
                <w:iCs/>
                <w:lang w:eastAsia="pt-BR"/>
              </w:rPr>
              <w:t>Salvar metodologia</w:t>
            </w:r>
            <w:r>
              <w:rPr>
                <w:rStyle w:val="Vnculodendice"/>
                <w:lang w:eastAsia="pt-BR"/>
              </w:rPr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6">
            <w:r>
              <w:rPr>
                <w:webHidden/>
                <w:rStyle w:val="Vnculodendice"/>
                <w:lang w:eastAsia="pt-BR"/>
              </w:rPr>
              <w:t xml:space="preserve">[RF005] </w:t>
            </w:r>
            <w:r>
              <w:rPr>
                <w:rStyle w:val="Vnculodendice"/>
                <w:iCs/>
                <w:lang w:eastAsia="pt-BR"/>
              </w:rPr>
              <w:t>Gerar site de metodologia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hyperlink w:anchor="__RefHeading___Toc35261037">
            <w:r>
              <w:rPr>
                <w:webHidden/>
                <w:rStyle w:val="Vnculodendice"/>
                <w:szCs w:val="28"/>
              </w:rPr>
              <w:t>4.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Requisitos não-funcionais</w:t>
            </w:r>
            <w:r>
              <w:rPr>
                <w:rStyle w:val="Vnculodendice"/>
              </w:rPr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8">
            <w:r>
              <w:rPr>
                <w:webHidden/>
                <w:rStyle w:val="Vnculodendice"/>
                <w:lang w:eastAsia="pt-BR"/>
              </w:rPr>
              <w:t xml:space="preserve">[NF001] </w:t>
            </w:r>
            <w:r>
              <w:rPr>
                <w:rStyle w:val="Vnculodendice"/>
                <w:iCs/>
                <w:lang w:eastAsia="pt-BR"/>
              </w:rPr>
              <w:t>Usabilidade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9">
            <w:r>
              <w:rPr>
                <w:webHidden/>
                <w:rStyle w:val="Vnculodendice"/>
                <w:lang w:eastAsia="pt-BR"/>
              </w:rPr>
              <w:t xml:space="preserve">[NF002] </w:t>
            </w:r>
            <w:r>
              <w:rPr>
                <w:rStyle w:val="Vnculodendice"/>
                <w:iCs/>
                <w:lang w:eastAsia="pt-BR"/>
              </w:rPr>
              <w:t>Desempenho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40">
            <w:r>
              <w:rPr>
                <w:webHidden/>
                <w:rStyle w:val="Vnculodendice"/>
                <w:lang w:eastAsia="pt-BR"/>
              </w:rPr>
              <w:t xml:space="preserve">[NF003] </w:t>
            </w:r>
            <w:r>
              <w:rPr>
                <w:rStyle w:val="Vnculodendice"/>
                <w:iCs/>
                <w:lang w:eastAsia="pt-BR"/>
              </w:rPr>
              <w:t>Hardware e Software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spacing w:before="120" w:after="0"/>
            <w:rPr/>
          </w:pPr>
          <w:hyperlink w:anchor="__RefHeading___Toc35261041">
            <w:r>
              <w:rPr>
                <w:webHidden/>
                <w:rStyle w:val="Vnculodendice"/>
                <w:b w:val="false"/>
                <w:caps w:val="false"/>
                <w:smallCaps w:val="false"/>
                <w:szCs w:val="28"/>
              </w:rPr>
              <w:t>5.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b w:val="false"/>
                <w:caps w:val="false"/>
                <w:smallCaps w:val="false"/>
                <w:szCs w:val="28"/>
              </w:rPr>
              <w:t>Referências</w:t>
            </w:r>
            <w:r>
              <w:rPr>
                <w:rStyle w:val="Vnculodendice"/>
                <w:b w:val="false"/>
                <w:caps w:val="false"/>
                <w:smallCaps w:val="false"/>
              </w:rPr>
              <w:tab/>
              <w:t>10</w:t>
            </w:r>
          </w:hyperlink>
          <w:r>
            <w:rPr>
              <w:rStyle w:val="Vnculodendice"/>
              <w:smallCaps w:val="false"/>
              <w:caps w:val="false"/>
              <w:b w:val="false"/>
            </w:rPr>
            <w:fldChar w:fldCharType="end"/>
          </w:r>
        </w:p>
        <w:p>
          <w:pPr>
            <w:sectPr>
              <w:headerReference w:type="even" r:id="rId8"/>
              <w:headerReference w:type="default" r:id="rId9"/>
              <w:headerReference w:type="first" r:id="rId10"/>
              <w:footerReference w:type="even" r:id="rId11"/>
              <w:footerReference w:type="default" r:id="rId12"/>
              <w:footerReference w:type="first" r:id="rId13"/>
              <w:type w:val="nextPage"/>
              <w:pgSz w:w="11906" w:h="16838"/>
              <w:pgMar w:left="1418" w:right="1418" w:gutter="0" w:header="680" w:top="1418" w:footer="680" w:bottom="1418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rPr/>
      </w:pPr>
      <w:bookmarkStart w:id="2" w:name="__RefHeading___Toc35261013"/>
      <w:bookmarkEnd w:id="2"/>
      <w:r>
        <w:rPr/>
        <w:t>Introdução</w:t>
      </w:r>
    </w:p>
    <w:p>
      <w:pPr>
        <w:pStyle w:val="Normal"/>
        <w:jc w:val="both"/>
        <w:rPr/>
      </w:pPr>
      <w:r>
        <w:rPr/>
        <w:t xml:space="preserve">Este documento especifica os requisitos do sistema </w:t>
      </w:r>
      <w:r>
        <w:rPr>
          <w:i/>
          <w:iCs/>
        </w:rPr>
        <w:t>&lt;NOME DO SISTEMA&gt;</w:t>
      </w:r>
      <w:r>
        <w:rPr/>
        <w:t>, fornecendo aos desenvolvedores as informações necessárias para o projeto e implementação, assim como para a realização dos testes e homologação do sistema.</w:t>
      </w:r>
    </w:p>
    <w:p>
      <w:pPr>
        <w:pStyle w:val="Heading2"/>
        <w:rPr/>
      </w:pPr>
      <w:bookmarkStart w:id="3" w:name="__RefHeading___Toc35261014"/>
      <w:bookmarkEnd w:id="3"/>
      <w:r>
        <w:rPr/>
        <w:t>Visão geral do documento</w:t>
      </w:r>
    </w:p>
    <w:p>
      <w:pPr>
        <w:pStyle w:val="Normal"/>
        <w:jc w:val="both"/>
        <w:rPr/>
      </w:pPr>
      <w:r>
        <w:rPr/>
        <w:t>Além desta seção introdutória, as seções seguintes estão organizadas como descrito abaixo.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Seção 2 – Descrição geral do sistema</w:t>
      </w:r>
      <w:r>
        <w:rPr/>
        <w:t>: apresenta uma visão geral do sistema, caracterizando qual é o seu escopo e descrevendo seus usuários.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Seção 3 – Requisitos funcionais (casos de uso)</w:t>
      </w:r>
      <w:r>
        <w:rPr/>
        <w:t xml:space="preserve">: especifica todos os casos de uso do sistema, descrevendo os fluxos de eventos, prioridades, atores, entradas e saídas de cada caso de uso a ser implementado. 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Seção 4 – Requisitos não-funcionais</w:t>
      </w:r>
      <w:r>
        <w:rPr/>
        <w:t>: especifica todos os requisitos não funcionais do sistema, divididos em requisitos de usabilidade, confiabilidade, desempenho, segurança, distribuição, adequação a padrões e requisitos de hardware e software.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 xml:space="preserve">Seção 5 – Referências: </w:t>
      </w:r>
      <w:r>
        <w:rPr/>
        <w:t>apresenta referências para outros documentos utilizados para a confecção deste documento.</w:t>
      </w:r>
    </w:p>
    <w:p>
      <w:pPr>
        <w:pStyle w:val="Heading2"/>
        <w:rPr/>
      </w:pPr>
      <w:bookmarkStart w:id="4" w:name="__RefHeading___Toc35261015"/>
      <w:bookmarkEnd w:id="4"/>
      <w:r>
        <w:rPr/>
        <w:t>Convenções, termos e abreviações</w:t>
      </w:r>
    </w:p>
    <w:p>
      <w:pPr>
        <w:pStyle w:val="Normal"/>
        <w:jc w:val="both"/>
        <w:rPr/>
      </w:pPr>
      <w:r>
        <w:rPr/>
        <w:t>A correta interpretação deste documento exige o conhecimento de algumas convenções e termos específicos, que são descritos a seguir.</w:t>
      </w:r>
    </w:p>
    <w:p>
      <w:pPr>
        <w:pStyle w:val="Heading3"/>
        <w:rPr/>
      </w:pPr>
      <w:bookmarkStart w:id="5" w:name="__RefHeading___Toc35261016"/>
      <w:bookmarkEnd w:id="5"/>
      <w:r>
        <w:rPr/>
        <w:t>Identificação dos requisitos</w:t>
      </w:r>
    </w:p>
    <w:p>
      <w:pPr>
        <w:pStyle w:val="Normal"/>
        <w:jc w:val="both"/>
        <w:rPr/>
      </w:pPr>
      <w:r>
        <w:rPr/>
        <w:t>Por convenção, a referência a requisitos é feita através do nome da subseção onde eles estão descritos, seguidos do identificador do requisito, de acordo com a especificação a seguir:</w:t>
      </w:r>
    </w:p>
    <w:p>
      <w:pPr>
        <w:pStyle w:val="Normal"/>
        <w:jc w:val="both"/>
        <w:rPr/>
      </w:pPr>
      <w:r>
        <w:rPr/>
        <w:t>[</w:t>
      </w:r>
      <w:r>
        <w:rPr>
          <w:i/>
        </w:rPr>
        <w:t>nome da subseção. identificador do requisito</w:t>
      </w:r>
      <w:r>
        <w:rPr/>
        <w:t>]</w:t>
      </w:r>
    </w:p>
    <w:p>
      <w:pPr>
        <w:pStyle w:val="Normal"/>
        <w:jc w:val="both"/>
        <w:rPr/>
      </w:pPr>
      <w:r>
        <w:rPr/>
        <w:t xml:space="preserve">Por exemplo, o requisito funcional [Recuperação de dados.RF016] deve estar descrito em uma subseção chamada “Recuperação de dados”, em um bloco identificado pelo número [RF016]. Já o requisito não-funcional [Confiabilidade.NF008] deve estar descrito na seção de requisitos não-funcionais de Confiabilidade, em um bloco identificado por [NF008]. </w:t>
      </w:r>
    </w:p>
    <w:p>
      <w:pPr>
        <w:pStyle w:val="Normal"/>
        <w:jc w:val="both"/>
        <w:rPr/>
      </w:pPr>
      <w:r>
        <w:rPr/>
        <w:t>Os requisitos devem ser identificados com um identificador único. A numeração inicia com o identificador [RF001] ou [NF001] e prossegue sendo incrementada à medida que forem surgindo novos requisitos.</w:t>
      </w:r>
    </w:p>
    <w:p>
      <w:pPr>
        <w:pStyle w:val="Heading3"/>
        <w:rPr/>
      </w:pPr>
      <w:bookmarkStart w:id="6" w:name="__RefHeading___Toc35261017"/>
      <w:bookmarkEnd w:id="6"/>
      <w:r>
        <w:rPr/>
        <w:t>Prioridades dos requisitos</w:t>
      </w:r>
    </w:p>
    <w:p>
      <w:pPr>
        <w:pStyle w:val="Normal"/>
        <w:jc w:val="both"/>
        <w:rPr/>
      </w:pPr>
      <w:r>
        <w:rPr/>
        <w:t xml:space="preserve">Para estabelecer a prioridade dos requisitos, nas seções 4 e 5, foram adotadas as denominações “essencial”, “importante” e “desejável”. 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Essencial</w:t>
      </w:r>
      <w:r>
        <w:rPr/>
        <w:t xml:space="preserve"> é o requisito sem o qual o sistema não entra em funcionamento. Requisitos essenciais são requisitos imprescindíveis, que têm que ser implementados impreterivelmente.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Importante</w:t>
      </w:r>
      <w:r>
        <w:rPr/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Desejável</w:t>
      </w:r>
      <w:r>
        <w:rPr/>
        <w:t xml:space="preserve">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>
      <w:pPr>
        <w:pStyle w:val="Heading1"/>
        <w:rPr/>
      </w:pPr>
      <w:bookmarkStart w:id="7" w:name="__RefHeading___Toc35261018"/>
      <w:bookmarkEnd w:id="7"/>
      <w:r>
        <w:rPr/>
        <w:t>Descrição geral do sistema</w:t>
      </w:r>
    </w:p>
    <w:p>
      <w:pPr>
        <w:pStyle w:val="Heading2"/>
        <w:rPr/>
      </w:pPr>
      <w:bookmarkStart w:id="8" w:name="__RefHeading___Toc35261019"/>
      <w:bookmarkEnd w:id="8"/>
      <w:r>
        <w:rPr/>
        <w:t>Abrangência e sistemas relacionados</w:t>
      </w:r>
    </w:p>
    <w:p>
      <w:pPr>
        <w:pStyle w:val="Normal"/>
        <w:jc w:val="both"/>
        <w:rPr>
          <w:caps/>
        </w:rPr>
      </w:pPr>
      <w:r>
        <w:rPr>
          <w:caps/>
        </w:rPr>
        <w:t>O Financial control app é um aplicativo web para controle de entradas e saídas financeiras com objetivo de gerenciar finaças pessoais</w:t>
      </w:r>
    </w:p>
    <w:p>
      <w:pPr>
        <w:pStyle w:val="Heading1"/>
        <w:ind w:hanging="431" w:left="431"/>
        <w:rPr/>
      </w:pPr>
      <w:bookmarkStart w:id="9" w:name="__RefHeading___Toc35261020"/>
      <w:bookmarkEnd w:id="9"/>
      <w:r>
        <w:rPr/>
        <w:t>Requisitos funcionais (casos de uso)</w:t>
      </w:r>
    </w:p>
    <w:p>
      <w:pPr>
        <w:pStyle w:val="Normal"/>
        <w:rPr/>
      </w:pPr>
      <w:r>
        <w:rPr/>
      </w:r>
    </w:p>
    <w:p>
      <w:pPr>
        <w:pStyle w:val="Heading2"/>
        <w:rPr>
          <w:iCs/>
        </w:rPr>
      </w:pPr>
      <w:bookmarkStart w:id="10" w:name="__RefHeading___Toc35261021"/>
      <w:bookmarkEnd w:id="10"/>
      <w:r>
        <w:rPr>
          <w:iCs/>
        </w:rPr>
        <w:t>Cadastro</w:t>
      </w:r>
    </w:p>
    <w:p>
      <w:pPr>
        <w:pStyle w:val="Normal"/>
        <w:rPr>
          <w:iCs/>
        </w:rPr>
      </w:pPr>
      <w:r>
        <w:rPr>
          <w:iCs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11" w:name="__RefHeading___Toc35261022"/>
      <w:r>
        <w:rPr/>
        <w:t xml:space="preserve">[RF001] </w:t>
      </w:r>
      <w:bookmarkEnd w:id="11"/>
      <w:r>
        <w:rPr>
          <w:iCs/>
        </w:rPr>
        <w:t>Inserir crédito</w:t>
      </w:r>
    </w:p>
    <w:p>
      <w:pPr>
        <w:pStyle w:val="Normal"/>
        <w:jc w:val="both"/>
        <w:rPr/>
      </w:pPr>
      <w:r>
        <w:rPr>
          <w:b/>
        </w:rPr>
        <w:t xml:space="preserve">Descrição do caso de uso: </w:t>
      </w:r>
      <w:r>
        <w:rPr/>
        <w:t>Este caso de uso permite que o usuário crie e armazene um novo componente no sistema.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/>
      </w:pPr>
      <w:r>
        <w:rPr>
          <w:b/>
        </w:rPr>
        <w:t>Entradas e pré-condições</w:t>
      </w:r>
      <w:r>
        <w:rPr/>
        <w:t>: não tem.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>: um componente é cadastrado no sistema</w:t>
      </w:r>
    </w:p>
    <w:p>
      <w:pPr>
        <w:pStyle w:val="destaque1"/>
        <w:numPr>
          <w:ilvl w:val="0"/>
          <w:numId w:val="0"/>
        </w:numPr>
        <w:outlineLvl w:val="0"/>
        <w:rPr>
          <w:i/>
          <w:i/>
        </w:rPr>
      </w:pPr>
      <w:r>
        <w:rPr>
          <w:i/>
        </w:rPr>
      </w:r>
    </w:p>
    <w:p>
      <w:pPr>
        <w:pStyle w:val="Requisito"/>
        <w:ind w:hanging="0" w:left="0"/>
        <w:outlineLvl w:val="0"/>
        <w:rPr/>
      </w:pPr>
      <w:r>
        <w:rPr>
          <w:rFonts w:eastAsia="Arial"/>
        </w:rPr>
        <w:t xml:space="preserve"> </w:t>
      </w:r>
      <w:bookmarkStart w:id="12" w:name="__RefHeading___Toc35261023"/>
      <w:r>
        <w:rPr/>
        <w:t xml:space="preserve">[RF002] </w:t>
      </w:r>
      <w:r>
        <w:rPr>
          <w:iCs/>
        </w:rPr>
        <w:t>Excluir componente</w:t>
      </w:r>
      <w:bookmarkEnd w:id="12"/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>Este caso de uso permite que o usuário exclua um componente do cadastro de componentes do sistema. Um componente pode ser excluído de qualquer instanciação de metodologia (árvore).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Entradas e pré-condições</w:t>
      </w:r>
      <w:r>
        <w:rPr/>
        <w:t>: recebe como entrada o componente que se deseja excluir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>: o usuário consegue excluir o componente que deseja</w:t>
      </w:r>
    </w:p>
    <w:p>
      <w:pPr>
        <w:pStyle w:val="Requisito"/>
        <w:ind w:hanging="0" w:left="0"/>
        <w:outlineLvl w:val="0"/>
        <w:rPr/>
      </w:pPr>
      <w:bookmarkStart w:id="13" w:name="__RefHeading___Toc35261024"/>
      <w:bookmarkEnd w:id="13"/>
      <w:r>
        <w:rPr/>
        <w:t xml:space="preserve">[RF003] </w:t>
      </w:r>
      <w:r>
        <w:rPr>
          <w:iCs/>
        </w:rPr>
        <w:t>Alterar componente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>Este caso de uso permite que o usuário altere os dados de um componente.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Entradas e pré-condições</w:t>
      </w:r>
      <w:r>
        <w:rPr/>
        <w:t>: recebe como entrada o componente que se deseja alterar.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>: um componente é alterado no sistema.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Heading2"/>
        <w:rPr>
          <w:iCs/>
        </w:rPr>
      </w:pPr>
      <w:bookmarkStart w:id="14" w:name="__RefHeading___Toc35261025"/>
      <w:bookmarkEnd w:id="14"/>
      <w:r>
        <w:rPr>
          <w:iCs/>
        </w:rPr>
        <w:t>Interface</w:t>
      </w:r>
    </w:p>
    <w:p>
      <w:pPr>
        <w:pStyle w:val="Normal"/>
        <w:rPr>
          <w:iCs/>
        </w:rPr>
      </w:pPr>
      <w:r>
        <w:rPr>
          <w:iCs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15" w:name="__RefHeading___Toc35261026"/>
      <w:r>
        <w:rPr/>
        <w:t xml:space="preserve">[RF001] </w:t>
      </w:r>
      <w:r>
        <w:rPr>
          <w:iCs/>
        </w:rPr>
        <w:t>Visualizar Componente</w:t>
      </w:r>
      <w:bookmarkEnd w:id="15"/>
    </w:p>
    <w:p>
      <w:pPr>
        <w:pStyle w:val="Normal"/>
        <w:jc w:val="both"/>
        <w:rPr/>
      </w:pPr>
      <w:r>
        <w:rPr>
          <w:b/>
        </w:rPr>
        <w:t xml:space="preserve">Descrição do caso de uso: </w:t>
      </w:r>
      <w:r>
        <w:rPr/>
        <w:t xml:space="preserve">Este caso de uso permite que o usuário visualize os dados de um determinado componente (todos os seus atributos, exceto aqueles que são considerados suas propriedades). 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/>
      </w:pPr>
      <w:r>
        <w:rPr>
          <w:b/>
        </w:rPr>
        <w:t>Entradas e pré-condições</w:t>
      </w:r>
      <w:r>
        <w:rPr/>
        <w:t>: deve receber como entrada o componente que se deseja visualizar.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>: o usuário visualiza o componente desejado</w:t>
      </w:r>
    </w:p>
    <w:p>
      <w:pPr>
        <w:pStyle w:val="Requisito"/>
        <w:ind w:hanging="0" w:left="0"/>
        <w:outlineLvl w:val="0"/>
        <w:rPr/>
      </w:pPr>
      <w:bookmarkStart w:id="16" w:name="__RefHeading___Toc35261027"/>
      <w:bookmarkEnd w:id="16"/>
      <w:r>
        <w:rPr/>
        <w:t xml:space="preserve">[RF002] </w:t>
      </w:r>
      <w:r>
        <w:rPr>
          <w:iCs/>
        </w:rPr>
        <w:t>Copiar componente</w:t>
      </w:r>
    </w:p>
    <w:p>
      <w:pPr>
        <w:pStyle w:val="Normal"/>
        <w:rPr/>
      </w:pPr>
      <w:r>
        <w:rPr>
          <w:b/>
          <w:bCs/>
        </w:rPr>
        <w:t>Descrição do caso de uso:</w:t>
      </w:r>
      <w:r>
        <w:rPr>
          <w:bCs/>
        </w:rPr>
        <w:t xml:space="preserve"> Este caso de uso permite que o usuário copie um componente do cadastro de componentes do sistema. Ou seja, copia o componente de onde ele estava e manda a cópia para a área de transferência.</w:t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recebe como entrada o componente que se deseja copiar.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>: o usuário consegue copiar o componente que deseja</w:t>
      </w:r>
    </w:p>
    <w:p>
      <w:pPr>
        <w:pStyle w:val="Requisito"/>
        <w:ind w:hanging="0" w:left="0"/>
        <w:outlineLvl w:val="0"/>
        <w:rPr/>
      </w:pPr>
      <w:bookmarkStart w:id="17" w:name="__RefHeading___Toc35261028"/>
      <w:bookmarkEnd w:id="17"/>
      <w:r>
        <w:rPr/>
        <w:t xml:space="preserve">[RF003] </w:t>
      </w:r>
      <w:r>
        <w:rPr>
          <w:iCs/>
        </w:rPr>
        <w:t>Colar componentes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>Este caso de uso permite que o usuário cole o componente armazenado na área de transferência do sistema no local indicado. O conteúdo da área de transferência continua inalterado. Aqui, local refere-se a uma pasta que contém componentes.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recebe como entrada o componente que se deseja colar e tem como pré-condição a necessidade de existência de alguma informação na área de transferência do sistema.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>: o usuário consegue colar o componente no local desejado.</w:t>
      </w:r>
    </w:p>
    <w:p>
      <w:pPr>
        <w:pStyle w:val="Normal"/>
        <w:jc w:val="both"/>
        <w:rPr>
          <w:i/>
          <w:i/>
        </w:rPr>
      </w:pPr>
      <w:r>
        <w:rPr>
          <w:i/>
        </w:rPr>
      </w:r>
    </w:p>
    <w:p>
      <w:pPr>
        <w:pStyle w:val="Heading2"/>
        <w:rPr>
          <w:iCs/>
        </w:rPr>
      </w:pPr>
      <w:bookmarkStart w:id="18" w:name="__RefHeading___Toc35261029"/>
      <w:bookmarkEnd w:id="18"/>
      <w:r>
        <w:rPr>
          <w:iCs/>
        </w:rPr>
        <w:t>Compilação</w:t>
      </w:r>
    </w:p>
    <w:p>
      <w:pPr>
        <w:pStyle w:val="Normal"/>
        <w:rPr>
          <w:iCs/>
        </w:rPr>
      </w:pPr>
      <w:r>
        <w:rPr>
          <w:iCs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19" w:name="__RefHeading___Toc35261030"/>
      <w:r>
        <w:rPr/>
        <w:t xml:space="preserve">[RF001] </w:t>
      </w:r>
      <w:r>
        <w:rPr>
          <w:iCs/>
        </w:rPr>
        <w:t>Compilar componente</w:t>
      </w:r>
      <w:bookmarkEnd w:id="19"/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>Este caso de uso permite que o usuário compile metodologias. Essa compilação permite que as metodologias sejam analisadas e comparadas entre si.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deve receber como entrada as metodologias a serem compiladas.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>: os componentes das metodlogias são compilados no sistema.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Heading2"/>
        <w:rPr>
          <w:iCs/>
        </w:rPr>
      </w:pPr>
      <w:bookmarkStart w:id="20" w:name="__RefHeading___Toc35261031"/>
      <w:bookmarkEnd w:id="20"/>
      <w:r>
        <w:rPr>
          <w:iCs/>
        </w:rPr>
        <w:t>Importação/Exportação</w:t>
      </w:r>
    </w:p>
    <w:p>
      <w:pPr>
        <w:pStyle w:val="Normal"/>
        <w:rPr>
          <w:iCs/>
        </w:rPr>
      </w:pPr>
      <w:r>
        <w:rPr>
          <w:iCs/>
        </w:rPr>
      </w:r>
    </w:p>
    <w:p>
      <w:pPr>
        <w:pStyle w:val="Requisito"/>
        <w:ind w:hanging="0" w:left="0"/>
        <w:rPr/>
      </w:pPr>
      <w:bookmarkStart w:id="21" w:name="__RefHeading___Toc35261032"/>
      <w:bookmarkEnd w:id="21"/>
      <w:r>
        <w:rPr/>
        <w:t xml:space="preserve">[RF001] </w:t>
      </w:r>
      <w:r>
        <w:rPr>
          <w:iCs/>
        </w:rPr>
        <w:t>Anexar documentos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Este caso de uso permite que anexar documentos gerais a componentes. Por exemplo, anexar o </w:t>
      </w:r>
      <w:r>
        <w:rPr>
          <w:bCs/>
          <w:i/>
          <w:iCs/>
        </w:rPr>
        <w:t>template</w:t>
      </w:r>
      <w:r>
        <w:rPr>
          <w:bCs/>
        </w:rPr>
        <w:t xml:space="preserve"> do </w:t>
      </w:r>
      <w:r>
        <w:rPr>
          <w:bCs/>
          <w:i/>
          <w:iCs/>
        </w:rPr>
        <w:t>Documento de Requisitos</w:t>
      </w:r>
      <w:r>
        <w:rPr>
          <w:bCs/>
        </w:rPr>
        <w:t xml:space="preserve"> ao fluxo de requisitos.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deve receber como entrada o caminho absoluto para um arquivo no sistema de arquivos.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>: O documento é anexado ao componente.</w:t>
      </w:r>
    </w:p>
    <w:p>
      <w:pPr>
        <w:pStyle w:val="Requisito"/>
        <w:ind w:hanging="0" w:left="0"/>
        <w:outlineLvl w:val="0"/>
        <w:rPr/>
      </w:pPr>
      <w:bookmarkStart w:id="22" w:name="__RefHeading___Toc35261033"/>
      <w:bookmarkEnd w:id="22"/>
      <w:r>
        <w:rPr/>
        <w:t xml:space="preserve">[RF002] </w:t>
      </w:r>
      <w:r>
        <w:rPr>
          <w:iCs/>
        </w:rPr>
        <w:t>Exportar metodologia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Este caso de uso permite ao usuário a possibilidade de exportar uma metodologia num determinado formato, como XML, por exemplo. O usuário também tem a opção de escolher se o componente deve ou não ser exportado juntamente com seus anexos.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A entrada é uma metodologia a ser exportado e seus sub-componentes, ou seja, todos os componentes que um determinada metodologia.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>: Os componentes são exportados para um arquivo em um determinado formato (como XML).</w:t>
      </w:r>
    </w:p>
    <w:p>
      <w:pPr>
        <w:pStyle w:val="Requisito"/>
        <w:ind w:hanging="0" w:left="0"/>
        <w:outlineLvl w:val="0"/>
        <w:rPr/>
      </w:pPr>
      <w:bookmarkStart w:id="23" w:name="__RefHeading___Toc35261034"/>
      <w:bookmarkEnd w:id="23"/>
      <w:r>
        <w:rPr/>
        <w:t>[RF003] Importar metodologia</w:t>
      </w:r>
    </w:p>
    <w:p>
      <w:pPr>
        <w:pStyle w:val="Normal"/>
        <w:jc w:val="both"/>
        <w:rPr/>
      </w:pPr>
      <w:r>
        <w:rPr>
          <w:b/>
        </w:rPr>
        <w:t xml:space="preserve">Descrição do caso de uso: </w:t>
      </w:r>
      <w:r>
        <w:rPr>
          <w:bCs/>
        </w:rPr>
        <w:t xml:space="preserve">Este caso de uso permite que componentes de uma metodologia exportada sejam importados do sistema de arquivos e apresentados no </w:t>
      </w:r>
      <w:r>
        <w:rPr>
          <w:bCs/>
          <w:i/>
          <w:iCs/>
        </w:rPr>
        <w:t>Methodology Explorer</w:t>
      </w:r>
      <w:r>
        <w:rPr>
          <w:bCs/>
        </w:rPr>
        <w:t>. Os componentes, para serem importados precisam estar no mesmo formato utilizado no caso de uso [Importação/Exportação.RF002]. Importar um componente apenas permite manipular o componente dentro do Methodology Explorer. Para inseri-lo de fato, é preciso realizar o caso de uso [Importação/Exportação.RF004]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A entrada é o caminho absoluto para um arquivo no sistema de arquivos.</w:t>
      </w:r>
    </w:p>
    <w:p>
      <w:pPr>
        <w:pStyle w:val="Normal"/>
        <w:jc w:val="both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>: O componente importado será inserido na(s) árvore(s) de componentes adequada.</w:t>
      </w:r>
    </w:p>
    <w:p>
      <w:pPr>
        <w:pStyle w:val="Requisito"/>
        <w:ind w:hanging="0" w:left="0"/>
        <w:outlineLvl w:val="0"/>
        <w:rPr/>
      </w:pPr>
      <w:bookmarkStart w:id="24" w:name="__RefHeading___Toc35261035"/>
      <w:bookmarkEnd w:id="24"/>
      <w:r>
        <w:rPr/>
        <w:t xml:space="preserve">[RF004] </w:t>
      </w:r>
      <w:r>
        <w:rPr>
          <w:iCs/>
        </w:rPr>
        <w:t>Salvar metodologia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Este caso de uso permite salvar as alterações realizadas nos componentes de uma metodologia. 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jc w:val="both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both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jc w:val="both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both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jc w:val="both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both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jc w:val="both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A entrada é uma metodologia.</w:t>
      </w:r>
    </w:p>
    <w:p>
      <w:pPr>
        <w:pStyle w:val="Normal"/>
        <w:jc w:val="both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 xml:space="preserve">: um componente é persistido no </w:t>
      </w:r>
      <w:r>
        <w:rPr>
          <w:i/>
          <w:iCs/>
        </w:rPr>
        <w:t>Methodology Explorer</w:t>
      </w:r>
      <w:r>
        <w:rPr/>
        <w:t>.</w:t>
      </w:r>
    </w:p>
    <w:p>
      <w:pPr>
        <w:pStyle w:val="Requisito"/>
        <w:ind w:hanging="0" w:left="0"/>
        <w:outlineLvl w:val="0"/>
        <w:rPr/>
      </w:pPr>
      <w:bookmarkStart w:id="25" w:name="__RefHeading___Toc35261036"/>
      <w:bookmarkEnd w:id="25"/>
      <w:r>
        <w:rPr/>
        <w:t xml:space="preserve">[RF005] </w:t>
      </w:r>
      <w:r>
        <w:rPr>
          <w:iCs/>
        </w:rPr>
        <w:t>Gerar site de metodologia</w:t>
      </w:r>
    </w:p>
    <w:p>
      <w:pPr>
        <w:pStyle w:val="Normal"/>
        <w:jc w:val="both"/>
        <w:rPr/>
      </w:pPr>
      <w:r>
        <w:rPr>
          <w:b/>
        </w:rPr>
        <w:t>Descrição do caso de uso</w:t>
      </w:r>
      <w:r>
        <w:rPr>
          <w:bCs/>
        </w:rPr>
        <w:t xml:space="preserve">: Este caso de uso permite que um </w:t>
      </w:r>
      <w:r>
        <w:rPr>
          <w:bCs/>
          <w:i/>
          <w:iCs/>
        </w:rPr>
        <w:t>site</w:t>
      </w:r>
      <w:r>
        <w:rPr>
          <w:bCs/>
        </w:rPr>
        <w:t xml:space="preserve"> seja gerado</w:t>
      </w:r>
      <w:r>
        <w:rPr>
          <w:b/>
        </w:rPr>
        <w:t xml:space="preserve"> </w:t>
      </w:r>
      <w:r>
        <w:rPr>
          <w:bCs/>
        </w:rPr>
        <w:t>para uma metodologia já compilada. O site deve conter também os possíveis artefatos que foram anexados.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Um componente metodologia é a entrada para o caso de uso que tem, como pré-condição, que a toda a metodologia já esteja salva.</w:t>
      </w:r>
    </w:p>
    <w:p>
      <w:pPr>
        <w:pStyle w:val="Normal"/>
        <w:jc w:val="both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>: um site completo é gerado no sistema de arquivos contendo os arquivos HTML e os artefatos anexados à metodologia.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Heading1"/>
        <w:rPr/>
      </w:pPr>
      <w:bookmarkStart w:id="26" w:name="__RefHeading___Toc35261037"/>
      <w:bookmarkEnd w:id="26"/>
      <w:r>
        <w:rPr/>
        <w:t>Requisitos não-funcionais</w:t>
      </w:r>
    </w:p>
    <w:p>
      <w:pPr>
        <w:pStyle w:val="Normal"/>
        <w:rPr/>
      </w:pPr>
      <w:r>
        <w:rPr/>
      </w:r>
    </w:p>
    <w:p>
      <w:pPr>
        <w:pStyle w:val="Requisito"/>
        <w:ind w:hanging="0" w:left="0"/>
        <w:rPr/>
      </w:pPr>
      <w:bookmarkStart w:id="27" w:name="__RefHeading___Toc35261038"/>
      <w:bookmarkEnd w:id="27"/>
      <w:r>
        <w:rPr/>
        <w:t>[NF001]</w:t>
      </w:r>
      <w:r>
        <w:rPr>
          <w:i/>
        </w:rPr>
        <w:t xml:space="preserve"> </w:t>
      </w:r>
      <w:r>
        <w:rPr>
          <w:iCs/>
        </w:rPr>
        <w:t>Usabilidade</w:t>
      </w:r>
    </w:p>
    <w:p>
      <w:pPr>
        <w:pStyle w:val="BodyText3"/>
        <w:rPr>
          <w:color w:val="000000"/>
        </w:rPr>
      </w:pPr>
      <w:r>
        <w:rPr>
          <w:color w:val="000000"/>
        </w:rPr>
        <w:t>A interface com o usuário é de vital importância para o sucesso do sistema. Principalmente por ser um sistema que não será utilizado diariamente, o usuário não possui tempo disponível para aprender como utilizar o sistema.</w:t>
      </w:r>
    </w:p>
    <w:p>
      <w:pPr>
        <w:pStyle w:val="BodyText3"/>
        <w:rPr>
          <w:color w:val="000000"/>
        </w:rPr>
      </w:pPr>
      <w:r>
        <w:rPr>
          <w:color w:val="000000"/>
        </w:rPr>
        <w:t>O sistema terá uma interface amigável ao usuário primário sem se tornar cansativa aos usuários mais experientes. Em especial, o módulo de publicação HTML possuirá um wizard para ajudar o usuário.</w:t>
      </w:r>
    </w:p>
    <w:p>
      <w:pPr>
        <w:pStyle w:val="BodyText3"/>
        <w:rPr>
          <w:color w:val="000000"/>
        </w:rPr>
      </w:pPr>
      <w:r>
        <w:rPr>
          <w:color w:val="000000"/>
        </w:rPr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color w:val="0000FF"/>
        </w:rPr>
      </w:pPr>
      <w:r>
        <w:rPr>
          <w:color w:val="0000FF"/>
        </w:rPr>
      </w:r>
    </w:p>
    <w:p>
      <w:pPr>
        <w:pStyle w:val="Requisito"/>
        <w:ind w:hanging="0" w:left="0"/>
        <w:rPr/>
      </w:pPr>
      <w:bookmarkStart w:id="28" w:name="__RefHeading___Toc35261039"/>
      <w:bookmarkEnd w:id="28"/>
      <w:r>
        <w:rPr/>
        <w:t xml:space="preserve">[NF002] </w:t>
      </w:r>
      <w:r>
        <w:rPr>
          <w:iCs/>
        </w:rPr>
        <w:t>Desempenho</w:t>
      </w:r>
    </w:p>
    <w:p>
      <w:pPr>
        <w:pStyle w:val="Normal"/>
        <w:jc w:val="both"/>
        <w:rPr/>
      </w:pPr>
      <w:r>
        <w:rPr/>
        <w:t xml:space="preserve">Embora não seja um requisito essencial ao sistema, deve ser considerada por corresponder a um fator de qualidade de software. </w:t>
      </w:r>
    </w:p>
    <w:p>
      <w:pPr>
        <w:pStyle w:val="Normal"/>
        <w:jc w:val="both"/>
        <w:rPr/>
      </w:pPr>
      <w:r>
        <w:rPr/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color w:val="0000FF"/>
        </w:rPr>
      </w:pPr>
      <w:r>
        <w:rPr>
          <w:color w:val="0000FF"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29" w:name="__RefHeading___Toc35261040"/>
      <w:r>
        <w:rPr/>
        <w:t xml:space="preserve">[NF003] </w:t>
      </w:r>
      <w:r>
        <w:rPr>
          <w:iCs/>
        </w:rPr>
        <w:t>Hardware e Software</w:t>
      </w:r>
      <w:bookmarkEnd w:id="29"/>
    </w:p>
    <w:p>
      <w:pPr>
        <w:pStyle w:val="Normal"/>
        <w:rPr/>
      </w:pPr>
      <w:r>
        <w:rPr/>
        <w:t xml:space="preserve">Visando criar um produto com maior extensibilidade, reusabilidade e flexibilidade, deve ser adotar como linguagem principal de desenvolvimento Java seguindo cuidadosamente as técnicas de orientação a objetos. Entretanto, outras linguagens também poderão ser usadas quando indicações técnicas recomendem. </w:t>
      </w:r>
    </w:p>
    <w:p>
      <w:pPr>
        <w:pStyle w:val="Normal"/>
        <w:rPr/>
      </w:pPr>
      <w:r>
        <w:rPr/>
        <w:t>O uso da linguagem Java permite não especificar qual será o sistema operacional e a máquina em que o programa irá executar. No entanto, essa máquina deverá se comunicar com um sistema de banco de dados.</w:t>
      </w:r>
    </w:p>
    <w:p>
      <w:pPr>
        <w:pStyle w:val="Normal"/>
        <w:rPr/>
      </w:pPr>
      <w:r>
        <w:rPr/>
      </w:r>
    </w:p>
    <w:tbl>
      <w:tblPr>
        <w:tblW w:w="843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5"/>
        <w:gridCol w:w="1380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80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color w:val="0000FF"/>
        </w:rPr>
      </w:pPr>
      <w:r>
        <w:rPr>
          <w:color w:val="0000FF"/>
        </w:rPr>
      </w:r>
    </w:p>
    <w:p>
      <w:pPr>
        <w:pStyle w:val="Heading1"/>
        <w:rPr/>
      </w:pPr>
      <w:bookmarkStart w:id="30" w:name="__RefHeading___Toc35261041"/>
      <w:bookmarkStart w:id="31" w:name="_Ref471394537"/>
      <w:bookmarkEnd w:id="30"/>
      <w:r>
        <w:rPr/>
        <w:t>Referências</w:t>
      </w:r>
      <w:bookmarkEnd w:id="31"/>
    </w:p>
    <w:p>
      <w:pPr>
        <w:pStyle w:val="Normal"/>
        <w:jc w:val="both"/>
        <w:rPr/>
      </w:pPr>
      <w:r>
        <w:rPr/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Furlan, J. D. </w:t>
      </w:r>
      <w:r>
        <w:rPr>
          <w:b/>
        </w:rPr>
        <w:t>Modelagem de Objetos através da UML</w:t>
      </w:r>
      <w:r>
        <w:rPr/>
        <w:t xml:space="preserve">. </w:t>
      </w:r>
      <w:r>
        <w:rPr>
          <w:lang w:val="en-US"/>
        </w:rPr>
        <w:t>São Paulo, Makron Books, 1998.</w:t>
      </w:r>
    </w:p>
    <w:p>
      <w:pPr>
        <w:pStyle w:val="ListBullet"/>
        <w:numPr>
          <w:ilvl w:val="0"/>
          <w:numId w:val="5"/>
        </w:numPr>
        <w:rPr/>
      </w:pPr>
      <w:r>
        <w:rPr>
          <w:lang w:val="en-US"/>
        </w:rPr>
        <w:t xml:space="preserve">Kruchten, P. </w:t>
      </w:r>
      <w:r>
        <w:rPr>
          <w:b/>
          <w:lang w:val="en-US"/>
        </w:rPr>
        <w:t>The Rational Unified Process – An introduction</w:t>
      </w:r>
      <w:r>
        <w:rPr>
          <w:lang w:val="en-US"/>
        </w:rPr>
        <w:t xml:space="preserve">. </w:t>
      </w:r>
      <w:r>
        <w:rPr/>
        <w:t>Addison-Wesley, 1998.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da disciplina Análise e Especificação de Requisitos. </w:t>
      </w:r>
      <w:hyperlink r:id="rId14">
        <w:r>
          <w:rPr>
            <w:rStyle w:val="Style"/>
            <w:color w:val="0000FF"/>
            <w:u w:val="single"/>
          </w:rPr>
          <w:t>www.cin.ufpe.br/~if119</w:t>
        </w:r>
      </w:hyperlink>
      <w:r>
        <w:rPr/>
        <w:t>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da disciplina Metodologia e Desenvolvimento de Software </w:t>
      </w:r>
      <w:hyperlink r:id="rId15">
        <w:r>
          <w:rPr>
            <w:rStyle w:val="Style"/>
            <w:color w:val="0000FF"/>
            <w:u w:val="single"/>
          </w:rPr>
          <w:t>www.cin.ufpe.br/~mds</w:t>
        </w:r>
      </w:hyperlink>
      <w:r>
        <w:rPr/>
        <w:t>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da empresa Rational Software Corporation  </w:t>
      </w:r>
      <w:hyperlink r:id="rId16">
        <w:r>
          <w:rPr>
            <w:rStyle w:val="Style"/>
            <w:color w:val="0000FF"/>
            <w:u w:val="single"/>
          </w:rPr>
          <w:t>www.rational.com</w:t>
        </w:r>
      </w:hyperlink>
      <w:r>
        <w:rPr/>
        <w:t>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do projeto de instanciação de ambientes de desenvolvimento de software convencionais e orientados a domínios (visitada em 18/01/2001)  </w:t>
      </w:r>
      <w:hyperlink r:id="rId17">
        <w:r>
          <w:rPr>
            <w:rStyle w:val="Style"/>
            <w:color w:val="0000FF"/>
            <w:u w:val="single"/>
          </w:rPr>
          <w:t>www.cos.ufrj.br/~taba</w:t>
        </w:r>
      </w:hyperlink>
      <w:r>
        <w:rPr/>
        <w:t>.</w:t>
      </w:r>
    </w:p>
    <w:p>
      <w:pPr>
        <w:pStyle w:val="Normal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418" w:right="1418" w:gutter="0" w:header="680" w:top="1418" w:footer="68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Wingding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jc w:val="both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bookmarkStart w:id="0" w:name="_Ref471361557"/>
          <w:bookmarkEnd w:id="0"/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10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16:24:24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bookmarkStart w:id="1" w:name="_Ref471361557"/>
          <w:bookmarkEnd w:id="1"/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10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16:24:24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jc w:val="both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10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10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16:24:24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10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10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16:24:24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both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financial-control-app</w:t>
    </w:r>
    <w:r>
      <w:rPr>
        <w:rFonts w:cs="Arial" w:ascii="Arial" w:hAnsi="Arial"/>
        <w:sz w:val="20"/>
      </w:rPr>
      <w:t xml:space="preserve"> 202</w:t>
    </w:r>
    <w:r>
      <w:rPr>
        <w:rFonts w:cs="Arial" w:ascii="Arial" w:hAnsi="Arial"/>
        <w:sz w:val="20"/>
      </w:rPr>
      <w:t>5</w:t>
    </w:r>
  </w:p>
  <w:p>
    <w:pPr>
      <w:pStyle w:val="Header"/>
      <w:spacing w:before="0" w:after="0"/>
      <w:rPr/>
    </w:pPr>
    <w:r>
      <w:rPr/>
    </w:r>
  </w:p>
  <w:p>
    <w:pPr>
      <w:pStyle w:val="Header"/>
      <w:rPr/>
    </w:pPr>
    <w:r>
      <w:rPr/>
    </w:r>
  </w:p>
  <w:p>
    <w:pPr>
      <w:pStyle w:val="Header"/>
      <w:spacing w:before="60" w:after="60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financial-control-app</w:t>
    </w:r>
    <w:r>
      <w:rPr>
        <w:rFonts w:cs="Arial" w:ascii="Arial" w:hAnsi="Arial"/>
        <w:sz w:val="20"/>
      </w:rPr>
      <w:t xml:space="preserve"> 202</w:t>
    </w:r>
    <w:r>
      <w:rPr>
        <w:rFonts w:cs="Arial" w:ascii="Arial" w:hAnsi="Arial"/>
        <w:sz w:val="20"/>
      </w:rPr>
      <w:t>5</w:t>
    </w:r>
  </w:p>
  <w:p>
    <w:pPr>
      <w:pStyle w:val="Header"/>
      <w:spacing w:before="0" w:after="0"/>
      <w:rPr/>
    </w:pPr>
    <w:r>
      <w:rPr/>
    </w:r>
  </w:p>
  <w:p>
    <w:pPr>
      <w:pStyle w:val="Header"/>
      <w:rPr/>
    </w:pPr>
    <w:r>
      <w:rPr/>
    </w:r>
  </w:p>
  <w:p>
    <w:pPr>
      <w:pStyle w:val="Header"/>
      <w:spacing w:before="60" w:after="60"/>
      <w:jc w:val="both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both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Methodology Explorer – Trabalho de Graduação 2002.2</w:t>
    </w:r>
  </w:p>
  <w:p>
    <w:pPr>
      <w:pStyle w:val="Normal"/>
      <w:pBdr>
        <w:bottom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Graduando: Carlos Roberto da Silva Júnior</w:t>
    </w:r>
  </w:p>
  <w:p>
    <w:pPr>
      <w:pStyle w:val="Normal"/>
      <w:pBdr>
        <w:bottom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Orientador: Hermano Perrelli de Moura</w:t>
    </w:r>
  </w:p>
  <w:p>
    <w:pPr>
      <w:pStyle w:val="Header"/>
      <w:spacing w:before="0" w:after="0"/>
      <w:rPr/>
    </w:pPr>
    <w:r>
      <w:rPr/>
    </w:r>
  </w:p>
  <w:p>
    <w:pPr>
      <w:pStyle w:val="Header"/>
      <w:rPr/>
    </w:pPr>
    <w:r>
      <w:rPr/>
    </w:r>
  </w:p>
  <w:p>
    <w:pPr>
      <w:pStyle w:val="Header"/>
      <w:spacing w:before="60" w:after="60"/>
      <w:jc w:val="both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both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both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both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0" w:hanging="0"/>
      </w:pPr>
      <w:rPr>
        <w:i/>
        <w:b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i w:val="false"/>
        <w:b/>
        <w:rFonts w:ascii="Arial" w:hAnsi="Arial" w:cs="Aria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73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bidi="ar-SA" w:val="pt-BR" w:eastAsia="zh-CN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hd w:val="clear" w:color="auto" w:fill="F2F2F2"/>
      <w:spacing w:before="240" w:after="120"/>
      <w:jc w:val="both"/>
      <w:outlineLvl w:val="0"/>
    </w:pPr>
    <w:rPr>
      <w:rFonts w:ascii="Arial" w:hAnsi="Arial" w:cs="Arial"/>
      <w:b/>
      <w:kern w:val="2"/>
      <w:sz w:val="28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sz w:val="26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 w:cs="Arial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 w:cs="Arial"/>
      <w:sz w:val="22"/>
      <w:szCs w:val="20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sz w:val="22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2" w:customStyle="1">
    <w:name w:val="WW8Num1z2"/>
    <w:qFormat/>
    <w:rPr>
      <w:b/>
      <w:i/>
    </w:rPr>
  </w:style>
  <w:style w:type="character" w:styleId="WW8Num4z0" w:customStyle="1">
    <w:name w:val="WW8Num4z0"/>
    <w:qFormat/>
    <w:rPr>
      <w:rFonts w:ascii="Arial" w:hAnsi="Arial" w:cs="Arial"/>
      <w:b/>
      <w:i w:val="false"/>
    </w:rPr>
  </w:style>
  <w:style w:type="character" w:styleId="WW8Num5z0" w:customStyle="1">
    <w:name w:val="WW8Num5z0"/>
    <w:qFormat/>
    <w:rPr/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3z0" w:customStyle="1">
    <w:name w:val="WW8Num13z0"/>
    <w:qFormat/>
    <w:rPr/>
  </w:style>
  <w:style w:type="character" w:styleId="WW8Num15z0" w:customStyle="1">
    <w:name w:val="WW8Num15z0"/>
    <w:qFormat/>
    <w:rPr/>
  </w:style>
  <w:style w:type="character" w:styleId="WW8Num17z0" w:customStyle="1">
    <w:name w:val="WW8Num17z0"/>
    <w:qFormat/>
    <w:rPr>
      <w:rFonts w:ascii="Symbol" w:hAnsi="Symbol" w:cs="Symbol"/>
    </w:rPr>
  </w:style>
  <w:style w:type="character" w:styleId="WW8Num17z1" w:customStyle="1">
    <w:name w:val="WW8Num17z1"/>
    <w:qFormat/>
    <w:rPr>
      <w:rFonts w:ascii="Arial" w:hAnsi="Arial" w:cs="Arial"/>
      <w:b/>
      <w:i w:val="false"/>
    </w:rPr>
  </w:style>
  <w:style w:type="character" w:styleId="WW8Num17z2" w:customStyle="1">
    <w:name w:val="WW8Num17z2"/>
    <w:qFormat/>
    <w:rPr/>
  </w:style>
  <w:style w:type="character" w:styleId="WW8Num18z0" w:customStyle="1">
    <w:name w:val="WW8Num18z0"/>
    <w:qFormat/>
    <w:rPr>
      <w:rFonts w:ascii="Wingdings" w:hAnsi="Wingdings" w:cs="Wingdings"/>
    </w:rPr>
  </w:style>
  <w:style w:type="character" w:styleId="WW8Num19z0" w:customStyle="1">
    <w:name w:val="WW8Num19z0"/>
    <w:qFormat/>
    <w:rPr>
      <w:rFonts w:ascii="Arial" w:hAnsi="Arial" w:cs="Arial"/>
      <w:b/>
      <w:i w:val="false"/>
    </w:rPr>
  </w:style>
  <w:style w:type="character" w:styleId="WW8Num20z0" w:customStyle="1">
    <w:name w:val="WW8Num20z0"/>
    <w:qFormat/>
    <w:rPr>
      <w:rFonts w:ascii="Symbol" w:hAnsi="Symbol" w:cs="Symbol"/>
    </w:rPr>
  </w:style>
  <w:style w:type="character" w:styleId="WW8Num21z0" w:customStyle="1">
    <w:name w:val="WW8Num21z0"/>
    <w:qFormat/>
    <w:rPr>
      <w:rFonts w:ascii="Symbol" w:hAnsi="Symbol" w:cs="Symbol"/>
    </w:rPr>
  </w:style>
  <w:style w:type="character" w:styleId="WW8Num23z0" w:customStyle="1">
    <w:name w:val="WW8Num23z0"/>
    <w:qFormat/>
    <w:rPr/>
  </w:style>
  <w:style w:type="character" w:styleId="WW8Num24z0" w:customStyle="1">
    <w:name w:val="WW8Num24z0"/>
    <w:qFormat/>
    <w:rPr>
      <w:rFonts w:ascii="Symbol" w:hAnsi="Symbol" w:cs="Symbol"/>
    </w:rPr>
  </w:style>
  <w:style w:type="character" w:styleId="WW8Num26z0" w:customStyle="1">
    <w:name w:val="WW8Num26z0"/>
    <w:qFormat/>
    <w:rPr>
      <w:rFonts w:ascii="Symbol" w:hAnsi="Symbol" w:cs="Symbol"/>
    </w:rPr>
  </w:style>
  <w:style w:type="character" w:styleId="WW8Num30z0" w:customStyle="1">
    <w:name w:val="WW8Num30z0"/>
    <w:qFormat/>
    <w:rPr>
      <w:rFonts w:ascii="Symbol" w:hAnsi="Symbol" w:cs="Symbol"/>
    </w:rPr>
  </w:style>
  <w:style w:type="character" w:styleId="WW8Num31z0" w:customStyle="1">
    <w:name w:val="WW8Num31z0"/>
    <w:qFormat/>
    <w:rPr/>
  </w:style>
  <w:style w:type="character" w:styleId="WW8Num31z2" w:customStyle="1">
    <w:name w:val="WW8Num31z2"/>
    <w:qFormat/>
    <w:rPr>
      <w:b/>
      <w:i/>
    </w:rPr>
  </w:style>
  <w:style w:type="character" w:styleId="LinkdaInternetuser" w:customStyle="1">
    <w:name w:val="Link da Internet (user)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ndiceuser" w:customStyle="1">
    <w:name w:val="Índice (user)"/>
    <w:basedOn w:val="Normal"/>
    <w:qFormat/>
    <w:pPr>
      <w:suppressLineNumbers/>
    </w:pPr>
    <w:rPr>
      <w:rFonts w:cs="Lohit Devanagari"/>
    </w:rPr>
  </w:style>
  <w:style w:type="paragraph" w:styleId="Requisito" w:customStyle="1">
    <w:name w:val="Requisito"/>
    <w:basedOn w:val="Heading3"/>
    <w:next w:val="Normal"/>
    <w:qFormat/>
    <w:pPr>
      <w:numPr>
        <w:ilvl w:val="0"/>
        <w:numId w:val="0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pacing w:before="240" w:after="120"/>
      <w:jc w:val="center"/>
      <w:outlineLvl w:val="9"/>
    </w:pPr>
    <w:rPr/>
  </w:style>
  <w:style w:type="paragraph" w:styleId="ListNumber">
    <w:name w:val="List Number"/>
    <w:basedOn w:val="Normal"/>
    <w:qFormat/>
    <w:pPr>
      <w:numPr>
        <w:ilvl w:val="0"/>
        <w:numId w:val="2"/>
      </w:numPr>
      <w:spacing w:before="60" w:after="60"/>
      <w:jc w:val="both"/>
    </w:pPr>
    <w:rPr>
      <w:szCs w:val="20"/>
    </w:rPr>
  </w:style>
  <w:style w:type="paragraph" w:styleId="TituloApendice" w:customStyle="1">
    <w:name w:val="TituloApendice"/>
    <w:basedOn w:val="Heading1"/>
    <w:next w:val="Normal"/>
    <w:qFormat/>
    <w:pPr>
      <w:numPr>
        <w:ilvl w:val="0"/>
        <w:numId w:val="4"/>
      </w:numPr>
      <w:outlineLvl w:val="9"/>
    </w:pPr>
    <w:rPr/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60" w:after="60"/>
      <w:ind w:left="284"/>
    </w:pPr>
    <w:rPr>
      <w:rFonts w:ascii="Arial" w:hAnsi="Arial" w:cs="Arial"/>
      <w:sz w:val="20"/>
      <w:szCs w:val="20"/>
      <w:lang w:val="en-US"/>
    </w:rPr>
  </w:style>
  <w:style w:type="paragraph" w:styleId="TOC4">
    <w:name w:val="toc 4"/>
    <w:basedOn w:val="Normal"/>
    <w:next w:val="Normal"/>
    <w:pPr>
      <w:ind w:left="720"/>
    </w:pPr>
    <w:rPr>
      <w:rFonts w:ascii="Arial" w:hAnsi="Arial" w:cs="Arial"/>
      <w:sz w:val="18"/>
    </w:rPr>
  </w:style>
  <w:style w:type="paragraph" w:styleId="titulo" w:customStyle="1">
    <w:name w:val="titulo"/>
    <w:basedOn w:val="Normal"/>
    <w:next w:val="versao"/>
    <w:qFormat/>
    <w:pPr>
      <w:spacing w:before="5280" w:after="60"/>
      <w:jc w:val="right"/>
    </w:pPr>
    <w:rPr>
      <w:rFonts w:ascii="Arial" w:hAnsi="Arial" w:cs="Arial"/>
      <w:b/>
      <w:sz w:val="36"/>
      <w:szCs w:val="20"/>
    </w:rPr>
  </w:style>
  <w:style w:type="paragraph" w:styleId="versao" w:customStyle="1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istema" w:customStyle="1">
    <w:name w:val="sistema"/>
    <w:basedOn w:val="Normal"/>
    <w:qFormat/>
    <w:pPr>
      <w:spacing w:before="0" w:after="240"/>
      <w:jc w:val="right"/>
    </w:pPr>
    <w:rPr>
      <w:rFonts w:ascii="Arial" w:hAnsi="Arial" w:cs="Arial"/>
      <w:b/>
      <w:sz w:val="36"/>
      <w:szCs w:val="20"/>
    </w:rPr>
  </w:style>
  <w:style w:type="paragraph" w:styleId="conteudo" w:customStyle="1">
    <w:name w:val="conteudo"/>
    <w:basedOn w:val="Normal"/>
    <w:qFormat/>
    <w:pPr>
      <w:spacing w:before="360" w:after="120"/>
      <w:jc w:val="both"/>
    </w:pPr>
    <w:rPr>
      <w:rFonts w:ascii="Arial" w:hAnsi="Arial" w:cs="Arial"/>
      <w:b/>
      <w:sz w:val="28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left" w:pos="426" w:leader="none"/>
        <w:tab w:val="left" w:pos="567" w:leader="none"/>
        <w:tab w:val="right" w:pos="9060" w:leader="dot"/>
      </w:tabs>
      <w:spacing w:before="120" w:after="120"/>
    </w:pPr>
    <w:rPr>
      <w:b/>
      <w:caps/>
      <w:sz w:val="20"/>
      <w:szCs w:val="20"/>
      <w:lang w:eastAsia="pt-BR"/>
    </w:rPr>
  </w:style>
  <w:style w:type="paragraph" w:styleId="TOC2">
    <w:name w:val="toc 2"/>
    <w:basedOn w:val="Normal"/>
    <w:next w:val="Normal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pPr>
      <w:ind w:left="480"/>
    </w:pPr>
    <w:rPr>
      <w:i/>
      <w:sz w:val="20"/>
      <w:szCs w:val="20"/>
    </w:rPr>
  </w:style>
  <w:style w:type="paragraph" w:styleId="ListBullet">
    <w:name w:val="List Bullet"/>
    <w:basedOn w:val="Normal"/>
    <w:qFormat/>
    <w:pPr>
      <w:numPr>
        <w:ilvl w:val="0"/>
        <w:numId w:val="3"/>
      </w:numPr>
      <w:spacing w:before="60" w:after="60"/>
      <w:jc w:val="both"/>
    </w:pPr>
    <w:rPr>
      <w:bCs/>
      <w:szCs w:val="20"/>
    </w:rPr>
  </w:style>
  <w:style w:type="paragraph" w:styleId="destaque1" w:customStyle="1">
    <w:name w:val="destaque 1"/>
    <w:next w:val="Normal"/>
    <w:qFormat/>
    <w:pPr>
      <w:keepNext w:val="true"/>
      <w:widowControl/>
      <w:suppressAutoHyphens w:val="true"/>
      <w:bidi w:val="0"/>
      <w:spacing w:before="240" w:after="120"/>
      <w:jc w:val="left"/>
      <w:outlineLvl w:val="3"/>
    </w:pPr>
    <w:rPr>
      <w:rFonts w:ascii="Arial" w:hAnsi="Arial" w:eastAsia="Times New Roman" w:cs="Arial"/>
      <w:b/>
      <w:color w:val="auto"/>
      <w:kern w:val="0"/>
      <w:sz w:val="24"/>
      <w:szCs w:val="20"/>
      <w:lang w:eastAsia="pt-BR" w:bidi="ar-SA" w:val="pt-BR"/>
    </w:rPr>
  </w:style>
  <w:style w:type="paragraph" w:styleId="BodyText3">
    <w:name w:val="Body Text 3"/>
    <w:basedOn w:val="Normal"/>
    <w:qFormat/>
    <w:pPr>
      <w:spacing w:before="60" w:after="60"/>
      <w:jc w:val="both"/>
    </w:pPr>
    <w:rPr>
      <w:color w:val="0000FF"/>
      <w:szCs w:val="20"/>
    </w:rPr>
  </w:style>
  <w:style w:type="paragraph" w:styleId="BodyText2">
    <w:name w:val="Body Text 2"/>
    <w:basedOn w:val="Normal"/>
    <w:qFormat/>
    <w:pPr>
      <w:spacing w:before="60" w:after="60"/>
      <w:jc w:val="both"/>
    </w:pPr>
    <w:rPr>
      <w:i/>
      <w:szCs w:val="20"/>
    </w:rPr>
  </w:style>
  <w:style w:type="paragraph" w:styleId="Titulo1" w:customStyle="1">
    <w:name w:val="Titulo1"/>
    <w:basedOn w:val="Title"/>
    <w:qFormat/>
    <w:pPr>
      <w:jc w:val="right"/>
    </w:pPr>
    <w:rPr/>
  </w:style>
  <w:style w:type="paragraph" w:styleId="CabealhoeRodap" w:customStyle="1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  <w:spacing w:before="60" w:after="60"/>
      <w:jc w:val="both"/>
    </w:pPr>
    <w:rPr>
      <w:rFonts w:ascii="Arial" w:hAnsi="Arial" w:cs="Arial"/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  <w:spacing w:before="60" w:after="0"/>
      <w:jc w:val="both"/>
    </w:pPr>
    <w:rPr>
      <w:rFonts w:ascii="Arial" w:hAnsi="Arial" w:cs="Arial"/>
      <w:sz w:val="16"/>
      <w:szCs w:val="20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Arial" w:hAnsi="Arial" w:cs="Arial"/>
      <w:sz w:val="20"/>
    </w:rPr>
  </w:style>
  <w:style w:type="paragraph" w:styleId="TOC9">
    <w:name w:val="toc 9"/>
    <w:basedOn w:val="Normal"/>
    <w:next w:val="Normal"/>
    <w:pPr>
      <w:ind w:left="1920"/>
    </w:pPr>
    <w:rPr>
      <w:rFonts w:ascii="Arial" w:hAnsi="Arial" w:cs="Arial"/>
      <w:sz w:val="18"/>
    </w:rPr>
  </w:style>
  <w:style w:type="paragraph" w:styleId="Contedodatabelauser" w:customStyle="1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TOC5">
    <w:name w:val="toc 5"/>
    <w:basedOn w:val="ndice"/>
    <w:pPr/>
    <w:rPr/>
  </w:style>
  <w:style w:type="paragraph" w:styleId="TOC6">
    <w:name w:val="toc 6"/>
    <w:basedOn w:val="ndice"/>
    <w:pPr/>
    <w:rPr/>
  </w:style>
  <w:style w:type="paragraph" w:styleId="TOC7">
    <w:name w:val="toc 7"/>
    <w:basedOn w:val="ndice"/>
    <w:pPr/>
    <w:rPr/>
  </w:style>
  <w:style w:type="paragraph" w:styleId="TOC8">
    <w:name w:val="toc 8"/>
    <w:basedOn w:val="ndice"/>
    <w:pPr/>
    <w:rPr/>
  </w:style>
  <w:style w:type="numbering" w:styleId="Semlista" w:default="1">
    <w:name w:val="Sem lista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yperlink" Target="http://www.cin.ufpe.br/~if119" TargetMode="External"/><Relationship Id="rId15" Type="http://schemas.openxmlformats.org/officeDocument/2006/relationships/hyperlink" Target="http://www.cin.ufpe.br/~mds" TargetMode="External"/><Relationship Id="rId16" Type="http://schemas.openxmlformats.org/officeDocument/2006/relationships/hyperlink" Target="http://www.rational.com/" TargetMode="External"/><Relationship Id="rId17" Type="http://schemas.openxmlformats.org/officeDocument/2006/relationships/hyperlink" Target="http://www.cin.ufpe.br/~if119" TargetMode="Externa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LibreOffice/25.2.7.2$Windows_X86_64 LibreOffice_project/5cbfd1ab6520636bb5f7b99185aa69bd7456825d</Application>
  <AppVersion>15.0000</AppVersion>
  <Pages>10</Pages>
  <Words>1794</Words>
  <Characters>10402</Characters>
  <CharactersWithSpaces>11938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2024-03-18T18:17:00Z</dcterms:created>
  <dc:creator>crsj</dc:creator>
  <dc:description/>
  <dc:language>pt-BR</dc:language>
  <cp:lastModifiedBy/>
  <dcterms:modified xsi:type="dcterms:W3CDTF">2025-12-04T16:24:24Z</dcterms:modified>
  <cp:revision>4</cp:revision>
  <dc:subject/>
  <dc:title>Documento de Requisitos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