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29C7391" wp14:textId="77777777">
      <w:pPr>
        <w:jc w:val="center"/>
      </w:pPr>
      <w:r>
        <w:rPr>
          <w:b/>
          <w:color w:val="5A6A7A"/>
          <w:sz w:val="20"/>
        </w:rPr>
        <w:t>SFI Agentic | Use Case Document Set</w:t>
      </w:r>
    </w:p>
    <w:p xmlns:wp14="http://schemas.microsoft.com/office/word/2010/wordml" w14:paraId="614D0351" wp14:textId="77777777">
      <w:pPr>
        <w:pStyle w:val="Title"/>
        <w:jc w:val="center"/>
      </w:pPr>
      <w:r>
        <w:t>Use Case Intake</w:t>
      </w:r>
    </w:p>
    <w:p xmlns:wp14="http://schemas.microsoft.com/office/word/2010/wordml" w14:paraId="565F7C82" wp14:textId="77777777">
      <w:pPr>
        <w:jc w:val="center"/>
      </w:pPr>
      <w:r>
        <w:rPr>
          <w:color w:val="5A6A7A"/>
          <w:sz w:val="20"/>
        </w:rPr>
        <w:t>Agentic Roadmap  |  Issue type: Use Case Request</w:t>
      </w:r>
    </w:p>
    <w:tbl>
      <w:tblPr>
        <w:tblW w:w="0" w:type="auto"/>
        <w:jc w:val="center"/>
        <w:tblLook w:val="04A0" w:firstRow="1" w:lastRow="0" w:firstColumn="1" w:lastColumn="0" w:noHBand="0" w:noVBand="1"/>
        <w:tblBorders>
          <w:top w:val="single" w:color="B8D8D8" w:sz="8"/>
          <w:left w:val="single" w:color="B8D8D8" w:sz="8"/>
          <w:bottom w:val="single" w:color="B8D8D8" w:sz="8"/>
          <w:right w:val="single" w:color="B8D8D8" w:sz="8"/>
          <w:insideH w:val="single" w:color="B8D8D8" w:sz="8"/>
          <w:insideV w:val="single" w:color="B8D8D8" w:sz="8"/>
        </w:tblBorders>
      </w:tblPr>
      <w:tblGrid>
        <w:gridCol w:w="10224"/>
      </w:tblGrid>
      <w:tr xmlns:wp14="http://schemas.microsoft.com/office/word/2010/wordml" w14:paraId="1C53F0C6" wp14:textId="77777777">
        <w:tc>
          <w:tcPr>
            <w:tcW w:w="10224" w:type="dxa"/>
            <w:shd w:fill="EAF5F5"/>
            <w:tcMar>
              <w:top w:w="120" w:type="dxa"/>
              <w:start w:w="160" w:type="dxa"/>
              <w:bottom w:w="120" w:type="dxa"/>
              <w:end w:w="160" w:type="dxa"/>
            </w:tcMar>
          </w:tcPr>
          <w:p w14:paraId="2AAB02A5" wp14:textId="77777777">
            <w:pPr>
              <w:spacing w:after="0"/>
            </w:pPr>
            <w:r>
              <w:rPr>
                <w:b/>
                <w:color w:val="2C7A7B"/>
              </w:rPr>
              <w:t xml:space="preserve">Scope clarification: </w:t>
            </w:r>
            <w:r>
              <w:t>This use case is exclusively for resolving LabVantage service requests and incidents. LIMS purge, archive, analytics, and reporting are excluded.</w:t>
            </w:r>
          </w:p>
        </w:tc>
      </w:tr>
    </w:tbl>
    <w:p xmlns:wp14="http://schemas.microsoft.com/office/word/2010/wordml" w14:paraId="2C6ACD02" wp14:textId="77777777">
      <w:pPr>
        <w:pStyle w:val="Heading1"/>
        <w:keepNext/>
        <w:pBdr>
          <w:bottom w:val="single" w:color="2C7A7B" w:sz="10"/>
        </w:pBdr>
      </w:pPr>
      <w:r>
        <w:t>Identification</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5303ADA0" wp14:textId="77777777">
        <w:tc>
          <w:tcPr>
            <w:tcW w:w="10224" w:type="dxa"/>
            <w:vAlign w:val="center"/>
            <w:tcMar>
              <w:top w:w="100" w:type="dxa"/>
              <w:start w:w="130" w:type="dxa"/>
              <w:bottom w:w="100" w:type="dxa"/>
              <w:end w:w="130" w:type="dxa"/>
            </w:tcMar>
            <w:shd w:fill="F7F9FC"/>
          </w:tcPr>
          <w:p w14:paraId="09C779BC" wp14:textId="77777777">
            <w:pPr>
              <w:spacing w:after="60"/>
            </w:pPr>
            <w:r>
              <w:rPr>
                <w:b/>
                <w:color w:val="0D1B2A"/>
                <w:sz w:val="18"/>
              </w:rPr>
              <w:t>Use Case Title *</w:t>
            </w:r>
          </w:p>
          <w:p w14:paraId="1AFFEC7F" wp14:textId="77777777">
            <w:pPr>
              <w:spacing w:after="0" w:line="259" w:lineRule="auto"/>
            </w:pPr>
            <w:r>
              <w:rPr>
                <w:color w:val="1A2030"/>
                <w:sz w:val="18"/>
              </w:rPr>
              <w:t>AAVA-Powered LabVantage Service Request and Incident Resolution</w:t>
            </w:r>
          </w:p>
        </w:tc>
      </w:tr>
    </w:tbl>
    <w:p xmlns:wp14="http://schemas.microsoft.com/office/word/2010/wordml" w14:paraId="672A6659"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4320"/>
        <w:gridCol w:w="6048"/>
      </w:tblGrid>
      <w:tr xmlns:wp14="http://schemas.microsoft.com/office/word/2010/wordml" w14:paraId="639359AF" wp14:textId="77777777">
        <w:tc>
          <w:tcPr>
            <w:tcW w:w="5112" w:type="dxa"/>
            <w:vAlign w:val="center"/>
            <w:tcMar>
              <w:top w:w="100" w:type="dxa"/>
              <w:start w:w="130" w:type="dxa"/>
              <w:bottom w:w="100" w:type="dxa"/>
              <w:end w:w="130" w:type="dxa"/>
            </w:tcMar>
            <w:shd w:fill="F7F9FC"/>
          </w:tcPr>
          <w:p w14:paraId="7FB72846" wp14:textId="77777777">
            <w:pPr>
              <w:spacing w:after="60"/>
            </w:pPr>
            <w:r>
              <w:rPr>
                <w:b/>
                <w:color w:val="0D1B2A"/>
                <w:sz w:val="18"/>
              </w:rPr>
              <w:t>Submitting Tower *</w:t>
            </w:r>
          </w:p>
          <w:p w14:paraId="6EE1D720" wp14:textId="77777777">
            <w:pPr>
              <w:spacing w:after="0" w:line="259" w:lineRule="auto"/>
            </w:pPr>
            <w:r>
              <w:rPr>
                <w:color w:val="1A2030"/>
                <w:sz w:val="18"/>
              </w:rPr>
              <w:t>Applications</w:t>
            </w:r>
          </w:p>
        </w:tc>
        <w:tc>
          <w:tcPr>
            <w:tcW w:w="5112" w:type="dxa"/>
            <w:vAlign w:val="center"/>
            <w:tcMar>
              <w:top w:w="100" w:type="dxa"/>
              <w:start w:w="130" w:type="dxa"/>
              <w:bottom w:w="100" w:type="dxa"/>
              <w:end w:w="130" w:type="dxa"/>
            </w:tcMar>
            <w:shd w:fill="F7F9FC"/>
          </w:tcPr>
          <w:p w14:paraId="0C737330" wp14:textId="77777777">
            <w:pPr>
              <w:spacing w:after="60"/>
            </w:pPr>
            <w:r>
              <w:rPr>
                <w:b/>
                <w:color w:val="0D1B2A"/>
                <w:sz w:val="18"/>
              </w:rPr>
              <w:t>Submitted By *</w:t>
            </w:r>
          </w:p>
          <w:p w14:paraId="0BA8F6F8" wp14:textId="77777777">
            <w:pPr>
              <w:spacing w:after="0" w:line="259" w:lineRule="auto"/>
            </w:pPr>
            <w:r>
              <w:rPr>
                <w:color w:val="1A2030"/>
                <w:sz w:val="18"/>
              </w:rPr>
              <w:t>Ravitheja Pannem [Contractor] | Ascendion - Data Engineer [C]</w:t>
            </w:r>
          </w:p>
        </w:tc>
      </w:tr>
    </w:tbl>
    <w:p xmlns:wp14="http://schemas.microsoft.com/office/word/2010/wordml" w14:paraId="0A37501D"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4320"/>
        <w:gridCol w:w="6048"/>
      </w:tblGrid>
      <w:tr xmlns:wp14="http://schemas.microsoft.com/office/word/2010/wordml" w:rsidTr="475F2A40" w14:paraId="56FF078D" wp14:textId="77777777">
        <w:tc>
          <w:tcPr>
            <w:tcW w:w="5112" w:type="dxa"/>
            <w:shd w:val="clear" w:color="auto" w:fill="F7F9FC"/>
            <w:tcMar>
              <w:top w:w="100" w:type="dxa"/>
              <w:left w:w="130" w:type="dxa"/>
              <w:bottom w:w="100" w:type="dxa"/>
              <w:right w:w="130" w:type="dxa"/>
            </w:tcMar>
            <w:vAlign w:val="center"/>
            <w:tcMar>
              <w:top w:w="100" w:type="dxa"/>
              <w:start w:w="130" w:type="dxa"/>
              <w:bottom w:w="100" w:type="dxa"/>
              <w:end w:w="130" w:type="dxa"/>
            </w:tcMar>
            <w:shd w:fill="F7F9FC"/>
          </w:tcPr>
          <w:p w14:paraId="1421ACD8" wp14:textId="77777777">
            <w:pPr>
              <w:spacing w:after="60"/>
            </w:pPr>
            <w:r>
              <w:rPr>
                <w:b/>
                <w:color w:val="0D1B2A"/>
                <w:sz w:val="18"/>
              </w:rPr>
              <w:t>Submission Date *</w:t>
            </w:r>
          </w:p>
          <w:p w14:paraId="4FEC490E" wp14:textId="77777777">
            <w:pPr>
              <w:spacing w:after="0" w:line="259" w:lineRule="auto"/>
            </w:pPr>
            <w:r>
              <w:rPr>
                <w:color w:val="1A2030"/>
                <w:sz w:val="18"/>
              </w:rPr>
              <w:t>15 / 09 / 2026</w:t>
            </w:r>
          </w:p>
        </w:tc>
        <w:tc>
          <w:tcPr>
            <w:tcW w:w="5112" w:type="dxa"/>
            <w:shd w:val="clear" w:color="auto" w:fill="F7F9FC"/>
            <w:tcMar>
              <w:top w:w="100" w:type="dxa"/>
              <w:left w:w="130" w:type="dxa"/>
              <w:bottom w:w="100" w:type="dxa"/>
              <w:right w:w="130" w:type="dxa"/>
            </w:tcMar>
            <w:vAlign w:val="center"/>
            <w:tcMar>
              <w:top w:w="100" w:type="dxa"/>
              <w:start w:w="130" w:type="dxa"/>
              <w:bottom w:w="100" w:type="dxa"/>
              <w:end w:w="130" w:type="dxa"/>
            </w:tcMar>
            <w:shd w:fill="F7F9FC"/>
          </w:tcPr>
          <w:p w14:paraId="5CBBFAD1" wp14:textId="77777777">
            <w:pPr>
              <w:spacing w:after="60"/>
            </w:pPr>
            <w:r>
              <w:rPr>
                <w:b/>
                <w:color w:val="0D1B2A"/>
                <w:sz w:val="18"/>
              </w:rPr>
              <w:t>Priority (Tower’s View) *</w:t>
            </w:r>
          </w:p>
          <w:p w14:paraId="7CA72D09" wp14:textId="77777777">
            <w:pPr>
              <w:spacing w:after="0" w:line="259" w:lineRule="auto"/>
            </w:pPr>
            <w:r>
              <w:rPr>
                <w:color w:val="1A2030"/>
                <w:sz w:val="18"/>
              </w:rPr>
              <w:t>High (significant operational impact)</w:t>
            </w:r>
          </w:p>
        </w:tc>
      </w:tr>
    </w:tbl>
    <w:p xmlns:wp14="http://schemas.microsoft.com/office/word/2010/wordml" w14:paraId="74917339" wp14:textId="77777777">
      <w:pPr>
        <w:pStyle w:val="Heading1"/>
        <w:keepNext/>
        <w:pBdr>
          <w:bottom w:val="single" w:color="2C7A7B" w:sz="10"/>
        </w:pBdr>
      </w:pPr>
      <w:r>
        <w:t>Problem &amp; Context</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06A037D5" wp14:textId="77777777">
        <w:tc>
          <w:tcPr>
            <w:tcW w:w="10224" w:type="dxa"/>
            <w:vAlign w:val="center"/>
            <w:tcMar>
              <w:top w:w="100" w:type="dxa"/>
              <w:start w:w="130" w:type="dxa"/>
              <w:bottom w:w="100" w:type="dxa"/>
              <w:end w:w="130" w:type="dxa"/>
            </w:tcMar>
            <w:shd w:fill="F7F9FC"/>
          </w:tcPr>
          <w:p w14:paraId="44214309" wp14:textId="77777777">
            <w:pPr>
              <w:spacing w:after="60"/>
            </w:pPr>
            <w:r>
              <w:rPr>
                <w:b/>
                <w:color w:val="0D1B2A"/>
                <w:sz w:val="18"/>
              </w:rPr>
              <w:t>Problem Statement *</w:t>
            </w:r>
          </w:p>
          <w:p w14:paraId="71ED66CA" wp14:textId="77777777">
            <w:pPr>
              <w:spacing w:after="0" w:line="259" w:lineRule="auto"/>
            </w:pPr>
            <w:r>
              <w:rPr>
                <w:color w:val="1A2030"/>
                <w:sz w:val="18"/>
              </w:rPr>
              <w:t>LabVantage support requests and incidents require support analysts to manually interpret ticket descriptions, determine whether the item is a service request or an incident, search prior tickets and knowledge articles, collect missing information, investigate application or interface symptoms, identify a resolution, document the work, and communicate with the requester. This creates inconsistent triage and resolution quality, repeated investigation effort, avoidable handoffs, and dependency on individual support knowledge.</w:t>
            </w:r>
          </w:p>
        </w:tc>
      </w:tr>
    </w:tbl>
    <w:p xmlns:wp14="http://schemas.microsoft.com/office/word/2010/wordml" w14:paraId="02EB378F"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1CCCC6DD" wp14:textId="77777777">
        <w:tc>
          <w:tcPr>
            <w:tcW w:w="10224" w:type="dxa"/>
            <w:vAlign w:val="center"/>
            <w:tcMar>
              <w:top w:w="100" w:type="dxa"/>
              <w:start w:w="130" w:type="dxa"/>
              <w:bottom w:w="100" w:type="dxa"/>
              <w:end w:w="130" w:type="dxa"/>
            </w:tcMar>
            <w:shd w:fill="F7F9FC"/>
          </w:tcPr>
          <w:p w14:paraId="7827DF1D" wp14:textId="77777777">
            <w:pPr>
              <w:spacing w:after="60"/>
            </w:pPr>
            <w:r>
              <w:rPr>
                <w:b/>
                <w:color w:val="0D1B2A"/>
                <w:sz w:val="18"/>
              </w:rPr>
              <w:t>Current Process *</w:t>
            </w:r>
          </w:p>
          <w:p w14:paraId="15562D65" wp14:textId="77777777">
            <w:pPr>
              <w:spacing w:after="0" w:line="259" w:lineRule="auto"/>
            </w:pPr>
            <w:r>
              <w:rPr>
                <w:color w:val="1A2030"/>
                <w:sz w:val="18"/>
              </w:rPr>
              <w:t>Requests are submitted through the IT service-management process and routed to a support team. Service requests are fulfilled through predefined offerings or tasks, while break/fix issues are handled as incidents. Analysts review ticket details and attachments, categorize and prioritize the item, search related incidents and knowledge articles, contact the requester when information is missing, investigate LabVantage and related logs, implement an approved resolution or escalate, document time/cause/resolution, obtain user confirmation where applicable, and then fulfill or resolve the ticket. The process is largely manual and requires repeated navigation across the ticketing system, LabVantage support material, logs, and prior resolutions.</w:t>
            </w:r>
          </w:p>
        </w:tc>
      </w:tr>
    </w:tbl>
    <w:p xmlns:wp14="http://schemas.microsoft.com/office/word/2010/wordml" w14:paraId="6A05A809"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rsidTr="475F2A40" w14:paraId="7D5E4D34" wp14:textId="77777777">
        <w:tc>
          <w:tcPr>
            <w:tcW w:w="10224" w:type="dxa"/>
            <w:shd w:val="clear" w:color="auto" w:fill="F7F9FC"/>
            <w:tcMar>
              <w:top w:w="100" w:type="dxa"/>
              <w:left w:w="130" w:type="dxa"/>
              <w:bottom w:w="100" w:type="dxa"/>
              <w:right w:w="130" w:type="dxa"/>
            </w:tcMar>
            <w:vAlign w:val="center"/>
            <w:tcMar>
              <w:top w:w="100" w:type="dxa"/>
              <w:start w:w="130" w:type="dxa"/>
              <w:bottom w:w="100" w:type="dxa"/>
              <w:end w:w="130" w:type="dxa"/>
            </w:tcMar>
            <w:shd w:fill="F7F9FC"/>
          </w:tcPr>
          <w:p w14:paraId="283F5809" wp14:textId="77777777">
            <w:pPr>
              <w:spacing w:after="60"/>
            </w:pPr>
            <w:r>
              <w:rPr>
                <w:b/>
                <w:color w:val="0D1B2A"/>
                <w:sz w:val="18"/>
              </w:rPr>
              <w:t>Impact of Inaction</w:t>
            </w:r>
          </w:p>
          <w:p w14:paraId="33A81FAC" wp14:textId="77777777">
            <w:pPr>
              <w:spacing w:after="0" w:line="259" w:lineRule="auto"/>
            </w:pPr>
            <w:r>
              <w:rPr>
                <w:color w:val="1A2030"/>
                <w:sz w:val="18"/>
              </w:rPr>
              <w:t>Support teams will continue to spend time on repetitive intake, information gathering, searches, and documentation. Resolution may remain dependent on analyst experience, with continued risk of inconsistent categorization, unnecessary reassignment, delayed user updates, repeated incidents, limited knowledge reuse, and SLA pressure.</w:t>
            </w:r>
          </w:p>
        </w:tc>
      </w:tr>
    </w:tbl>
    <w:p xmlns:wp14="http://schemas.microsoft.com/office/word/2010/wordml" w14:paraId="0373121C" wp14:textId="77777777">
      <w:pPr>
        <w:pStyle w:val="Heading1"/>
        <w:keepNext/>
        <w:pBdr>
          <w:bottom w:val="single" w:color="2C7A7B" w:sz="10"/>
        </w:pBdr>
      </w:pPr>
      <w:r>
        <w:t>Desired Outcome</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158D7563" wp14:textId="77777777">
        <w:tc>
          <w:tcPr>
            <w:tcW w:w="10224" w:type="dxa"/>
            <w:vAlign w:val="center"/>
            <w:tcMar>
              <w:top w:w="100" w:type="dxa"/>
              <w:start w:w="130" w:type="dxa"/>
              <w:bottom w:w="100" w:type="dxa"/>
              <w:end w:w="130" w:type="dxa"/>
            </w:tcMar>
            <w:shd w:fill="F7F9FC"/>
          </w:tcPr>
          <w:p w14:paraId="6B2F95DC" wp14:textId="77777777">
            <w:pPr>
              <w:spacing w:after="60"/>
            </w:pPr>
            <w:r>
              <w:rPr>
                <w:b/>
                <w:color w:val="0D1B2A"/>
                <w:sz w:val="18"/>
              </w:rPr>
              <w:t>Expected Outcome *</w:t>
            </w:r>
          </w:p>
          <w:p w14:paraId="3BE4FD59" wp14:textId="77777777">
            <w:pPr>
              <w:spacing w:after="0" w:line="259" w:lineRule="auto"/>
            </w:pPr>
            <w:r>
              <w:rPr>
                <w:color w:val="1A2030"/>
                <w:sz w:val="18"/>
              </w:rPr>
              <w:t>Provide an AAVA-based LabVantage Support Agent that assists the complete ticket lifecycle. The agent should distinguish service requests from incidents, summarize and enrich ticket details, recommend categorization and routing, search approved knowledge sources and similar historical tickets, guide diagnostic checks, propose only approved resolution steps, request human approval for controlled actions, validate the result, update the ticket, communicate with the requester, and capture reusable knowledge. Human owners remain accountable for high-impact, uncertain, security-sensitive, vendor, or change-controlled cases.</w:t>
            </w:r>
          </w:p>
        </w:tc>
      </w:tr>
    </w:tbl>
    <w:p xmlns:wp14="http://schemas.microsoft.com/office/word/2010/wordml" w14:paraId="41C8F396"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5184"/>
        <w:gridCol w:w="5184"/>
      </w:tblGrid>
      <w:tr xmlns:wp14="http://schemas.microsoft.com/office/word/2010/wordml" w14:paraId="29EB3167" wp14:textId="77777777">
        <w:tc>
          <w:tcPr>
            <w:tcW w:w="5112" w:type="dxa"/>
            <w:vAlign w:val="center"/>
            <w:tcMar>
              <w:top w:w="100" w:type="dxa"/>
              <w:start w:w="130" w:type="dxa"/>
              <w:bottom w:w="100" w:type="dxa"/>
              <w:end w:w="130" w:type="dxa"/>
            </w:tcMar>
            <w:shd w:fill="F7F9FC"/>
          </w:tcPr>
          <w:p w14:paraId="1915E5E5" wp14:textId="77777777">
            <w:pPr>
              <w:spacing w:after="60"/>
            </w:pPr>
            <w:r>
              <w:rPr>
                <w:b/>
                <w:color w:val="0D1B2A"/>
                <w:sz w:val="18"/>
              </w:rPr>
              <w:t>Key Metric(s)</w:t>
            </w:r>
          </w:p>
          <w:p w14:paraId="266D7102" wp14:textId="77777777">
            <w:pPr>
              <w:spacing w:after="0" w:line="259" w:lineRule="auto"/>
            </w:pPr>
            <w:r>
              <w:rPr>
                <w:color w:val="1A2030"/>
                <w:sz w:val="18"/>
              </w:rPr>
              <w:t>Baseline and targets to be confirmed during discovery: median time to triage; mean time to resolution; first-contact resolution rate; reassignment rate; SLA compliance; percentage of eligible tickets resolved with agent assistance; user confirmation/reopen rate; knowledge reuse rate.</w:t>
            </w:r>
          </w:p>
        </w:tc>
        <w:tc>
          <w:tcPr>
            <w:tcW w:w="5112" w:type="dxa"/>
            <w:vAlign w:val="center"/>
            <w:tcMar>
              <w:top w:w="100" w:type="dxa"/>
              <w:start w:w="130" w:type="dxa"/>
              <w:bottom w:w="100" w:type="dxa"/>
              <w:end w:w="130" w:type="dxa"/>
            </w:tcMar>
            <w:shd w:fill="F7F9FC"/>
          </w:tcPr>
          <w:p w14:paraId="43D0BE97" wp14:textId="77777777">
            <w:pPr>
              <w:spacing w:after="60"/>
            </w:pPr>
            <w:r>
              <w:rPr>
                <w:b/>
                <w:color w:val="0D1B2A"/>
                <w:sz w:val="18"/>
              </w:rPr>
              <w:t>Target Users *</w:t>
            </w:r>
          </w:p>
          <w:p w14:paraId="3CDA8BF5" wp14:textId="77777777">
            <w:pPr>
              <w:spacing w:after="0" w:line="259" w:lineRule="auto"/>
            </w:pPr>
            <w:r>
              <w:rPr>
                <w:color w:val="1A2030"/>
                <w:sz w:val="18"/>
              </w:rPr>
              <w:t>LabVantage L1/L2/L3 support teams, Service Desk analysts, application support owners, and approved LabVantage requesters.</w:t>
            </w:r>
          </w:p>
        </w:tc>
      </w:tr>
    </w:tbl>
    <w:p xmlns:wp14="http://schemas.microsoft.com/office/word/2010/wordml" w14:paraId="72A3D3EC"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1306EF47" wp14:textId="77777777">
        <w:tc>
          <w:tcPr>
            <w:tcW w:w="10224" w:type="dxa"/>
            <w:vAlign w:val="center"/>
            <w:tcMar>
              <w:top w:w="100" w:type="dxa"/>
              <w:start w:w="130" w:type="dxa"/>
              <w:bottom w:w="100" w:type="dxa"/>
              <w:end w:w="130" w:type="dxa"/>
            </w:tcMar>
            <w:shd w:fill="F7F9FC"/>
          </w:tcPr>
          <w:p w14:paraId="627C6EA7" wp14:textId="77777777">
            <w:pPr>
              <w:spacing w:after="60"/>
            </w:pPr>
            <w:r>
              <w:rPr>
                <w:b/>
                <w:color w:val="0D1B2A"/>
                <w:sz w:val="18"/>
              </w:rPr>
              <w:t>Volume / Scale</w:t>
            </w:r>
          </w:p>
          <w:p w14:paraId="7D9B1870" wp14:textId="77777777">
            <w:pPr>
              <w:spacing w:after="0" w:line="259" w:lineRule="auto"/>
            </w:pPr>
            <w:r>
              <w:rPr>
                <w:color w:val="1A2030"/>
                <w:sz w:val="18"/>
              </w:rPr>
              <w:t>To be established from historical LabVantage service-request and incident data. Discovery should capture monthly volume by ticket type, category, priority, assignment tier, resolution code, and repeat issue pattern.</w:t>
            </w:r>
          </w:p>
        </w:tc>
      </w:tr>
    </w:tbl>
    <w:p xmlns:wp14="http://schemas.microsoft.com/office/word/2010/wordml" w14:paraId="0D0B940D" wp14:textId="77777777">
      <w:pPr>
        <w:spacing w:after="0"/>
      </w:pPr>
    </w:p>
    <w:p xmlns:wp14="http://schemas.microsoft.com/office/word/2010/wordml" w14:paraId="6061D517" wp14:textId="77777777">
      <w:pPr>
        <w:pStyle w:val="Heading1"/>
        <w:keepNext/>
        <w:pBdr>
          <w:bottom w:val="single" w:color="2C7A7B" w:sz="10"/>
        </w:pBdr>
      </w:pPr>
      <w:r>
        <w:t>Scope &amp; Constraints</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4C5564B9" wp14:textId="77777777">
        <w:tc>
          <w:tcPr>
            <w:tcW w:w="10224" w:type="dxa"/>
            <w:vAlign w:val="center"/>
            <w:tcMar>
              <w:top w:w="100" w:type="dxa"/>
              <w:start w:w="130" w:type="dxa"/>
              <w:bottom w:w="100" w:type="dxa"/>
              <w:end w:w="130" w:type="dxa"/>
            </w:tcMar>
            <w:shd w:fill="F7F9FC"/>
          </w:tcPr>
          <w:p w14:paraId="1CA55F8D" wp14:textId="77777777">
            <w:pPr>
              <w:spacing w:after="60"/>
            </w:pPr>
            <w:r>
              <w:rPr>
                <w:b/>
                <w:color w:val="0D1B2A"/>
                <w:sz w:val="18"/>
              </w:rPr>
              <w:t>In Scope *</w:t>
            </w:r>
          </w:p>
          <w:p w14:paraId="1AC4A87E" wp14:textId="77777777">
            <w:pPr>
              <w:spacing w:after="0" w:line="259" w:lineRule="auto"/>
            </w:pPr>
            <w:r>
              <w:rPr>
                <w:color w:val="1A2030"/>
                <w:sz w:val="18"/>
              </w:rPr>
              <w:t>• Intake and classification of LabVantage service requests and incidents</w:t>
            </w:r>
            <w:r>
              <w:rPr>
                <w:color w:val="1A2030"/>
                <w:sz w:val="18"/>
              </w:rPr>
              <w:br/>
            </w:r>
            <w:r>
              <w:rPr>
                <w:color w:val="1A2030"/>
                <w:sz w:val="18"/>
              </w:rPr>
              <w:t>• Extraction and summarization of ticket descriptions, attachments, and user responses</w:t>
            </w:r>
            <w:r>
              <w:rPr>
                <w:color w:val="1A2030"/>
                <w:sz w:val="18"/>
              </w:rPr>
              <w:br/>
            </w:r>
            <w:r>
              <w:rPr>
                <w:color w:val="1A2030"/>
                <w:sz w:val="18"/>
              </w:rPr>
              <w:t>• Identification of missing information and generation of targeted follow-up questions</w:t>
            </w:r>
            <w:r>
              <w:rPr>
                <w:color w:val="1A2030"/>
                <w:sz w:val="18"/>
              </w:rPr>
              <w:br/>
            </w:r>
            <w:r>
              <w:rPr>
                <w:color w:val="1A2030"/>
                <w:sz w:val="18"/>
              </w:rPr>
              <w:t>• Suggested service/category/subcategory, impact, urgency, priority, assignment team, and duplicate/related-ticket linkage</w:t>
            </w:r>
            <w:r>
              <w:rPr>
                <w:color w:val="1A2030"/>
                <w:sz w:val="18"/>
              </w:rPr>
              <w:br/>
            </w:r>
            <w:r>
              <w:rPr>
                <w:color w:val="1A2030"/>
                <w:sz w:val="18"/>
              </w:rPr>
              <w:t>• Search of approved knowledge articles, support documents, known errors, and resolved tickets</w:t>
            </w:r>
            <w:r>
              <w:rPr>
                <w:color w:val="1A2030"/>
                <w:sz w:val="18"/>
              </w:rPr>
              <w:br/>
            </w:r>
            <w:r>
              <w:rPr>
                <w:color w:val="1A2030"/>
                <w:sz w:val="18"/>
              </w:rPr>
              <w:t>• Guided investigation using approved read-only access to LabVantage health information and support logs</w:t>
            </w:r>
            <w:r>
              <w:rPr>
                <w:color w:val="1A2030"/>
                <w:sz w:val="18"/>
              </w:rPr>
              <w:br/>
            </w:r>
            <w:r>
              <w:rPr>
                <w:color w:val="1A2030"/>
                <w:sz w:val="18"/>
              </w:rPr>
              <w:t>• Approved runbook recommendations and low-risk automation only where access, controls, and rollback are defined</w:t>
            </w:r>
            <w:r>
              <w:rPr>
                <w:color w:val="1A2030"/>
                <w:sz w:val="18"/>
              </w:rPr>
              <w:br/>
            </w:r>
            <w:r>
              <w:rPr>
                <w:color w:val="1A2030"/>
                <w:sz w:val="18"/>
              </w:rPr>
              <w:t>• Escalation package for L2/L3/vendor support, including evidence and completed troubleshooting</w:t>
            </w:r>
            <w:r>
              <w:rPr>
                <w:color w:val="1A2030"/>
                <w:sz w:val="18"/>
              </w:rPr>
              <w:br/>
            </w:r>
            <w:r>
              <w:rPr>
                <w:color w:val="1A2030"/>
                <w:sz w:val="18"/>
              </w:rPr>
              <w:t>• Ticket updates, requester communications, resolution documentation, user confirmation, and knowledge capture</w:t>
            </w:r>
          </w:p>
        </w:tc>
      </w:tr>
    </w:tbl>
    <w:p xmlns:wp14="http://schemas.microsoft.com/office/word/2010/wordml" w14:paraId="0E27B00A"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09CF0C28" wp14:textId="77777777">
        <w:tc>
          <w:tcPr>
            <w:tcW w:w="10224" w:type="dxa"/>
            <w:vAlign w:val="center"/>
            <w:tcMar>
              <w:top w:w="100" w:type="dxa"/>
              <w:start w:w="130" w:type="dxa"/>
              <w:bottom w:w="100" w:type="dxa"/>
              <w:end w:w="130" w:type="dxa"/>
            </w:tcMar>
            <w:shd w:fill="F7F9FC"/>
          </w:tcPr>
          <w:p w14:paraId="29188A99" wp14:textId="77777777">
            <w:pPr>
              <w:spacing w:after="60"/>
            </w:pPr>
            <w:r>
              <w:rPr>
                <w:b/>
                <w:color w:val="0D1B2A"/>
                <w:sz w:val="18"/>
              </w:rPr>
              <w:t>Out of Scope</w:t>
            </w:r>
          </w:p>
          <w:p w14:paraId="6BE273CC" wp14:textId="77777777">
            <w:pPr>
              <w:spacing w:after="0" w:line="259" w:lineRule="auto"/>
            </w:pPr>
            <w:r>
              <w:rPr>
                <w:color w:val="1A2030"/>
                <w:sz w:val="18"/>
              </w:rPr>
              <w:t>• LIMS purge, archive, retention, disaster recovery, Databricks pipelines, Qlik, Power BI, or reporting use cases</w:t>
            </w:r>
            <w:r>
              <w:rPr>
                <w:color w:val="1A2030"/>
                <w:sz w:val="18"/>
              </w:rPr>
              <w:br/>
            </w:r>
            <w:r>
              <w:rPr>
                <w:color w:val="1A2030"/>
                <w:sz w:val="18"/>
              </w:rPr>
              <w:t>• Unapproved direct database updates, LabVantage configuration changes, or production changes</w:t>
            </w:r>
            <w:r>
              <w:rPr>
                <w:color w:val="1A2030"/>
                <w:sz w:val="18"/>
              </w:rPr>
              <w:br/>
            </w:r>
            <w:r>
              <w:rPr>
                <w:color w:val="1A2030"/>
                <w:sz w:val="18"/>
              </w:rPr>
              <w:t>• Autonomous handling of P1/P2 or safety, quality, regulatory, security, or broad production-impact cases</w:t>
            </w:r>
            <w:r>
              <w:rPr>
                <w:color w:val="1A2030"/>
                <w:sz w:val="18"/>
              </w:rPr>
              <w:br/>
            </w:r>
            <w:r>
              <w:rPr>
                <w:color w:val="1A2030"/>
                <w:sz w:val="18"/>
              </w:rPr>
              <w:t>• Actions requiring segregation-of-duties approval, formal change control, vendor-only access, or elevated privileges unless explicitly approved</w:t>
            </w:r>
            <w:r>
              <w:rPr>
                <w:color w:val="1A2030"/>
                <w:sz w:val="18"/>
              </w:rPr>
              <w:br/>
            </w:r>
            <w:r>
              <w:rPr>
                <w:color w:val="1A2030"/>
                <w:sz w:val="18"/>
              </w:rPr>
              <w:t>• Replacement of Service Desk, application support, incident command, change management, or vendor accountability</w:t>
            </w:r>
          </w:p>
        </w:tc>
      </w:tr>
    </w:tbl>
    <w:p xmlns:wp14="http://schemas.microsoft.com/office/word/2010/wordml" w14:paraId="60061E4C"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5040"/>
        <w:gridCol w:w="5328"/>
      </w:tblGrid>
      <w:tr xmlns:wp14="http://schemas.microsoft.com/office/word/2010/wordml" w14:paraId="7D84AFE1" wp14:textId="77777777">
        <w:tc>
          <w:tcPr>
            <w:tcW w:w="5112" w:type="dxa"/>
            <w:vAlign w:val="center"/>
            <w:tcMar>
              <w:top w:w="100" w:type="dxa"/>
              <w:start w:w="130" w:type="dxa"/>
              <w:bottom w:w="100" w:type="dxa"/>
              <w:end w:w="130" w:type="dxa"/>
            </w:tcMar>
            <w:shd w:fill="F7F9FC"/>
          </w:tcPr>
          <w:p w14:paraId="275F5DD6" wp14:textId="77777777">
            <w:pPr>
              <w:spacing w:after="60"/>
            </w:pPr>
            <w:r>
              <w:rPr>
                <w:b/>
                <w:color w:val="0D1B2A"/>
                <w:sz w:val="18"/>
              </w:rPr>
              <w:t>Systems / Tools Involved</w:t>
            </w:r>
          </w:p>
          <w:p w14:paraId="0A9C2AF8" wp14:textId="77777777">
            <w:pPr>
              <w:spacing w:after="0" w:line="259" w:lineRule="auto"/>
            </w:pPr>
            <w:r>
              <w:rPr>
                <w:color w:val="1A2030"/>
                <w:sz w:val="18"/>
              </w:rPr>
              <w:t>AAVA; IT service-management/ticketing platform (currently HEAT references); LabVantage; approved application/interface/service logs; knowledge articles and support documentation; identity and notification services as approved.</w:t>
            </w:r>
          </w:p>
        </w:tc>
        <w:tc>
          <w:tcPr>
            <w:tcW w:w="5112" w:type="dxa"/>
            <w:vAlign w:val="center"/>
            <w:tcMar>
              <w:top w:w="100" w:type="dxa"/>
              <w:start w:w="130" w:type="dxa"/>
              <w:bottom w:w="100" w:type="dxa"/>
              <w:end w:w="130" w:type="dxa"/>
            </w:tcMar>
            <w:shd w:fill="F7F9FC"/>
          </w:tcPr>
          <w:p w14:paraId="1E9A35EA" wp14:textId="77777777">
            <w:pPr>
              <w:spacing w:after="60"/>
            </w:pPr>
            <w:r>
              <w:rPr>
                <w:b/>
                <w:color w:val="0D1B2A"/>
                <w:sz w:val="18"/>
              </w:rPr>
              <w:t>Data Sensitivity</w:t>
            </w:r>
          </w:p>
          <w:p w14:paraId="4073DFF7" wp14:textId="77777777">
            <w:pPr>
              <w:spacing w:after="0" w:line="259" w:lineRule="auto"/>
            </w:pPr>
            <w:r>
              <w:rPr>
                <w:color w:val="1A2030"/>
                <w:sz w:val="18"/>
              </w:rPr>
              <w:t>Internal business confidential. Some tickets or attachments may contain user identifiers, laboratory information, or regulated business context; final classification must be confirmed with Security, Privacy, Quality, and application owners.</w:t>
            </w:r>
          </w:p>
        </w:tc>
      </w:tr>
    </w:tbl>
    <w:p xmlns:wp14="http://schemas.microsoft.com/office/word/2010/wordml" w14:paraId="44EAFD9C"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24D30D02" wp14:textId="77777777">
        <w:tc>
          <w:tcPr>
            <w:tcW w:w="10224" w:type="dxa"/>
            <w:vAlign w:val="center"/>
            <w:tcMar>
              <w:top w:w="100" w:type="dxa"/>
              <w:start w:w="130" w:type="dxa"/>
              <w:bottom w:w="100" w:type="dxa"/>
              <w:end w:w="130" w:type="dxa"/>
            </w:tcMar>
            <w:shd w:fill="F7F9FC"/>
          </w:tcPr>
          <w:p w14:paraId="00FB6767" wp14:textId="77777777">
            <w:pPr>
              <w:spacing w:after="60"/>
            </w:pPr>
            <w:r>
              <w:rPr>
                <w:b/>
                <w:color w:val="0D1B2A"/>
                <w:sz w:val="18"/>
              </w:rPr>
              <w:t>Known Constraints or Dependencies</w:t>
            </w:r>
          </w:p>
          <w:p w14:paraId="2206A64C" wp14:textId="77777777">
            <w:pPr>
              <w:spacing w:after="0" w:line="259" w:lineRule="auto"/>
            </w:pPr>
            <w:r>
              <w:rPr>
                <w:color w:val="1A2030"/>
                <w:sz w:val="18"/>
              </w:rPr>
              <w:t>Requires supported AAVA integration methods and approved API/service accounts for the ticketing platform and LabVantage-related sources; read-only access by default; authoritative knowledge content; historical tickets suitable for evaluation; clear ownership and escalation paths; access control and audit logging; masking of sensitive content; human approval gates; defined runbooks, rollback, and change-control boundaries; non-production testing; validation by LabVantage SMEs, Service Desk, Security, Privacy, Quality, and platform owners.</w:t>
            </w:r>
          </w:p>
        </w:tc>
      </w:tr>
    </w:tbl>
    <w:p xmlns:wp14="http://schemas.microsoft.com/office/word/2010/wordml" w14:paraId="4B94D5A5" wp14:textId="77777777">
      <w:pPr>
        <w:spacing w:after="0"/>
      </w:pPr>
    </w:p>
    <w:p xmlns:wp14="http://schemas.microsoft.com/office/word/2010/wordml" w14:paraId="52B39304" wp14:textId="77777777">
      <w:pPr>
        <w:pStyle w:val="Heading1"/>
        <w:keepNext/>
        <w:pBdr>
          <w:bottom w:val="single" w:color="2C7A7B" w:sz="10"/>
        </w:pBdr>
      </w:pPr>
      <w:r>
        <w:t>Urgency &amp; Timeline</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4320"/>
        <w:gridCol w:w="6048"/>
      </w:tblGrid>
      <w:tr xmlns:wp14="http://schemas.microsoft.com/office/word/2010/wordml" w14:paraId="5BA27306" wp14:textId="77777777">
        <w:tc>
          <w:tcPr>
            <w:tcW w:w="5112" w:type="dxa"/>
            <w:vAlign w:val="center"/>
            <w:tcMar>
              <w:top w:w="100" w:type="dxa"/>
              <w:start w:w="130" w:type="dxa"/>
              <w:bottom w:w="100" w:type="dxa"/>
              <w:end w:w="130" w:type="dxa"/>
            </w:tcMar>
            <w:shd w:fill="F7F9FC"/>
          </w:tcPr>
          <w:p w14:paraId="7EFDEEB2" wp14:textId="77777777">
            <w:pPr>
              <w:spacing w:after="60"/>
            </w:pPr>
            <w:r>
              <w:rPr>
                <w:b/>
                <w:color w:val="0D1B2A"/>
                <w:sz w:val="18"/>
              </w:rPr>
              <w:t>Desired Delivery Date</w:t>
            </w:r>
          </w:p>
          <w:p w14:paraId="6C46608B" wp14:textId="77777777">
            <w:pPr>
              <w:spacing w:after="0" w:line="259" w:lineRule="auto"/>
            </w:pPr>
            <w:r>
              <w:rPr>
                <w:color w:val="1A2030"/>
                <w:sz w:val="18"/>
              </w:rPr>
              <w:t>To be agreed after discovery and feasibility assessment.</w:t>
            </w:r>
          </w:p>
        </w:tc>
        <w:tc>
          <w:tcPr>
            <w:tcW w:w="5112" w:type="dxa"/>
            <w:vAlign w:val="center"/>
            <w:tcMar>
              <w:top w:w="100" w:type="dxa"/>
              <w:start w:w="130" w:type="dxa"/>
              <w:bottom w:w="100" w:type="dxa"/>
              <w:end w:w="130" w:type="dxa"/>
            </w:tcMar>
            <w:shd w:fill="F7F9FC"/>
          </w:tcPr>
          <w:p w14:paraId="250200E6" wp14:textId="77777777">
            <w:pPr>
              <w:spacing w:after="60"/>
            </w:pPr>
            <w:r>
              <w:rPr>
                <w:b/>
                <w:color w:val="0D1B2A"/>
                <w:sz w:val="18"/>
              </w:rPr>
              <w:t>Business Driver</w:t>
            </w:r>
          </w:p>
          <w:p w14:paraId="7EC8A6F1" wp14:textId="77777777">
            <w:pPr>
              <w:spacing w:after="0" w:line="259" w:lineRule="auto"/>
            </w:pPr>
            <w:r>
              <w:rPr>
                <w:color w:val="1A2030"/>
                <w:sz w:val="18"/>
              </w:rPr>
              <w:t>Reduce repetitive support effort, improve triage consistency, accelerate resolution, reuse support knowledge, improve requester communication, and provide better evidence for escalations.</w:t>
            </w:r>
          </w:p>
        </w:tc>
      </w:tr>
    </w:tbl>
    <w:p xmlns:wp14="http://schemas.microsoft.com/office/word/2010/wordml" w14:paraId="3DEEC669"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08323CC1" wp14:textId="77777777">
        <w:tc>
          <w:tcPr>
            <w:tcW w:w="10224" w:type="dxa"/>
            <w:vAlign w:val="center"/>
            <w:tcMar>
              <w:top w:w="100" w:type="dxa"/>
              <w:start w:w="130" w:type="dxa"/>
              <w:bottom w:w="100" w:type="dxa"/>
              <w:end w:w="130" w:type="dxa"/>
            </w:tcMar>
            <w:shd w:fill="F7F9FC"/>
          </w:tcPr>
          <w:p w14:paraId="75937AE8" wp14:textId="77777777">
            <w:pPr>
              <w:spacing w:after="60"/>
            </w:pPr>
            <w:r>
              <w:rPr>
                <w:b/>
                <w:color w:val="0D1B2A"/>
                <w:sz w:val="18"/>
              </w:rPr>
              <w:t>Flexibility</w:t>
            </w:r>
          </w:p>
          <w:p w14:paraId="5A3C1A8D" wp14:textId="77777777">
            <w:pPr>
              <w:spacing w:after="0" w:line="259" w:lineRule="auto"/>
            </w:pPr>
            <w:r>
              <w:rPr>
                <w:color w:val="1A2030"/>
                <w:sz w:val="18"/>
              </w:rPr>
              <w:t>Preferred. Business impact increases with continued manual effort, but delivery must follow security, quality, validation, access, and change-control requirements.</w:t>
            </w:r>
          </w:p>
        </w:tc>
      </w:tr>
    </w:tbl>
    <w:p xmlns:wp14="http://schemas.microsoft.com/office/word/2010/wordml" w14:paraId="3656B9AB" wp14:textId="77777777">
      <w:pPr>
        <w:spacing w:after="0"/>
      </w:pPr>
    </w:p>
    <w:p xmlns:wp14="http://schemas.microsoft.com/office/word/2010/wordml" w14:paraId="0016903B" wp14:textId="77777777">
      <w:pPr>
        <w:pStyle w:val="Heading1"/>
        <w:keepNext/>
        <w:pBdr>
          <w:bottom w:val="single" w:color="2C7A7B" w:sz="10"/>
        </w:pBdr>
      </w:pPr>
      <w:r>
        <w:t>Proposed End-to-End Workflow</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6346732C" wp14:textId="77777777">
        <w:tc>
          <w:tcPr>
            <w:tcW w:w="10224" w:type="dxa"/>
            <w:vAlign w:val="center"/>
            <w:tcMar>
              <w:top w:w="100" w:type="dxa"/>
              <w:start w:w="130" w:type="dxa"/>
              <w:bottom w:w="100" w:type="dxa"/>
              <w:end w:w="130" w:type="dxa"/>
            </w:tcMar>
            <w:shd w:fill="F7F9FC"/>
          </w:tcPr>
          <w:p w14:paraId="59612472" wp14:textId="77777777">
            <w:pPr>
              <w:spacing w:after="60"/>
            </w:pPr>
            <w:r>
              <w:rPr>
                <w:b/>
                <w:color w:val="0D1B2A"/>
                <w:sz w:val="18"/>
              </w:rPr>
              <w:t>Workflow</w:t>
            </w:r>
          </w:p>
          <w:p w14:paraId="1003AC2E" wp14:textId="77777777">
            <w:pPr>
              <w:spacing w:after="0" w:line="259" w:lineRule="auto"/>
            </w:pPr>
            <w:r>
              <w:rPr>
                <w:color w:val="1A2030"/>
                <w:sz w:val="18"/>
              </w:rPr>
              <w:t>1. Ticket intake: Receive the LabVantage SR or incident and capture requester, environment, symptom/request, impact, urgency, timestamps, error text, and attachments.</w:t>
            </w:r>
            <w:r>
              <w:rPr>
                <w:color w:val="1A2030"/>
                <w:sz w:val="18"/>
              </w:rPr>
              <w:br/>
            </w:r>
            <w:r>
              <w:rPr>
                <w:color w:val="1A2030"/>
                <w:sz w:val="18"/>
              </w:rPr>
              <w:t>2. Classify and enrich: Determine SR versus incident, detect duplicates, recommend categorization/priority/assignment, summarize the issue, and identify missing details.</w:t>
            </w:r>
            <w:r>
              <w:rPr>
                <w:color w:val="1A2030"/>
                <w:sz w:val="18"/>
              </w:rPr>
              <w:br/>
            </w:r>
            <w:r>
              <w:rPr>
                <w:color w:val="1A2030"/>
                <w:sz w:val="18"/>
              </w:rPr>
              <w:t>3. Acknowledge and clarify: Update the ticket, send an acknowledgement, and request only the additional information needed for investigation or fulfillment.</w:t>
            </w:r>
            <w:r>
              <w:rPr>
                <w:color w:val="1A2030"/>
                <w:sz w:val="18"/>
              </w:rPr>
              <w:br/>
            </w:r>
            <w:r>
              <w:rPr>
                <w:color w:val="1A2030"/>
                <w:sz w:val="18"/>
              </w:rPr>
              <w:t>4. Retrieve context: Search approved knowledge articles, support documents, historical resolutions, known errors, and linked problem/change/vendor records.</w:t>
            </w:r>
            <w:r>
              <w:rPr>
                <w:color w:val="1A2030"/>
                <w:sz w:val="18"/>
              </w:rPr>
              <w:br/>
            </w:r>
            <w:r>
              <w:rPr>
                <w:color w:val="1A2030"/>
                <w:sz w:val="18"/>
              </w:rPr>
              <w:t>5. Investigate safely: Run approved read-only checks against relevant LabVantage health information, logs, interfaces, services, connectivity, permissions, workflow state, and recent related events.</w:t>
            </w:r>
            <w:r>
              <w:rPr>
                <w:color w:val="1A2030"/>
                <w:sz w:val="18"/>
              </w:rPr>
              <w:br/>
            </w:r>
            <w:r>
              <w:rPr>
                <w:color w:val="1A2030"/>
                <w:sz w:val="18"/>
              </w:rPr>
              <w:t>6. Diagnose and decide: Correlate evidence, provide a confidence level, and choose an approved path: guided fulfillment, approved auto-remediation, analyst-assisted remediation, change-controlled fix, or escalation.</w:t>
            </w:r>
            <w:r>
              <w:rPr>
                <w:color w:val="1A2030"/>
                <w:sz w:val="18"/>
              </w:rPr>
              <w:br/>
            </w:r>
            <w:r>
              <w:rPr>
                <w:color w:val="1A2030"/>
                <w:sz w:val="18"/>
              </w:rPr>
              <w:t>7. Approve and execute: Obtain required human approval before controlled actions. Execute only allow-listed runbooks with identity checks, audit logging, pre-checks, rollback, and stop conditions.</w:t>
            </w:r>
            <w:r>
              <w:rPr>
                <w:color w:val="1A2030"/>
                <w:sz w:val="18"/>
              </w:rPr>
              <w:br/>
            </w:r>
            <w:r>
              <w:rPr>
                <w:color w:val="1A2030"/>
                <w:sz w:val="18"/>
              </w:rPr>
              <w:t>8. Validate: Repeat health checks, confirm expected LabVantage behavior, verify no wider impact, and request user confirmation when appropriate.</w:t>
            </w:r>
            <w:r>
              <w:rPr>
                <w:color w:val="1A2030"/>
                <w:sz w:val="18"/>
              </w:rPr>
              <w:br/>
            </w:r>
            <w:r>
              <w:rPr>
                <w:color w:val="1A2030"/>
                <w:sz w:val="18"/>
              </w:rPr>
              <w:t>9. Resolve or fulfill: Record troubleshooting, actions, time spent, cause/resolution code, evidence, and user-facing resolution. Move the ticket to the correct fulfilled/resolved status.</w:t>
            </w:r>
            <w:r>
              <w:rPr>
                <w:color w:val="1A2030"/>
                <w:sz w:val="18"/>
              </w:rPr>
              <w:br/>
            </w:r>
            <w:r>
              <w:rPr>
                <w:color w:val="1A2030"/>
                <w:sz w:val="18"/>
              </w:rPr>
              <w:t>10. Close and learn: Follow the ticketing system closure rules, monitor reopen signals, link or draft knowledge content, and feed approved resolution patterns into future AAVA recommendations.</w:t>
            </w:r>
          </w:p>
        </w:tc>
      </w:tr>
    </w:tbl>
    <w:p xmlns:wp14="http://schemas.microsoft.com/office/word/2010/wordml" w14:paraId="45FB0818" wp14:textId="77777777">
      <w:pPr>
        <w:spacing w:after="0"/>
      </w:pPr>
    </w:p>
    <w:p xmlns:wp14="http://schemas.microsoft.com/office/word/2010/wordml" w14:paraId="6643778D" wp14:textId="77777777">
      <w:pPr>
        <w:pStyle w:val="Heading1"/>
        <w:keepNext/>
        <w:pBdr>
          <w:bottom w:val="single" w:color="2C7A7B" w:sz="10"/>
        </w:pBdr>
      </w:pPr>
      <w:r>
        <w:t>Supporting Information</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644D2EAD" wp14:textId="77777777">
        <w:tc>
          <w:tcPr>
            <w:tcW w:w="10224" w:type="dxa"/>
            <w:vAlign w:val="center"/>
            <w:tcMar>
              <w:top w:w="100" w:type="dxa"/>
              <w:start w:w="130" w:type="dxa"/>
              <w:bottom w:w="100" w:type="dxa"/>
              <w:end w:w="130" w:type="dxa"/>
            </w:tcMar>
            <w:shd w:fill="F7F9FC"/>
          </w:tcPr>
          <w:p w14:paraId="46EA1B27" wp14:textId="77777777">
            <w:pPr>
              <w:spacing w:after="60"/>
            </w:pPr>
            <w:r>
              <w:rPr>
                <w:b/>
                <w:color w:val="0D1B2A"/>
                <w:sz w:val="18"/>
              </w:rPr>
              <w:t>Attachments / References</w:t>
            </w:r>
          </w:p>
          <w:p w14:paraId="74E7F346" wp14:textId="77777777">
            <w:pPr>
              <w:spacing w:after="0" w:line="259" w:lineRule="auto"/>
            </w:pPr>
            <w:r>
              <w:rPr>
                <w:color w:val="1A2030"/>
                <w:sz w:val="18"/>
              </w:rPr>
              <w:t>• Use Case Intake template</w:t>
            </w:r>
            <w:r>
              <w:rPr>
                <w:color w:val="1A2030"/>
                <w:sz w:val="18"/>
              </w:rPr>
              <w:br/>
            </w:r>
            <w:r>
              <w:rPr>
                <w:color w:val="1A2030"/>
                <w:sz w:val="18"/>
              </w:rPr>
              <w:t>• HEAT Incident Help Desk User Guide</w:t>
            </w:r>
            <w:r>
              <w:rPr>
                <w:color w:val="1A2030"/>
                <w:sz w:val="18"/>
              </w:rPr>
              <w:br/>
            </w:r>
            <w:r>
              <w:rPr>
                <w:color w:val="1A2030"/>
                <w:sz w:val="18"/>
              </w:rPr>
              <w:t>• HEAT Service Catalog &amp; Service Requests User Guide</w:t>
            </w:r>
            <w:r>
              <w:rPr>
                <w:color w:val="1A2030"/>
                <w:sz w:val="18"/>
              </w:rPr>
              <w:br/>
            </w:r>
            <w:r>
              <w:rPr>
                <w:color w:val="1A2030"/>
                <w:sz w:val="18"/>
              </w:rPr>
              <w:t>• Existing LabVantage support documentation and known-issue records</w:t>
            </w:r>
            <w:r>
              <w:rPr>
                <w:color w:val="1A2030"/>
                <w:sz w:val="18"/>
              </w:rPr>
              <w:br/>
            </w:r>
            <w:r>
              <w:rPr>
                <w:color w:val="1A2030"/>
                <w:sz w:val="18"/>
              </w:rPr>
              <w:t>• Representative sanitized LabVantage SR and incident samples</w:t>
            </w:r>
            <w:r>
              <w:rPr>
                <w:color w:val="1A2030"/>
                <w:sz w:val="18"/>
              </w:rPr>
              <w:br/>
            </w:r>
            <w:r>
              <w:rPr>
                <w:color w:val="1A2030"/>
                <w:sz w:val="18"/>
              </w:rPr>
              <w:t>• Approved diagnostic runbooks and escalation matrix</w:t>
            </w:r>
          </w:p>
        </w:tc>
      </w:tr>
    </w:tbl>
    <w:p xmlns:wp14="http://schemas.microsoft.com/office/word/2010/wordml" w14:paraId="049F31CB"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10753C28" wp14:textId="77777777">
        <w:tc>
          <w:tcPr>
            <w:tcW w:w="10224" w:type="dxa"/>
            <w:vAlign w:val="center"/>
            <w:tcMar>
              <w:top w:w="100" w:type="dxa"/>
              <w:start w:w="130" w:type="dxa"/>
              <w:bottom w:w="100" w:type="dxa"/>
              <w:end w:w="130" w:type="dxa"/>
            </w:tcMar>
            <w:shd w:fill="F7F9FC"/>
          </w:tcPr>
          <w:p w14:paraId="1A0AA9AB" wp14:textId="77777777">
            <w:pPr>
              <w:spacing w:after="60"/>
            </w:pPr>
            <w:r>
              <w:rPr>
                <w:b/>
                <w:color w:val="0D1B2A"/>
                <w:sz w:val="18"/>
              </w:rPr>
              <w:t>Point of Contact for Deliberation *</w:t>
            </w:r>
          </w:p>
          <w:p w14:paraId="0FB5E621" wp14:textId="77777777">
            <w:pPr>
              <w:spacing w:after="0" w:line="259" w:lineRule="auto"/>
            </w:pPr>
            <w:r>
              <w:rPr>
                <w:color w:val="1A2030"/>
                <w:sz w:val="18"/>
              </w:rPr>
              <w:t>Ravitheja Pannem [Contractor] | Ascendion - Data Engineer [C] | Microsoft Teams / organizational email</w:t>
            </w:r>
          </w:p>
        </w:tc>
      </w:tr>
    </w:tbl>
    <w:p xmlns:wp14="http://schemas.microsoft.com/office/word/2010/wordml" w14:paraId="53128261"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2F068DD4" wp14:textId="77777777">
        <w:tc>
          <w:tcPr>
            <w:tcW w:w="10224" w:type="dxa"/>
            <w:vAlign w:val="center"/>
            <w:tcMar>
              <w:top w:w="100" w:type="dxa"/>
              <w:start w:w="130" w:type="dxa"/>
              <w:bottom w:w="100" w:type="dxa"/>
              <w:end w:w="130" w:type="dxa"/>
            </w:tcMar>
            <w:shd w:fill="F7F9FC"/>
          </w:tcPr>
          <w:p w14:paraId="109C85E6" wp14:textId="77777777">
            <w:pPr>
              <w:spacing w:after="60"/>
            </w:pPr>
            <w:r>
              <w:rPr>
                <w:b/>
                <w:color w:val="0D1B2A"/>
                <w:sz w:val="18"/>
              </w:rPr>
              <w:t>Additional Notes</w:t>
            </w:r>
          </w:p>
          <w:p w14:paraId="6C682ECB" wp14:textId="77777777">
            <w:pPr>
              <w:spacing w:after="0" w:line="259" w:lineRule="auto"/>
            </w:pPr>
            <w:r>
              <w:rPr>
                <w:color w:val="1A2030"/>
                <w:sz w:val="18"/>
              </w:rPr>
              <w:t>Start with a constrained “recommend and assist” pilot using historical and non-production data. Initial automation should focus on high-volume, repeatable, low-risk scenarios with clear runbooks. Production actions should remain disabled until access, approvals, validation evidence, rollback, auditing, and operational ownership are formally accepted. This submission intentionally excludes all LIMS purge and archive activities.</w:t>
            </w:r>
          </w:p>
        </w:tc>
      </w:tr>
    </w:tbl>
    <w:p xmlns:wp14="http://schemas.microsoft.com/office/word/2010/wordml" w14:paraId="62486C05" wp14:textId="77777777">
      <w:pPr>
        <w:spacing w:after="0"/>
      </w:pPr>
    </w:p>
    <w:p xmlns:wp14="http://schemas.microsoft.com/office/word/2010/wordml" w14:paraId="04A4E545" wp14:textId="77777777">
      <w:pPr>
        <w:pStyle w:val="Heading1"/>
        <w:keepNext/>
        <w:pBdr>
          <w:bottom w:val="single" w:color="2C7A7B" w:sz="10"/>
        </w:pBdr>
      </w:pPr>
      <w:r>
        <w:t>Agentic Team Use — internal, do not complete</w:t>
      </w: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2592"/>
        <w:gridCol w:w="2592"/>
        <w:gridCol w:w="2592"/>
        <w:gridCol w:w="2592"/>
      </w:tblGrid>
      <w:tr xmlns:wp14="http://schemas.microsoft.com/office/word/2010/wordml" w14:paraId="331E9478" wp14:textId="77777777">
        <w:tc>
          <w:tcPr>
            <w:tcW w:w="2556" w:type="dxa"/>
            <w:vAlign w:val="center"/>
            <w:tcMar>
              <w:top w:w="100" w:type="dxa"/>
              <w:start w:w="130" w:type="dxa"/>
              <w:bottom w:w="100" w:type="dxa"/>
              <w:end w:w="130" w:type="dxa"/>
            </w:tcMar>
            <w:shd w:fill="F7F9FC"/>
          </w:tcPr>
          <w:p w14:paraId="4D925F06" wp14:textId="77777777">
            <w:pPr>
              <w:spacing w:after="60"/>
            </w:pPr>
            <w:r>
              <w:rPr>
                <w:b/>
                <w:color w:val="0D1B2A"/>
                <w:sz w:val="18"/>
              </w:rPr>
              <w:t>Roadmap Priority</w:t>
            </w:r>
          </w:p>
          <w:p w14:paraId="4101652C" wp14:textId="77777777">
            <w:pPr>
              <w:spacing w:after="0" w:line="259" w:lineRule="auto"/>
            </w:pPr>
            <w:r>
              <w:rPr>
                <w:color w:val="1A2030"/>
                <w:sz w:val="18"/>
              </w:rPr>
            </w:r>
          </w:p>
        </w:tc>
        <w:tc>
          <w:tcPr>
            <w:tcW w:w="2556" w:type="dxa"/>
            <w:vAlign w:val="center"/>
            <w:tcMar>
              <w:top w:w="100" w:type="dxa"/>
              <w:start w:w="130" w:type="dxa"/>
              <w:bottom w:w="100" w:type="dxa"/>
              <w:end w:w="130" w:type="dxa"/>
            </w:tcMar>
            <w:shd w:fill="F7F9FC"/>
          </w:tcPr>
          <w:p w14:paraId="18BB173C" wp14:textId="77777777">
            <w:pPr>
              <w:spacing w:after="60"/>
            </w:pPr>
            <w:r>
              <w:rPr>
                <w:b/>
                <w:color w:val="0D1B2A"/>
                <w:sz w:val="18"/>
              </w:rPr>
              <w:t>Allocated Engineer</w:t>
            </w:r>
          </w:p>
          <w:p w14:paraId="4B99056E" wp14:textId="77777777">
            <w:pPr>
              <w:spacing w:after="0" w:line="259" w:lineRule="auto"/>
            </w:pPr>
            <w:r>
              <w:rPr>
                <w:color w:val="1A2030"/>
                <w:sz w:val="18"/>
              </w:rPr>
            </w:r>
          </w:p>
        </w:tc>
        <w:tc>
          <w:tcPr>
            <w:tcW w:w="2556" w:type="dxa"/>
            <w:vAlign w:val="center"/>
            <w:tcMar>
              <w:top w:w="100" w:type="dxa"/>
              <w:start w:w="130" w:type="dxa"/>
              <w:bottom w:w="100" w:type="dxa"/>
              <w:end w:w="130" w:type="dxa"/>
            </w:tcMar>
            <w:shd w:fill="F7F9FC"/>
          </w:tcPr>
          <w:p w14:paraId="1B7297EA" wp14:textId="77777777">
            <w:pPr>
              <w:spacing w:after="60"/>
            </w:pPr>
            <w:r>
              <w:rPr>
                <w:b/>
                <w:color w:val="0D1B2A"/>
                <w:sz w:val="18"/>
              </w:rPr>
              <w:t>Estimated Effort</w:t>
            </w:r>
          </w:p>
          <w:p w14:paraId="7DFA8D73" wp14:textId="77777777">
            <w:pPr>
              <w:spacing w:after="0" w:line="259" w:lineRule="auto"/>
            </w:pPr>
            <w:r>
              <w:rPr>
                <w:color w:val="1A2030"/>
                <w:sz w:val="18"/>
              </w:rPr>
              <w:t>S / M / L / XL</w:t>
            </w:r>
          </w:p>
        </w:tc>
        <w:tc>
          <w:tcPr>
            <w:tcW w:w="2556" w:type="dxa"/>
            <w:vAlign w:val="center"/>
            <w:tcMar>
              <w:top w:w="100" w:type="dxa"/>
              <w:start w:w="130" w:type="dxa"/>
              <w:bottom w:w="100" w:type="dxa"/>
              <w:end w:w="130" w:type="dxa"/>
            </w:tcMar>
            <w:shd w:fill="F7F9FC"/>
          </w:tcPr>
          <w:p w14:paraId="1782A957" wp14:textId="77777777">
            <w:pPr>
              <w:spacing w:after="60"/>
            </w:pPr>
            <w:r>
              <w:rPr>
                <w:b/>
                <w:color w:val="0D1B2A"/>
                <w:sz w:val="18"/>
              </w:rPr>
              <w:t>Target Sprint / Cycle</w:t>
            </w:r>
          </w:p>
          <w:p w14:paraId="1299C43A" wp14:textId="77777777">
            <w:pPr>
              <w:spacing w:after="0" w:line="259" w:lineRule="auto"/>
            </w:pPr>
            <w:r>
              <w:rPr>
                <w:color w:val="1A2030"/>
                <w:sz w:val="18"/>
              </w:rPr>
            </w:r>
          </w:p>
        </w:tc>
      </w:tr>
    </w:tbl>
    <w:p xmlns:wp14="http://schemas.microsoft.com/office/word/2010/wordml" w14:paraId="4DDBEF00" wp14:textId="77777777">
      <w:pPr>
        <w:spacing w:after="0"/>
      </w:pPr>
    </w:p>
    <w:tbl>
      <w:tblPr>
        <w:tblW w:w="0" w:type="auto"/>
        <w:jc w:val="center"/>
        <w:tblLayout w:type="fixed"/>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2880"/>
        <w:gridCol w:w="7488"/>
      </w:tblGrid>
      <w:tr xmlns:wp14="http://schemas.microsoft.com/office/word/2010/wordml" w14:paraId="12A0C61B" wp14:textId="77777777">
        <w:tc>
          <w:tcPr>
            <w:tcW w:w="5112" w:type="dxa"/>
            <w:vAlign w:val="center"/>
            <w:tcMar>
              <w:top w:w="100" w:type="dxa"/>
              <w:start w:w="130" w:type="dxa"/>
              <w:bottom w:w="100" w:type="dxa"/>
              <w:end w:w="130" w:type="dxa"/>
            </w:tcMar>
            <w:shd w:fill="F7F9FC"/>
          </w:tcPr>
          <w:p w14:paraId="1B9FBFDD" wp14:textId="77777777">
            <w:pPr>
              <w:spacing w:after="60"/>
            </w:pPr>
            <w:r>
              <w:rPr>
                <w:b/>
                <w:color w:val="0D1B2A"/>
                <w:sz w:val="18"/>
              </w:rPr>
              <w:t>Status</w:t>
            </w:r>
          </w:p>
          <w:p w14:paraId="3461D779" wp14:textId="77777777">
            <w:pPr>
              <w:spacing w:after="0" w:line="259" w:lineRule="auto"/>
            </w:pPr>
            <w:r>
              <w:rPr>
                <w:color w:val="1A2030"/>
                <w:sz w:val="18"/>
              </w:rPr>
            </w:r>
          </w:p>
        </w:tc>
        <w:tc>
          <w:tcPr>
            <w:tcW w:w="5112" w:type="dxa"/>
            <w:vAlign w:val="center"/>
            <w:tcMar>
              <w:top w:w="100" w:type="dxa"/>
              <w:start w:w="130" w:type="dxa"/>
              <w:bottom w:w="100" w:type="dxa"/>
              <w:end w:w="130" w:type="dxa"/>
            </w:tcMar>
            <w:shd w:fill="F7F9FC"/>
          </w:tcPr>
          <w:p w14:paraId="110B277B" wp14:textId="77777777">
            <w:pPr>
              <w:spacing w:after="60"/>
            </w:pPr>
            <w:r>
              <w:rPr>
                <w:b/>
                <w:color w:val="0D1B2A"/>
                <w:sz w:val="18"/>
              </w:rPr>
              <w:t>Workflow Position</w:t>
            </w:r>
          </w:p>
          <w:p w14:paraId="4BF4EFD5" wp14:textId="77777777">
            <w:pPr>
              <w:spacing w:after="0" w:line="259" w:lineRule="auto"/>
            </w:pPr>
            <w:r>
              <w:rPr>
                <w:color w:val="1A2030"/>
                <w:sz w:val="18"/>
              </w:rPr>
              <w:t>Submitted → Under Assessment → Prioritised → In Deliberation → In Design → In Development → In Evaluation → In Staging → Deployed | Rejected</w:t>
            </w:r>
          </w:p>
        </w:tc>
      </w:tr>
    </w:tbl>
    <w:p xmlns:wp14="http://schemas.microsoft.com/office/word/2010/wordml" w14:paraId="3CF2D8B6" wp14:textId="77777777">
      <w:pPr>
        <w:spacing w:after="0"/>
      </w:pPr>
    </w:p>
    <w:p xmlns:wp14="http://schemas.microsoft.com/office/word/2010/wordml" w14:paraId="01A6F5A6" wp14:textId="77777777">
      <w:pPr>
        <w:pStyle w:val="Heading1"/>
        <w:keepNext/>
        <w:pBdr>
          <w:bottom w:val="single" w:color="2C7A7B" w:sz="10"/>
        </w:pBdr>
      </w:pPr>
      <w:r>
        <w:t>Submission Checklist</w:t>
      </w:r>
    </w:p>
    <w:tbl>
      <w:tblPr>
        <w:tblW w:w="0" w:type="auto"/>
        <w:jc w:val="center"/>
        <w:tblLook w:val="04A0" w:firstRow="1" w:lastRow="0" w:firstColumn="1" w:lastColumn="0" w:noHBand="0" w:noVBand="1"/>
        <w:tblBorders>
          <w:top w:val="single" w:color="D7DEE7" w:sz="6"/>
          <w:left w:val="single" w:color="D7DEE7" w:sz="6"/>
          <w:bottom w:val="single" w:color="D7DEE7" w:sz="6"/>
          <w:right w:val="single" w:color="D7DEE7" w:sz="6"/>
          <w:insideH w:val="single" w:color="D7DEE7" w:sz="6"/>
          <w:insideV w:val="single" w:color="D7DEE7" w:sz="6"/>
        </w:tblBorders>
      </w:tblPr>
      <w:tblGrid>
        <w:gridCol w:w="10224"/>
      </w:tblGrid>
      <w:tr xmlns:wp14="http://schemas.microsoft.com/office/word/2010/wordml" w14:paraId="6809793B" wp14:textId="77777777">
        <w:tc>
          <w:tcPr>
            <w:tcW w:w="10224" w:type="dxa"/>
            <w:tcMar>
              <w:top w:w="80" w:type="dxa"/>
              <w:start w:w="130" w:type="dxa"/>
              <w:bottom w:w="80" w:type="dxa"/>
              <w:end w:w="130" w:type="dxa"/>
            </w:tcMar>
            <w:shd w:fill="F7F9FC"/>
            <w:vAlign w:val="center"/>
          </w:tcPr>
          <w:p w14:paraId="4C581273" wp14:textId="77777777">
            <w:pPr>
              <w:spacing w:after="0"/>
            </w:pPr>
            <w:r>
              <w:t>☒ Problem statement clearly describes the pain point and current state</w:t>
            </w:r>
          </w:p>
        </w:tc>
      </w:tr>
      <w:tr xmlns:wp14="http://schemas.microsoft.com/office/word/2010/wordml" w14:paraId="0EAC9B43" wp14:textId="77777777">
        <w:tc>
          <w:tcPr>
            <w:tcW w:w="10224" w:type="dxa"/>
            <w:tcMar>
              <w:top w:w="80" w:type="dxa"/>
              <w:start w:w="130" w:type="dxa"/>
              <w:bottom w:w="80" w:type="dxa"/>
              <w:end w:w="130" w:type="dxa"/>
            </w:tcMar>
            <w:shd w:fill="FFFFFF"/>
            <w:vAlign w:val="center"/>
          </w:tcPr>
          <w:p w14:paraId="575007AF" wp14:textId="77777777">
            <w:pPr>
              <w:spacing w:after="0"/>
            </w:pPr>
            <w:r>
              <w:t>☒ Expected outcome describes success, not only implementation</w:t>
            </w:r>
          </w:p>
        </w:tc>
      </w:tr>
      <w:tr xmlns:wp14="http://schemas.microsoft.com/office/word/2010/wordml" w14:paraId="3D6C9B14" wp14:textId="77777777">
        <w:tc>
          <w:tcPr>
            <w:tcW w:w="10224" w:type="dxa"/>
            <w:tcMar>
              <w:top w:w="80" w:type="dxa"/>
              <w:start w:w="130" w:type="dxa"/>
              <w:bottom w:w="80" w:type="dxa"/>
              <w:end w:w="130" w:type="dxa"/>
            </w:tcMar>
            <w:shd w:fill="F7F9FC"/>
            <w:vAlign w:val="center"/>
          </w:tcPr>
          <w:p w14:paraId="4735C2FE" wp14:textId="77777777">
            <w:pPr>
              <w:spacing w:after="0"/>
            </w:pPr>
            <w:r>
              <w:t>☒ In-scope and out-of-scope are clearly defined</w:t>
            </w:r>
          </w:p>
        </w:tc>
      </w:tr>
      <w:tr xmlns:wp14="http://schemas.microsoft.com/office/word/2010/wordml" w14:paraId="2231C9DD" wp14:textId="77777777">
        <w:tc>
          <w:tcPr>
            <w:tcW w:w="10224" w:type="dxa"/>
            <w:tcMar>
              <w:top w:w="80" w:type="dxa"/>
              <w:start w:w="130" w:type="dxa"/>
              <w:bottom w:w="80" w:type="dxa"/>
              <w:end w:w="130" w:type="dxa"/>
            </w:tcMar>
            <w:shd w:fill="FFFFFF"/>
            <w:vAlign w:val="center"/>
          </w:tcPr>
          <w:p w14:paraId="1E055569" wp14:textId="77777777">
            <w:pPr>
              <w:spacing w:after="0"/>
            </w:pPr>
            <w:r>
              <w:t>☒ Point of contact for deliberation is identified</w:t>
            </w:r>
          </w:p>
        </w:tc>
      </w:tr>
      <w:tr xmlns:wp14="http://schemas.microsoft.com/office/word/2010/wordml" w14:paraId="1A8A4C27" wp14:textId="77777777">
        <w:tc>
          <w:tcPr>
            <w:tcW w:w="10224" w:type="dxa"/>
            <w:tcMar>
              <w:top w:w="80" w:type="dxa"/>
              <w:start w:w="130" w:type="dxa"/>
              <w:bottom w:w="80" w:type="dxa"/>
              <w:end w:w="130" w:type="dxa"/>
            </w:tcMar>
            <w:shd w:fill="F7F9FC"/>
            <w:vAlign w:val="center"/>
          </w:tcPr>
          <w:p w14:paraId="370FA7A5" wp14:textId="77777777">
            <w:pPr>
              <w:spacing w:after="0"/>
            </w:pPr>
            <w:r>
              <w:t>☐ Data sensitivity classification to be validated with control owners</w:t>
            </w:r>
          </w:p>
        </w:tc>
      </w:tr>
      <w:tr xmlns:wp14="http://schemas.microsoft.com/office/word/2010/wordml" w14:paraId="540D1C59" wp14:textId="77777777">
        <w:tc>
          <w:tcPr>
            <w:tcW w:w="10224" w:type="dxa"/>
            <w:tcMar>
              <w:top w:w="80" w:type="dxa"/>
              <w:start w:w="130" w:type="dxa"/>
              <w:bottom w:w="80" w:type="dxa"/>
              <w:end w:w="130" w:type="dxa"/>
            </w:tcMar>
            <w:shd w:fill="FFFFFF"/>
            <w:vAlign w:val="center"/>
          </w:tcPr>
          <w:p w14:paraId="448C4812" wp14:textId="77777777">
            <w:pPr>
              <w:spacing w:after="0"/>
            </w:pPr>
            <w:r>
              <w:t>☐ Supporting sample tickets, runbooks, and links to be attached</w:t>
            </w:r>
          </w:p>
        </w:tc>
      </w:tr>
      <w:tr xmlns:wp14="http://schemas.microsoft.com/office/word/2010/wordml" w14:paraId="2F9761BE" wp14:textId="77777777">
        <w:tc>
          <w:tcPr>
            <w:tcW w:w="10224" w:type="dxa"/>
            <w:tcMar>
              <w:top w:w="80" w:type="dxa"/>
              <w:start w:w="130" w:type="dxa"/>
              <w:bottom w:w="80" w:type="dxa"/>
              <w:end w:w="130" w:type="dxa"/>
            </w:tcMar>
            <w:shd w:fill="F7F9FC"/>
            <w:vAlign w:val="center"/>
          </w:tcPr>
          <w:p w14:paraId="044BECF3" wp14:textId="77777777">
            <w:pPr>
              <w:spacing w:after="0"/>
            </w:pPr>
            <w:r>
              <w:t>☐ Tower lead review and approval required before submission</w:t>
            </w:r>
          </w:p>
        </w:tc>
      </w:tr>
    </w:tbl>
    <w:sectPr w:rsidRPr="0006063C" w:rsidR="00FC693F" w:rsidSect="00034616">
      <w:footerReference w:type="default" r:id="rId9"/>
      <w:pgSz w:w="12240" w:h="15840" w:orient="portrait"/>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B0C2197" wp14:textId="77777777">
    <w:pPr>
      <w:pStyle w:val="Footer"/>
      <w:jc w:val="center"/>
    </w:pPr>
    <w:r>
      <w:rPr>
        <w:color w:val="5A6A7A"/>
        <w:sz w:val="16"/>
      </w:rPr>
      <w:t>Project: SFI-AGENTIC  |  Issue type: Use Case Request  |  LabVantage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5F2A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14C345D-4834-48DF-B1BC-9E1E241DB0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pPr>
    <w:rPr>
      <w:rFonts w:ascii="Aptos" w:hAnsi="Aptos"/>
      <w:color w:val="1A20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Aptos Display" w:hAnsi="Aptos Display" w:asciiTheme="majorHAnsi" w:hAnsiTheme="majorHAnsi" w:eastAsiaTheme="majorEastAsia" w:cstheme="majorBidi"/>
      <w:b/>
      <w:bCs/>
      <w:color w:val="0D1B2A"/>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ptos Display" w:hAnsi="Aptos Display" w:asciiTheme="majorHAnsi" w:hAnsiTheme="majorHAnsi" w:eastAsiaTheme="majorEastAsia" w:cstheme="majorBidi"/>
      <w:b/>
      <w:bCs/>
      <w:color w:val="0D1B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80" w:after="100" w:line="240" w:lineRule="auto"/>
      <w:contextualSpacing/>
    </w:pPr>
    <w:rPr>
      <w:rFonts w:ascii="Aptos Display" w:hAnsi="Aptos Display" w:asciiTheme="majorHAnsi" w:hAnsiTheme="majorHAnsi" w:eastAsiaTheme="majorEastAsia" w:cstheme="majorBidi"/>
      <w:b/>
      <w:color w:val="0D1B2A"/>
      <w:spacing w:val="5"/>
      <w:kern w:val="28"/>
      <w:sz w:val="4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213dea7-3bbb-4fbd-9adc-c1970f8545e3}" enabled="1" method="Standard" siteId="{9ec5e722-30c0-4704-b8e1-251aa315c95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AAVA-Powered LabVantage Service Request and Incident Resolution</dc:title>
  <dc:subject>SFI Agentic Use Case Intake</dc:subject>
  <dc:creator>Ravitheja Pannem [Contractor]</dc:creator>
  <keywords/>
  <dc:description>generated by python-docx</dc:description>
  <lastModifiedBy>Ravitheja Pannem [Contractor]</lastModifiedBy>
  <revision>2</revision>
  <dcterms:created xsi:type="dcterms:W3CDTF">2026-09-15T12:10:46.4027516Z</dcterms:created>
  <dcterms:modified xsi:type="dcterms:W3CDTF">2026-09-15T12:14:01.8560496Z</dcterms:modified>
  <category/>
</coreProperties>
</file>