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财务人员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财政收入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张海涛 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2015.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 财务人员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ind w:firstLine="240" w:firstLineChars="10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财务人员想要查看公司的收入情况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财务人员已被识别和授权，各地营业厅将收入情况正确的录入系统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生成选定时间的财务报表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财务人员对系统对发出营业额查看要求，并选择需要查看的时间段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   系统根据财务人员的查看需求，返回相应的营业信息，并支持信息的导出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5" w:hRule="atLeast"/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人员ID对应权限不够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1.  系统拒绝访问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2a.  在各地营业厅未完成当天的营业额统计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财务人员查看的信息并不包括当天的信息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3a.分时查看是，选择时间越界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  1.选取该时间限度的最大子集显示</w:t>
            </w:r>
            <w:bookmarkStart w:id="0" w:name="_GoBack"/>
            <w:bookmarkEnd w:id="0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系统显示的信息要在1米之外能看清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对表格信息提供打印选项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025AC"/>
    <w:rsid w:val="0014141A"/>
    <w:rsid w:val="009025AC"/>
    <w:rsid w:val="021A01FC"/>
    <w:rsid w:val="6D587A3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52</Words>
  <Characters>302</Characters>
  <Lines>2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2015-09-30T08:30:00Z</dcterms:created>
  <dc:creator>张文玘</dc:creator>
  <cp:lastModifiedBy>ht</cp:lastModifiedBy>
  <dcterms:modified xsi:type="dcterms:W3CDTF">2015-10-11T09:04:34Z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