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36B32" w14:textId="77777777" w:rsidR="00930E6A" w:rsidRPr="00072F8E" w:rsidRDefault="00F2464B">
      <w:pPr>
        <w:pStyle w:val="Heading1"/>
        <w:rPr>
          <w:rFonts w:ascii="Georgia" w:hAnsi="Georgia"/>
          <w:color w:val="auto"/>
        </w:rPr>
      </w:pPr>
      <w:bookmarkStart w:id="0" w:name="c-h-a-p-t-e-r-3"/>
      <w:r w:rsidRPr="00072F8E">
        <w:rPr>
          <w:rFonts w:ascii="Georgia" w:hAnsi="Georgia"/>
          <w:color w:val="auto"/>
        </w:rPr>
        <w:t xml:space="preserve">C H A P T E R   </w:t>
      </w:r>
      <w:r w:rsidRPr="00072F8E">
        <w:rPr>
          <w:rFonts w:ascii="Georgia" w:hAnsi="Georgia"/>
          <w:color w:val="auto"/>
          <w:sz w:val="38"/>
          <w:szCs w:val="38"/>
        </w:rPr>
        <w:t>3</w:t>
      </w:r>
    </w:p>
    <w:p w14:paraId="6B643C52" w14:textId="77777777" w:rsidR="00930E6A" w:rsidRPr="00072F8E" w:rsidRDefault="00F2464B">
      <w:pPr>
        <w:pStyle w:val="Heading1"/>
        <w:rPr>
          <w:rFonts w:ascii="Georgia" w:hAnsi="Georgia"/>
          <w:color w:val="auto"/>
        </w:rPr>
      </w:pPr>
      <w:bookmarkStart w:id="1" w:name="research-methodology"/>
      <w:bookmarkEnd w:id="0"/>
      <w:r w:rsidRPr="00072F8E">
        <w:rPr>
          <w:rFonts w:ascii="Georgia" w:hAnsi="Georgia"/>
          <w:color w:val="auto"/>
        </w:rPr>
        <w:t>RESEARCH METHODOLOGY</w:t>
      </w:r>
    </w:p>
    <w:p w14:paraId="7F6B09D9" w14:textId="77777777" w:rsidR="00930E6A" w:rsidRDefault="00F2464B">
      <w:pPr>
        <w:pStyle w:val="FirstParagraph"/>
      </w:pPr>
      <w:r>
        <w:t>The research methodology established in this study provides a mathematically verified, end-to-end framework designed to bridge parametric neural representations and dynamic non-parametric retrieval for low-resource Bangla dialect translation [1], [2]. Natural language processing for regional varieties of the Bengali language presents severe computational and linguistic challenges due to the pronounced divergence between Standard Bangla (</w:t>
      </w:r>
      <w:r>
        <w:rPr>
          <w:i/>
          <w:iCs/>
        </w:rPr>
        <w:t>Pramit Bangla</w:t>
      </w:r>
      <w:r>
        <w:t>) and peripheral regional variants [3], [4]. Among the diverse dialectal continuum of Bangladesh, Chittagonian (</w:t>
      </w:r>
      <w:r>
        <w:rPr>
          <w:i/>
          <w:iCs/>
        </w:rPr>
        <w:t>Chatgaya</w:t>
      </w:r>
      <w:r>
        <w:t>) and Sylheti represent two of the most demographically prominent yet computationally underserved linguistic systems, spoken by approximately 13 million and 11 million native speakers, respectively. These variants exhibit extreme phonological shifts, non-standardized orthography, spirantization, tonal register variations, and high degrees of morphological agglutination. Consequently, Standard Bangla pretrained foundation models suffer catastrophic performance degradation when deployed on raw dialectal inputs, frequently yielding high Character Error Rates (CER), Word Error Rates (WER), and severe semantic hallucinations.</w:t>
      </w:r>
    </w:p>
    <w:p w14:paraId="4865D7F9" w14:textId="77777777" w:rsidR="00930E6A" w:rsidRDefault="00F2464B">
      <w:pPr>
        <w:pStyle w:val="BodyText"/>
      </w:pPr>
      <w:r>
        <w:t>The core theoretical bottleneck addressed in this work stems from the fundamental tension between parametric generalization and non-parametric retrieval in sequence-to-sequence (Seq2Seq) translation architectures. While large causal language models (LLMs) possess sufficient contextual window capacity to digest multi-exemplar Retrieval-Augmented Generation (RAG) prompts, compact encoder-decoder architectures—such as NLLB-200-Distilled-600M—experience severe context pollution, positional embedding exhaustion, and cross-attention disruption when exposed to verbose prompt templates containing pseudo-XML metadata or multi-sentence exemplars [10]. Conversely, purely parametric fine-tuning strategies lack dynamic access to rare dialectal lexemes, resulting in out-of-vocabulary (OOV) translation failures when encountering rare morphological variants or localized idioms.</w:t>
      </w:r>
    </w:p>
    <w:p w14:paraId="611EA507" w14:textId="3B20A7BE" w:rsidR="00267BD9" w:rsidRDefault="00F2464B">
      <w:pPr>
        <w:pStyle w:val="BodyText"/>
      </w:pPr>
      <w:r>
        <w:lastRenderedPageBreak/>
        <w:t>To resolve this dichotomy, a novel hybrid architecture is introduced, combining deterministic graphemic canonicalization, dual-index non-parametric retrieval, parameter-efficient domain adaptation via Low-Rank Adaptation (LoRA), and a competitive relative faithfulness verifier [12]. The pipeline operates by first passing raw, heterogeneous parallel sentence pairs through a deterministic text normalization engine to eliminate Unicode encoding discrepancies and graphemic noise. Subsequently, an exact and near-duplicate deduplication strategy utilizing MinHash and Locality-Sensitive Hashing (LSH) is executed to construct leak-free dataset partitions. The neural translation core integrates a parameter-efficient LoRA-adapted NLLB backbone with a lean, dynamically gated retrieval subsystem that injects targeted lexical guidance without distorting sequence representations. Finally, a competitive relative verifier enforces an empirical performance lower bound by comparing parametric and non-parametric candidate hypotheses against a semantic similarity margin. The complete structural layout of the proposed architecture is conceptualized in Figure 3.1.</w:t>
      </w:r>
    </w:p>
    <w:p w14:paraId="525E0B8A" w14:textId="2E4D0FE0" w:rsidR="00F7239A" w:rsidRDefault="00F7239A" w:rsidP="00F7239A">
      <w:pPr>
        <w:pStyle w:val="NormalWeb"/>
      </w:pPr>
      <w:r>
        <w:rPr>
          <w:noProof/>
        </w:rPr>
        <w:lastRenderedPageBreak/>
        <w:drawing>
          <wp:inline distT="0" distB="0" distL="0" distR="0" wp14:anchorId="38E2081D" wp14:editId="031C2FEF">
            <wp:extent cx="5549900" cy="6528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57878" cy="6537776"/>
                    </a:xfrm>
                    <a:prstGeom prst="rect">
                      <a:avLst/>
                    </a:prstGeom>
                    <a:noFill/>
                    <a:ln>
                      <a:noFill/>
                    </a:ln>
                  </pic:spPr>
                </pic:pic>
              </a:graphicData>
            </a:graphic>
          </wp:inline>
        </w:drawing>
      </w:r>
    </w:p>
    <w:p w14:paraId="6ECFEF79" w14:textId="77777777" w:rsidR="00F7239A" w:rsidRDefault="00F7239A">
      <w:pPr>
        <w:pStyle w:val="BodyText"/>
      </w:pPr>
    </w:p>
    <w:p w14:paraId="5CCBA279" w14:textId="4FE5E8D7" w:rsidR="00930E6A" w:rsidRDefault="00F2464B">
      <w:pPr>
        <w:pStyle w:val="BodyText"/>
      </w:pPr>
      <w:r>
        <w:t>FIGURE 3.1: End-to-End Architecture of the Proposed Verified Framework for Bangla Dialect Translation (Approach B). Illustrates input ingestion, dynamic density gating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lean BGE-M3 exemplar retrieval, LoRA-adapted NLLB generation, and the competitive relative verifier acting as a safety fallback governor.</w:t>
      </w:r>
    </w:p>
    <w:p w14:paraId="0B24E562" w14:textId="77777777" w:rsidR="00930E6A" w:rsidRDefault="00F2464B">
      <w:pPr>
        <w:pStyle w:val="BodyText"/>
      </w:pPr>
      <w:r>
        <w:lastRenderedPageBreak/>
        <w:t>The architectural walkthrough of Figure 3.1 demonstrates the sequential flow of information through the core processing modules. Incoming unstructured regional text is ingested at Node 1, where it immediately undergoes deterministic graphemic canonicalization, Nukta unification, and quality filtering to produce standardized surface representations. At Node 2, the normalized sentence is evaluated by a dynamic lexical density gating function, which measures the proportion of dialect-specific rare tokens. If the density falls below a predetermined threshold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&lt;</m:t>
        </m:r>
        <m:r>
          <w:rPr>
            <w:rFonts w:ascii="Cambria Math" w:hAnsi="Cambria Math"/>
          </w:rPr>
          <m:t>0.15</m:t>
        </m:r>
      </m:oMath>
      <w:r>
        <w:t>), the input is routed exclusively through the parametric path (</w:t>
      </w:r>
      <m:oMath>
        <m:r>
          <w:rPr>
            <w:rFonts w:ascii="Cambria Math" w:hAnsi="Cambria Math"/>
          </w:rPr>
          <m:t>k</m:t>
        </m:r>
        <m:r>
          <m:rPr>
            <m:sty m:val="p"/>
          </m:rPr>
          <w:rPr>
            <w:rFonts w:ascii="Cambria Math" w:hAnsi="Cambria Math"/>
          </w:rPr>
          <m:t>=</m:t>
        </m:r>
        <m:r>
          <w:rPr>
            <w:rFonts w:ascii="Cambria Math" w:hAnsi="Cambria Math"/>
          </w:rPr>
          <m:t>0</m:t>
        </m:r>
      </m:oMath>
      <w:r>
        <w:t>); otherwise, the system initiates a lean non-parametric retrieval pass (</w:t>
      </w:r>
      <m:oMath>
        <m:r>
          <w:rPr>
            <w:rFonts w:ascii="Cambria Math" w:hAnsi="Cambria Math"/>
          </w:rPr>
          <m:t>k</m:t>
        </m:r>
        <m:r>
          <m:rPr>
            <m:sty m:val="p"/>
          </m:rPr>
          <w:rPr>
            <w:rFonts w:ascii="Cambria Math" w:hAnsi="Cambria Math"/>
          </w:rPr>
          <m:t>=</m:t>
        </m:r>
        <m:r>
          <w:rPr>
            <w:rFonts w:ascii="Cambria Math" w:hAnsi="Cambria Math"/>
          </w:rPr>
          <m:t>1</m:t>
        </m:r>
      </m:oMath>
      <w:r>
        <w:t>) across a dual-indexed corpus combining BM25Okapi sparse retrieval and BGE-M3 dense embeddings. At Node 3, the formatted query and optional single-exemplar context are processed by the LoRA-adapted NLLB-200 encoder-decoder model to generate candidate hypothesis vectors. Finally, at Node 4, the output hypotheses pass into the competitive relative verifier, where cosine semantic similarity scores against the source input are calculated using BGE-M3 representations. If the non-parametric candidate outperforms the purely parametric baseline by a strict competitive margin (</w:t>
      </w:r>
      <m:oMath>
        <m:r>
          <w:rPr>
            <w:rFonts w:ascii="Cambria Math" w:hAnsi="Cambria Math"/>
          </w:rPr>
          <m:t>δ</m:t>
        </m:r>
        <m:r>
          <m:rPr>
            <m:sty m:val="p"/>
          </m:rPr>
          <w:rPr>
            <w:rFonts w:ascii="Cambria Math" w:hAnsi="Cambria Math"/>
          </w:rPr>
          <m:t>=</m:t>
        </m:r>
        <m:r>
          <w:rPr>
            <w:rFonts w:ascii="Cambria Math" w:hAnsi="Cambria Math"/>
          </w:rPr>
          <m:t>0.005</m:t>
        </m:r>
      </m:oMath>
      <w:r>
        <w:t>) while satisfying length safety constraints, it is selected for final generation; otherwise, the verifier triggers a graceful fallback to the parametric hypothesis.</w:t>
      </w:r>
    </w:p>
    <w:p w14:paraId="2180A9E2" w14:textId="77777777" w:rsidR="00930E6A" w:rsidRDefault="00F2464B">
      <w:pPr>
        <w:pStyle w:val="BodyText"/>
      </w:pPr>
      <w:r>
        <w:t>The empirical foundation of this methodology is validated across extensive multi-dialectal parallel corpora, incorporating rigorous filtering protocols and leak-free source-grouped partitioning. By establishing deterministic preprocessing standards prior to neural feature extraction, downstream model components are shielded from surface-level orthographic noise. The subsequent sections detail the mathematical formulations, algorithmic implementations, and architectural specifications governing each stage of the research pipeline.</w:t>
      </w:r>
    </w:p>
    <w:p w14:paraId="60020F4D" w14:textId="19BF1B6E" w:rsidR="00930E6A" w:rsidRDefault="00930E6A"/>
    <w:p w14:paraId="4A11F2C2" w14:textId="77777777" w:rsidR="00930E6A" w:rsidRPr="00072F8E" w:rsidRDefault="00F2464B">
      <w:pPr>
        <w:pStyle w:val="Heading2"/>
        <w:rPr>
          <w:rFonts w:ascii="Times New Roman" w:hAnsi="Times New Roman" w:cs="Times New Roman"/>
          <w:color w:val="auto"/>
          <w:sz w:val="26"/>
          <w:szCs w:val="26"/>
        </w:rPr>
      </w:pPr>
      <w:bookmarkStart w:id="2" w:name="X4aeb15f2f6ee064f2c6c6a3186ece21b76f283f"/>
      <w:r w:rsidRPr="00072F8E">
        <w:rPr>
          <w:rFonts w:ascii="Times New Roman" w:hAnsi="Times New Roman" w:cs="Times New Roman"/>
          <w:color w:val="auto"/>
          <w:sz w:val="26"/>
          <w:szCs w:val="26"/>
        </w:rPr>
        <w:t>3.1 Text Normalization and Canonicalization Pipeline</w:t>
      </w:r>
    </w:p>
    <w:p w14:paraId="46D2AFC8" w14:textId="77777777" w:rsidR="00AE248E" w:rsidRDefault="00F2464B" w:rsidP="00AE248E">
      <w:pPr>
        <w:pStyle w:val="FirstParagraph"/>
      </w:pPr>
      <w:r>
        <w:t>The integrity of natural language processing pipelines applied to low-resource, non-standardized dialects</w:t>
      </w:r>
      <w:r w:rsidR="00187B67">
        <w:t xml:space="preserve"> </w:t>
      </w:r>
      <w:r>
        <w:t xml:space="preserve">depends fundamentally on the efficacy of the preliminary text normalization engine [13], [14]. Raw textual data harvested from web crawls, digital </w:t>
      </w:r>
      <w:r>
        <w:lastRenderedPageBreak/>
        <w:t>repositories, optical character recognition (OCR) extractions, and crowdsourced transcriptions inherently exhibits vast orthographic heterogeneity. In the context of Bengali script processing, character codepoint ambiguities, inconsistent usage of combining diacritics, orphaned vowel signs, and erratic whitespace formatting introduce artificial vocabulary expansion and severe subword tokenization fragmentation. To establish a clean, canonical representation across all corpus splits, a multi-stage deterministic normalization and quality filtering engine was implemented.</w:t>
      </w:r>
    </w:p>
    <w:p w14:paraId="53F9C94B" w14:textId="774FADFD" w:rsidR="00930E6A" w:rsidRDefault="00AE248E" w:rsidP="00AE248E">
      <w:pPr>
        <w:pStyle w:val="FirstParagraph"/>
      </w:pPr>
      <w:r>
        <w:t>R</w:t>
      </w:r>
      <w:r w:rsidR="00F2464B">
        <w:t>aw input sequences undergo a continuous, loss-free transformation pass. Initial string ingestion is followed immediately by Unicode canonicalization to resolve decomposition variances. The canonicalized stream then enters the graphemic disambiguation module, where atomic substitutions unify composite Nukta characters, convert word-final consonant-hasanta sequences into canonical Khanda-Ta forms, re-attach or strip orphaned vowel matras, and sanitize zero-width formatting characters. Finally, parallel quality filtering rules evaluate bivariate sentence length ratios and eliminate non-translatable noise, ensuring that downstream neural models receive standardized, linguistically sound input representations.</w:t>
      </w:r>
    </w:p>
    <w:p w14:paraId="30AC2B26" w14:textId="77777777" w:rsidR="00930E6A" w:rsidRPr="00A54745" w:rsidRDefault="00F2464B" w:rsidP="00A54745">
      <w:pPr>
        <w:pStyle w:val="Heading3"/>
        <w:rPr>
          <w:rFonts w:ascii="Times New Roman" w:hAnsi="Times New Roman" w:cs="Times New Roman"/>
          <w:i w:val="0"/>
          <w:iCs/>
          <w:color w:val="auto"/>
          <w:sz w:val="26"/>
          <w:szCs w:val="26"/>
        </w:rPr>
      </w:pPr>
      <w:bookmarkStart w:id="3" w:name="Xfe3be356151c765c3e00f841c78fda6da4c8802"/>
      <w:r w:rsidRPr="00A54745">
        <w:rPr>
          <w:rFonts w:ascii="Times New Roman" w:hAnsi="Times New Roman" w:cs="Times New Roman"/>
          <w:i w:val="0"/>
          <w:iCs/>
          <w:color w:val="auto"/>
          <w:sz w:val="26"/>
          <w:szCs w:val="26"/>
        </w:rPr>
        <w:t>3.1.1 Unicode Canonicalization and NFC Normalization</w:t>
      </w:r>
    </w:p>
    <w:p w14:paraId="58000FAB" w14:textId="77777777" w:rsidR="00930E6A" w:rsidRDefault="00F2464B">
      <w:pPr>
        <w:pStyle w:val="FirstParagraph"/>
      </w:pPr>
      <w:r>
        <w:t xml:space="preserve">The Bengali script within the Unicode standard (located in the </w:t>
      </w:r>
      <m:oMath>
        <m:r>
          <m:rPr>
            <m:nor/>
          </m:rPr>
          <m:t>U+0980</m:t>
        </m:r>
      </m:oMath>
      <w:r>
        <w:t xml:space="preserve"> to </w:t>
      </w:r>
      <m:oMath>
        <m:r>
          <m:rPr>
            <m:nor/>
          </m:rPr>
          <m:t>U+09FF</m:t>
        </m:r>
      </m:oMath>
      <w:r>
        <w:t xml:space="preserve"> codepoint block) allows for multiple visually indistinguishable yet binary-distinct character encodings. A fundamental source of orthographic inconsistency in digital Bengali text arises from the structural distinction between precomposed atomic characters and composite canonical decomposition sequences. For instance, certain graphemes containing combining marks—such as vowel sign diacritics or subscript points (Nukta)—can be represented either as a single precomposed Unicode codepoint or as a base consonant followed by an independent combining diacritic codepoint (</w:t>
      </w:r>
      <m:oMath>
        <m:r>
          <m:rPr>
            <m:nor/>
          </m:rPr>
          <m:t>U+09BC</m:t>
        </m:r>
      </m:oMath>
      <w:r>
        <w:t>). When uncanonicalized corpora are processed by subword tokenizers (such as Byte-Pair Encoding or SentencePiece), these binary discrepancies force the tokenizer to assign distinct subword IDs to identical visual glyphs, artificially inflating the vocabulary size and diluting embedding space density.</w:t>
      </w:r>
    </w:p>
    <w:p w14:paraId="1565FC2C" w14:textId="77777777" w:rsidR="00930E6A" w:rsidRDefault="00F2464B">
      <w:pPr>
        <w:pStyle w:val="BodyText"/>
      </w:pPr>
      <w:r>
        <w:lastRenderedPageBreak/>
        <w:t>To eliminate binary codepoint ambiguity, every ingested text sequence is subjected to Unicode Normalization Form C (NFC). Mathematically, NFC normalization is defined as a two-stage transformation consisting of full Canonical Decomposition (</w:t>
      </w:r>
      <m:oMath>
        <m:r>
          <m:rPr>
            <m:nor/>
          </m:rPr>
          <m:t>NFD</m:t>
        </m:r>
      </m:oMath>
      <w:r>
        <w:t>) followed by Canonical Composition (</w:t>
      </w:r>
      <m:oMath>
        <m:r>
          <m:rPr>
            <m:nor/>
          </m:rPr>
          <m:t>NFC</m:t>
        </m:r>
      </m:oMath>
      <w:r>
        <w:t>):</w:t>
      </w:r>
    </w:p>
    <w:p w14:paraId="0487F0CA"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NFC</m:t>
              </m:r>
            </m:sub>
          </m:sSub>
          <m:r>
            <m:rPr>
              <m:sty m:val="p"/>
            </m:rPr>
            <w:rPr>
              <w:rFonts w:ascii="Cambria Math" w:hAnsi="Cambria Math"/>
            </w:rPr>
            <m:t>=</m:t>
          </m:r>
          <m:r>
            <m:rPr>
              <m:nor/>
            </m:rPr>
            <m:t>Compose</m:t>
          </m:r>
          <m:r>
            <m:rPr>
              <m:sty m:val="p"/>
            </m:rPr>
            <w:rPr>
              <w:rFonts w:ascii="Cambria Math" w:hAnsi="Cambria Math"/>
            </w:rPr>
            <m:t>(</m:t>
          </m:r>
          <m:r>
            <m:rPr>
              <m:nor/>
            </m:rPr>
            <m:t>Decompose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6E2D2FD3" w14:textId="77777777" w:rsidR="00930E6A" w:rsidRDefault="00F2464B">
      <w:pPr>
        <w:pStyle w:val="FirstParagraph"/>
      </w:pPr>
      <w:r>
        <w:t xml:space="preserve">Where </w:t>
      </w:r>
      <m:oMath>
        <m:r>
          <w:rPr>
            <w:rFonts w:ascii="Cambria Math" w:hAnsi="Cambria Math"/>
          </w:rPr>
          <m:t>S</m:t>
        </m:r>
      </m:oMath>
      <w:r>
        <w:t xml:space="preserve"> represents the arbitrary raw input string containing mixed Unicode codepoint representations, </w:t>
      </w:r>
      <m:oMath>
        <m:r>
          <m:rPr>
            <m:nor/>
          </m:rPr>
          <m:t>Decompose</m:t>
        </m:r>
        <m:r>
          <m:rPr>
            <m:sty m:val="p"/>
          </m:rPr>
          <w:rPr>
            <w:rFonts w:ascii="Cambria Math" w:hAnsi="Cambria Math"/>
          </w:rPr>
          <m:t>(⋅)</m:t>
        </m:r>
      </m:oMath>
      <w:r>
        <w:t xml:space="preserve"> denotes the mapping function that recursively decomposes all precomposed characters into their constituent base characters and canonical combining marks according to the Unicode Character Database equivalence rules, </w:t>
      </w:r>
      <m:oMath>
        <m:r>
          <m:rPr>
            <m:nor/>
          </m:rPr>
          <m:t>Compose</m:t>
        </m:r>
        <m:r>
          <m:rPr>
            <m:sty m:val="p"/>
          </m:rPr>
          <w:rPr>
            <w:rFonts w:ascii="Cambria Math" w:hAnsi="Cambria Math"/>
          </w:rPr>
          <m:t>(⋅)</m:t>
        </m:r>
      </m:oMath>
      <w:r>
        <w:t xml:space="preserve"> denotes the canonical composition function that recombines base characters and combining marks into primary precomposed Unicode codepoints in a deterministic canonical order, and </w:t>
      </w:r>
      <m:oMath>
        <m:sSub>
          <m:sSubPr>
            <m:ctrlPr>
              <w:rPr>
                <w:rFonts w:ascii="Cambria Math" w:hAnsi="Cambria Math"/>
              </w:rPr>
            </m:ctrlPr>
          </m:sSubPr>
          <m:e>
            <m:r>
              <w:rPr>
                <w:rFonts w:ascii="Cambria Math" w:hAnsi="Cambria Math"/>
              </w:rPr>
              <m:t>S</m:t>
            </m:r>
          </m:e>
          <m:sub>
            <m:r>
              <m:rPr>
                <m:nor/>
              </m:rPr>
              <m:t>NFC</m:t>
            </m:r>
          </m:sub>
        </m:sSub>
      </m:oMath>
      <w:r>
        <w:t xml:space="preserve"> is the resulting canonicalized text string wherein all equivalent graphemes are mapped to unique, deterministic binary codepoint sequences.</w:t>
      </w:r>
    </w:p>
    <w:p w14:paraId="5690A591" w14:textId="77777777" w:rsidR="00930E6A" w:rsidRDefault="00F2464B">
      <w:pPr>
        <w:pStyle w:val="BodyText"/>
      </w:pPr>
      <w:r>
        <w:t>The application of Equation (3.1) guarantees that visually identical character sequences yield identical UTF-8 byte streams regardless of their origin or input method. During canonical decomposition, multi-part characters are split into foundational components, re-ordered according to their canonical combining class (CCC), and subsequently re-assembled into standard precomposed forms. This deterministic sequence transformation eliminates cross-platform encoding variances introduced by legacy Bengali keyboard layouts (such as Bijoy or Avro) and digital scanning software. From an algorithmic perspective, NFC normalization is executed as an in-place string transformation prior to any lexical analysis or tokenization. By enforcing Equation (3.1), downstream statistical subword tokenizers are prevented from creating split representations for canonical graphemes. Empirical validation indicates that applying NFC normalization across raw dialectal corpora substantially reduces subword vocabulary fragmentation, ensuring that foundational root tokens maintain stable semantic representations across diverse regional sentence structures.</w:t>
      </w:r>
    </w:p>
    <w:p w14:paraId="062C8585" w14:textId="77777777" w:rsidR="00930E6A" w:rsidRPr="00A54745" w:rsidRDefault="00F2464B">
      <w:pPr>
        <w:pStyle w:val="Heading3"/>
        <w:rPr>
          <w:rFonts w:ascii="Times New Roman" w:hAnsi="Times New Roman" w:cs="Times New Roman"/>
          <w:i w:val="0"/>
          <w:iCs/>
          <w:color w:val="auto"/>
          <w:sz w:val="26"/>
          <w:szCs w:val="26"/>
        </w:rPr>
      </w:pPr>
      <w:bookmarkStart w:id="4" w:name="Xda085dac60f2f4f19d856bb6ec89a0e4c4fddea"/>
      <w:bookmarkEnd w:id="3"/>
      <w:r w:rsidRPr="00A54745">
        <w:rPr>
          <w:rFonts w:ascii="Times New Roman" w:hAnsi="Times New Roman" w:cs="Times New Roman"/>
          <w:i w:val="0"/>
          <w:iCs/>
          <w:color w:val="auto"/>
          <w:sz w:val="26"/>
          <w:szCs w:val="26"/>
        </w:rPr>
        <w:lastRenderedPageBreak/>
        <w:t>3.1.2 Orthographic and Graphemic Disambiguation</w:t>
      </w:r>
    </w:p>
    <w:p w14:paraId="750AEA9F" w14:textId="77777777" w:rsidR="00930E6A" w:rsidRDefault="00F2464B">
      <w:pPr>
        <w:pStyle w:val="FirstParagraph"/>
      </w:pPr>
      <w:r>
        <w:t>Beyond general Unicode canonical decomposition and composition, the Bengali script contains specific complex graphemes whose contextual realizations require explicit deterministic disambiguation. In modern Bengali orthography, three primary consonants with subscript dots—Rra (</w:t>
      </w:r>
      <m:oMath>
        <m:r>
          <m:rPr>
            <m:nor/>
          </m:rPr>
          <m:t>ড়</m:t>
        </m:r>
      </m:oMath>
      <w:r>
        <w:t xml:space="preserve">, </w:t>
      </w:r>
      <m:oMath>
        <m:r>
          <m:rPr>
            <m:nor/>
          </m:rPr>
          <m:t>U+09DC</m:t>
        </m:r>
      </m:oMath>
      <w:r>
        <w:t>), Rhra (</w:t>
      </w:r>
      <m:oMath>
        <m:r>
          <m:rPr>
            <m:nor/>
          </m:rPr>
          <m:t>ঢ়</m:t>
        </m:r>
      </m:oMath>
      <w:r>
        <w:t xml:space="preserve">, </w:t>
      </w:r>
      <m:oMath>
        <m:r>
          <m:rPr>
            <m:nor/>
          </m:rPr>
          <m:t>U+09DD</m:t>
        </m:r>
      </m:oMath>
      <w:r>
        <w:t>), and Yya (</w:t>
      </w:r>
      <m:oMath>
        <m:r>
          <m:rPr>
            <m:nor/>
          </m:rPr>
          <m:t>য়</m:t>
        </m:r>
      </m:oMath>
      <w:r>
        <w:t xml:space="preserve">, </w:t>
      </w:r>
      <m:oMath>
        <m:r>
          <m:rPr>
            <m:nor/>
          </m:rPr>
          <m:t>U+09DF</m:t>
        </m:r>
      </m:oMath>
      <w:r>
        <w:t>)—are frequently encoded in raw digital text as decomposed two-character sequences comprising a base consonant (</w:t>
      </w:r>
      <m:oMath>
        <m:r>
          <m:rPr>
            <m:nor/>
          </m:rPr>
          <m:t>ড</m:t>
        </m:r>
      </m:oMath>
      <w:r>
        <w:t xml:space="preserve">, </w:t>
      </w:r>
      <m:oMath>
        <m:r>
          <m:rPr>
            <m:nor/>
          </m:rPr>
          <m:t>ঢ</m:t>
        </m:r>
      </m:oMath>
      <w:r>
        <w:t xml:space="preserve">, or </w:t>
      </w:r>
      <m:oMath>
        <m:r>
          <m:rPr>
            <m:nor/>
          </m:rPr>
          <m:t>য</m:t>
        </m:r>
      </m:oMath>
      <w:r>
        <w:t>) followed by the combining Nukta sign (</w:t>
      </w:r>
      <m:oMath>
        <m:r>
          <m:rPr>
            <m:nor/>
          </m:rPr>
          <m:t>U+09BC</m:t>
        </m:r>
      </m:oMath>
      <w:r>
        <w:t xml:space="preserve">). To ensure absolute orthographic unification, a deterministic piecewise mapping function </w:t>
      </w:r>
      <m:oMath>
        <m:sSub>
          <m:sSubPr>
            <m:ctrlPr>
              <w:rPr>
                <w:rFonts w:ascii="Cambria Math" w:hAnsi="Cambria Math"/>
              </w:rPr>
            </m:ctrlPr>
          </m:sSubPr>
          <m:e>
            <m:r>
              <w:rPr>
                <w:rFonts w:ascii="Cambria Math" w:hAnsi="Cambria Math"/>
              </w:rPr>
              <m:t>f</m:t>
            </m:r>
          </m:e>
          <m:sub>
            <m:r>
              <m:rPr>
                <m:nor/>
              </m:rPr>
              <m:t>nukta</m:t>
            </m:r>
          </m:sub>
        </m:sSub>
      </m:oMath>
      <w:r>
        <w:t xml:space="preserve"> is formulated:</w:t>
      </w:r>
    </w:p>
    <w:p w14:paraId="3ED7D584"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f</m:t>
              </m:r>
            </m:e>
            <m:sub>
              <m:r>
                <m:rPr>
                  <m:nor/>
                </m:rPr>
                <m:t>nukta</m:t>
              </m:r>
            </m:sub>
          </m:sSub>
          <m:r>
            <m:rPr>
              <m:sty m:val="p"/>
            </m:rPr>
            <w:rPr>
              <w:rFonts w:ascii="Cambria Math" w:hAnsi="Cambria Math"/>
            </w:rPr>
            <m:t>(</m:t>
          </m:r>
          <m:r>
            <w:rPr>
              <w:rFonts w:ascii="Cambria Math" w:hAnsi="Cambria Math"/>
            </w:rPr>
            <m:t>c</m:t>
          </m:r>
          <m:r>
            <m:rPr>
              <m:sty m:val="p"/>
            </m:rPr>
            <w:rPr>
              <w:rFonts w:ascii="Cambria Math" w:hAnsi="Cambria Math"/>
            </w:rPr>
            <m:t>,</m:t>
          </m:r>
          <m:r>
            <m:rPr>
              <m:nor/>
            </m:rPr>
            <m:t>U+09BC</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ড় (U+09DC)</m:t>
                    </m:r>
                  </m:e>
                  <m:e>
                    <m:r>
                      <m:rPr>
                        <m:nor/>
                      </m:rPr>
                      <m:t xml:space="preserve">if </m:t>
                    </m:r>
                    <m:r>
                      <w:rPr>
                        <w:rFonts w:ascii="Cambria Math" w:hAnsi="Cambria Math"/>
                      </w:rPr>
                      <m:t>c</m:t>
                    </m:r>
                    <m:r>
                      <m:rPr>
                        <m:sty m:val="p"/>
                      </m:rPr>
                      <w:rPr>
                        <w:rFonts w:ascii="Cambria Math" w:hAnsi="Cambria Math"/>
                      </w:rPr>
                      <m:t>=</m:t>
                    </m:r>
                    <m:r>
                      <m:rPr>
                        <m:nor/>
                      </m:rPr>
                      <m:t>ড (U+09A1)</m:t>
                    </m:r>
                  </m:e>
                </m:mr>
                <m:mr>
                  <m:e>
                    <m:r>
                      <m:rPr>
                        <m:nor/>
                      </m:rPr>
                      <m:t>ঢ় (U+09DD)</m:t>
                    </m:r>
                  </m:e>
                  <m:e>
                    <m:r>
                      <m:rPr>
                        <m:nor/>
                      </m:rPr>
                      <m:t xml:space="preserve">if </m:t>
                    </m:r>
                    <m:r>
                      <w:rPr>
                        <w:rFonts w:ascii="Cambria Math" w:hAnsi="Cambria Math"/>
                      </w:rPr>
                      <m:t>c</m:t>
                    </m:r>
                    <m:r>
                      <m:rPr>
                        <m:sty m:val="p"/>
                      </m:rPr>
                      <w:rPr>
                        <w:rFonts w:ascii="Cambria Math" w:hAnsi="Cambria Math"/>
                      </w:rPr>
                      <m:t>=</m:t>
                    </m:r>
                    <m:r>
                      <m:rPr>
                        <m:nor/>
                      </m:rPr>
                      <m:t>ঢ (U+09A2)</m:t>
                    </m:r>
                  </m:e>
                </m:mr>
                <m:mr>
                  <m:e>
                    <m:r>
                      <m:rPr>
                        <m:nor/>
                      </m:rPr>
                      <m:t>য় (U+09DF)</m:t>
                    </m:r>
                  </m:e>
                  <m:e>
                    <m:r>
                      <m:rPr>
                        <m:nor/>
                      </m:rPr>
                      <m:t xml:space="preserve">if </m:t>
                    </m:r>
                    <m:r>
                      <w:rPr>
                        <w:rFonts w:ascii="Cambria Math" w:hAnsi="Cambria Math"/>
                      </w:rPr>
                      <m:t>c</m:t>
                    </m:r>
                    <m:r>
                      <m:rPr>
                        <m:sty m:val="p"/>
                      </m:rPr>
                      <w:rPr>
                        <w:rFonts w:ascii="Cambria Math" w:hAnsi="Cambria Math"/>
                      </w:rPr>
                      <m:t>=</m:t>
                    </m:r>
                    <m:r>
                      <m:rPr>
                        <m:nor/>
                      </m:rPr>
                      <m:t>য (U+09AF)</m:t>
                    </m:r>
                  </m:e>
                </m:mr>
              </m:m>
            </m:e>
          </m:d>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7926F740" w14:textId="77777777" w:rsidR="00930E6A" w:rsidRDefault="00F2464B">
      <w:pPr>
        <w:pStyle w:val="FirstParagraph"/>
      </w:pPr>
      <w:r>
        <w:t xml:space="preserve">Where </w:t>
      </w:r>
      <m:oMath>
        <m:r>
          <w:rPr>
            <w:rFonts w:ascii="Cambria Math" w:hAnsi="Cambria Math"/>
          </w:rPr>
          <m:t>c</m:t>
        </m:r>
      </m:oMath>
      <w:r>
        <w:t xml:space="preserve"> represents an arbitrary base consonant codepoint within the Bengali Unicode block (</w:t>
      </w:r>
      <m:oMath>
        <m:r>
          <m:rPr>
            <m:nor/>
          </m:rPr>
          <m:t>U+0980</m:t>
        </m:r>
      </m:oMath>
      <w:r>
        <w:t>–</w:t>
      </w:r>
      <m:oMath>
        <m:r>
          <m:rPr>
            <m:nor/>
          </m:rPr>
          <m:t>U+09FF</m:t>
        </m:r>
      </m:oMath>
      <w:r>
        <w:t xml:space="preserve">), </w:t>
      </w:r>
      <m:oMath>
        <m:r>
          <m:rPr>
            <m:nor/>
          </m:rPr>
          <m:t>U+09BC</m:t>
        </m:r>
      </m:oMath>
      <w:r>
        <w:t xml:space="preserve"> denotes the combining Bengali Nukta codepoint, </w:t>
      </w:r>
      <m:oMath>
        <m:r>
          <m:rPr>
            <m:nor/>
          </m:rPr>
          <m:t>U+09A1</m:t>
        </m:r>
      </m:oMath>
      <w:r>
        <w:t xml:space="preserve">, </w:t>
      </w:r>
      <m:oMath>
        <m:r>
          <m:rPr>
            <m:nor/>
          </m:rPr>
          <m:t>U+09A2</m:t>
        </m:r>
      </m:oMath>
      <w:r>
        <w:t xml:space="preserve">, and </w:t>
      </w:r>
      <m:oMath>
        <m:r>
          <m:rPr>
            <m:nor/>
          </m:rPr>
          <m:t>U+09AF</m:t>
        </m:r>
      </m:oMath>
      <w:r>
        <w:t xml:space="preserve"> represent the base consonant codepoints for Dda (</w:t>
      </w:r>
      <m:oMath>
        <m:r>
          <m:rPr>
            <m:nor/>
          </m:rPr>
          <m:t>ড</m:t>
        </m:r>
      </m:oMath>
      <w:r>
        <w:t>), Dhda (</w:t>
      </w:r>
      <m:oMath>
        <m:r>
          <m:rPr>
            <m:nor/>
          </m:rPr>
          <m:t>ঢ</m:t>
        </m:r>
      </m:oMath>
      <w:r>
        <w:t>), and Ja (</w:t>
      </w:r>
      <m:oMath>
        <m:r>
          <m:rPr>
            <m:nor/>
          </m:rPr>
          <m:t>য</m:t>
        </m:r>
      </m:oMath>
      <w:r>
        <w:t xml:space="preserve">), respectively, and </w:t>
      </w:r>
      <m:oMath>
        <m:r>
          <m:rPr>
            <m:nor/>
          </m:rPr>
          <m:t>U+09DC</m:t>
        </m:r>
      </m:oMath>
      <w:r>
        <w:t xml:space="preserve">, </w:t>
      </w:r>
      <m:oMath>
        <m:r>
          <m:rPr>
            <m:nor/>
          </m:rPr>
          <m:t>U+09DD</m:t>
        </m:r>
      </m:oMath>
      <w:r>
        <w:t xml:space="preserve">, and </w:t>
      </w:r>
      <m:oMath>
        <m:r>
          <m:rPr>
            <m:nor/>
          </m:rPr>
          <m:t>U+09DF</m:t>
        </m:r>
      </m:oMath>
      <w:r>
        <w:t xml:space="preserve"> represent the target canonical precomposed codepoints for Rra (</w:t>
      </w:r>
      <m:oMath>
        <m:r>
          <m:rPr>
            <m:nor/>
          </m:rPr>
          <m:t>ড়</m:t>
        </m:r>
      </m:oMath>
      <w:r>
        <w:t>), Rhra (</w:t>
      </w:r>
      <m:oMath>
        <m:r>
          <m:rPr>
            <m:nor/>
          </m:rPr>
          <m:t>ঢ়</m:t>
        </m:r>
      </m:oMath>
      <w:r>
        <w:t>), and Yya (</w:t>
      </w:r>
      <m:oMath>
        <m:r>
          <m:rPr>
            <m:nor/>
          </m:rPr>
          <m:t>য়</m:t>
        </m:r>
      </m:oMath>
      <w:r>
        <w:t>).</w:t>
      </w:r>
    </w:p>
    <w:p w14:paraId="66E84B55" w14:textId="77777777" w:rsidR="00930E6A" w:rsidRDefault="00F2464B">
      <w:pPr>
        <w:pStyle w:val="BodyText"/>
      </w:pPr>
      <w:r>
        <w:t>A second critical orthographic ambiguity concerns the character Khanda-Ta (</w:t>
      </w:r>
      <m:oMath>
        <m:r>
          <m:rPr>
            <m:nor/>
          </m:rPr>
          <m:t>ৎ</m:t>
        </m:r>
      </m:oMath>
      <w:r>
        <w:t xml:space="preserve">, </w:t>
      </w:r>
      <m:oMath>
        <m:r>
          <m:rPr>
            <m:nor/>
          </m:rPr>
          <m:t>U+09CE</m:t>
        </m:r>
      </m:oMath>
      <w:r>
        <w:t>), which represents the dead or unvowelized form of the consonant Ta (</w:t>
      </w:r>
      <m:oMath>
        <m:r>
          <m:rPr>
            <m:nor/>
          </m:rPr>
          <m:t>ত</m:t>
        </m:r>
      </m:oMath>
      <w:r>
        <w:t xml:space="preserve">, </w:t>
      </w:r>
      <m:oMath>
        <m:r>
          <m:rPr>
            <m:nor/>
          </m:rPr>
          <m:t>U+09A4</m:t>
        </m:r>
      </m:oMath>
      <w:r>
        <w:t>). In legacy texts and informal digital writing, Khanda-Ta is frequently written as a full consonant Ta followed by the virama/hasanta sign (</w:t>
      </w:r>
      <m:oMath>
        <m:r>
          <m:rPr>
            <m:nor/>
          </m:rPr>
          <m:t>্</m:t>
        </m:r>
      </m:oMath>
      <w:r>
        <w:t xml:space="preserve">, </w:t>
      </w:r>
      <m:oMath>
        <m:r>
          <m:rPr>
            <m:nor/>
          </m:rPr>
          <m:t>U+09CD</m:t>
        </m:r>
      </m:oMath>
      <w:r>
        <w:t xml:space="preserve">). However, in canonical Bengali grammar, when a muted Ta occurs at a word boundary, before punctuation, or at the end of a string, it must be mapped to the dedicated character codepoint </w:t>
      </w:r>
      <m:oMath>
        <m:r>
          <m:rPr>
            <m:nor/>
          </m:rPr>
          <m:t>U+09CE</m:t>
        </m:r>
      </m:oMath>
      <w:r>
        <w:t>. This boundary transformation operator is defined as:</w:t>
      </w:r>
    </w:p>
    <w:p w14:paraId="789EEA18" w14:textId="77777777" w:rsidR="00930E6A" w:rsidRDefault="00F2464B">
      <w:pPr>
        <w:pStyle w:val="BodyText"/>
      </w:pPr>
      <m:oMathPara>
        <m:oMathParaPr>
          <m:jc m:val="center"/>
        </m:oMathParaPr>
        <m:oMath>
          <m:r>
            <m:rPr>
              <m:sty m:val="p"/>
            </m:rPr>
            <w:rPr>
              <w:rFonts w:ascii="Cambria Math" w:hAnsi="Cambria Math"/>
            </w:rPr>
            <m:t>(</m:t>
          </m:r>
          <m:r>
            <m:rPr>
              <m:nor/>
            </m:rPr>
            <m:t>U+09A4</m:t>
          </m:r>
          <m:r>
            <m:rPr>
              <m:sty m:val="p"/>
            </m:rPr>
            <w:rPr>
              <w:rFonts w:ascii="Cambria Math" w:hAnsi="Cambria Math"/>
            </w:rPr>
            <m:t>∘</m:t>
          </m:r>
          <m:r>
            <m:rPr>
              <m:nor/>
            </m:rPr>
            <m:t>U+09CD</m:t>
          </m:r>
          <m:r>
            <m:rPr>
              <m:sty m:val="p"/>
            </m:rPr>
            <w:rPr>
              <w:rFonts w:ascii="Cambria Math" w:hAnsi="Cambria Math"/>
            </w:rPr>
            <m:t>)→</m:t>
          </m:r>
          <m:r>
            <m:rPr>
              <m:nor/>
            </m:rPr>
            <m:t>U+09CE</m:t>
          </m:r>
          <m:r>
            <m:rPr>
              <m:sty m:val="p"/>
            </m:rPr>
            <w:rPr>
              <w:rFonts w:ascii="Cambria Math" w:hAnsi="Cambria Math"/>
            </w:rPr>
            <m:t>⇔</m:t>
          </m:r>
          <m:r>
            <m:rPr>
              <m:nor/>
            </m:rPr>
            <m:t>lookahead</m:t>
          </m:r>
          <m:r>
            <m:rPr>
              <m:sty m:val="p"/>
            </m:rPr>
            <w:rPr>
              <w:rFonts w:ascii="Cambria Math" w:hAnsi="Cambria Math"/>
            </w:rPr>
            <m:t>∈{</m:t>
          </m:r>
          <m:r>
            <m:rPr>
              <m:nor/>
            </m:rPr>
            <m:t>whitespace</m:t>
          </m:r>
          <m:r>
            <m:rPr>
              <m:sty m:val="p"/>
            </m:rPr>
            <w:rPr>
              <w:rFonts w:ascii="Cambria Math" w:hAnsi="Cambria Math"/>
            </w:rPr>
            <m:t>,</m:t>
          </m:r>
          <m:r>
            <m:rPr>
              <m:nor/>
            </m:rPr>
            <m:t>punctuation</m:t>
          </m:r>
          <m:r>
            <m:rPr>
              <m:sty m:val="p"/>
            </m:rPr>
            <w:rPr>
              <w:rFonts w:ascii="Cambria Math" w:hAnsi="Cambria Math"/>
            </w:rPr>
            <m:t>,</m:t>
          </m:r>
          <m:r>
            <m:rPr>
              <m:nor/>
            </m:rPr>
            <m:t>EOF</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0387A258" w14:textId="77777777" w:rsidR="00930E6A" w:rsidRDefault="00F2464B">
      <w:pPr>
        <w:pStyle w:val="FirstParagraph"/>
      </w:pPr>
      <w:r>
        <w:t xml:space="preserve">Where </w:t>
      </w:r>
      <m:oMath>
        <m:r>
          <m:rPr>
            <m:nor/>
          </m:rPr>
          <m:t>U+09A4</m:t>
        </m:r>
      </m:oMath>
      <w:r>
        <w:t xml:space="preserve"> and </w:t>
      </w:r>
      <m:oMath>
        <m:r>
          <m:rPr>
            <m:nor/>
          </m:rPr>
          <m:t>U+09CD</m:t>
        </m:r>
      </m:oMath>
      <w:r>
        <w:t xml:space="preserve"> denote the codepoints for consonant Ta (</w:t>
      </w:r>
      <m:oMath>
        <m:r>
          <m:rPr>
            <m:nor/>
          </m:rPr>
          <m:t>ত</m:t>
        </m:r>
      </m:oMath>
      <w:r>
        <w:t>) and Hasanta (</w:t>
      </w:r>
      <m:oMath>
        <m:r>
          <m:rPr>
            <m:nor/>
          </m:rPr>
          <m:t>্</m:t>
        </m:r>
      </m:oMath>
      <w:r>
        <w:t xml:space="preserve">), respectively, </w:t>
      </w:r>
      <m:oMath>
        <m:r>
          <m:rPr>
            <m:sty m:val="p"/>
          </m:rPr>
          <w:rPr>
            <w:rFonts w:ascii="Cambria Math" w:hAnsi="Cambria Math"/>
          </w:rPr>
          <m:t>∘</m:t>
        </m:r>
      </m:oMath>
      <w:r>
        <w:t xml:space="preserve"> represents character concatenation, </w:t>
      </w:r>
      <m:oMath>
        <m:r>
          <m:rPr>
            <m:nor/>
          </m:rPr>
          <m:t>U+09CE</m:t>
        </m:r>
      </m:oMath>
      <w:r>
        <w:t xml:space="preserve"> represents the canonical precomposed codepoint for Khanda-Ta (</w:t>
      </w:r>
      <m:oMath>
        <m:r>
          <m:rPr>
            <m:nor/>
          </m:rPr>
          <m:t>ৎ</m:t>
        </m:r>
      </m:oMath>
      <w:r>
        <w:t xml:space="preserve">), </w:t>
      </w:r>
      <m:oMath>
        <m:r>
          <m:rPr>
            <m:nor/>
          </m:rPr>
          <m:t>lookahead</m:t>
        </m:r>
      </m:oMath>
      <w:r>
        <w:t xml:space="preserve"> represents the immediate right-</w:t>
      </w:r>
      <w:r>
        <w:lastRenderedPageBreak/>
        <w:t xml:space="preserve">context character following the two-character sequence, and the set </w:t>
      </w:r>
      <m:oMath>
        <m:r>
          <m:rPr>
            <m:sty m:val="p"/>
          </m:rPr>
          <w:rPr>
            <w:rFonts w:ascii="Cambria Math" w:hAnsi="Cambria Math"/>
          </w:rPr>
          <m:t>{</m:t>
        </m:r>
        <m:r>
          <m:rPr>
            <m:nor/>
          </m:rPr>
          <m:t>whitespace</m:t>
        </m:r>
        <m:r>
          <m:rPr>
            <m:sty m:val="p"/>
          </m:rPr>
          <w:rPr>
            <w:rFonts w:ascii="Cambria Math" w:hAnsi="Cambria Math"/>
          </w:rPr>
          <m:t>,</m:t>
        </m:r>
        <m:r>
          <m:rPr>
            <m:nor/>
          </m:rPr>
          <m:t>punctuation</m:t>
        </m:r>
        <m:r>
          <m:rPr>
            <m:sty m:val="p"/>
          </m:rPr>
          <w:rPr>
            <w:rFonts w:ascii="Cambria Math" w:hAnsi="Cambria Math"/>
          </w:rPr>
          <m:t>,</m:t>
        </m:r>
        <m:r>
          <m:rPr>
            <m:nor/>
          </m:rPr>
          <m:t>EOF</m:t>
        </m:r>
        <m:r>
          <m:rPr>
            <m:sty m:val="p"/>
          </m:rPr>
          <w:rPr>
            <w:rFonts w:ascii="Cambria Math" w:hAnsi="Cambria Math"/>
          </w:rPr>
          <m:t>}</m:t>
        </m:r>
      </m:oMath>
      <w:r>
        <w:t xml:space="preserve"> defines the boundary contexts triggering canonical transformation.</w:t>
      </w:r>
    </w:p>
    <w:p w14:paraId="056BB4C2" w14:textId="77777777" w:rsidR="00930E6A" w:rsidRDefault="00F2464B">
      <w:pPr>
        <w:pStyle w:val="BodyText"/>
      </w:pPr>
      <w:r>
        <w:t>In addition to Nukta and Khanda-Ta canonicalization, sentence termination symbols undergo strict standardization. In raw web text, the Bengali sentence finalizer Dari (</w:t>
      </w:r>
      <m:oMath>
        <m:r>
          <m:rPr>
            <m:nor/>
          </m:rPr>
          <m:t>।</m:t>
        </m:r>
      </m:oMath>
      <w:r>
        <w:t xml:space="preserve">, </w:t>
      </w:r>
      <m:oMath>
        <m:r>
          <m:rPr>
            <m:nor/>
          </m:rPr>
          <m:t>U+0964</m:t>
        </m:r>
      </m:oMath>
      <w:r>
        <w:t>) is frequently substituted with ASCII vertical pipes (</w:t>
      </w:r>
      <m:oMath>
        <m:r>
          <m:rPr>
            <m:sty m:val="p"/>
          </m:rPr>
          <w:rPr>
            <w:rFonts w:ascii="Cambria Math" w:hAnsi="Cambria Math"/>
          </w:rPr>
          <m:t>|</m:t>
        </m:r>
      </m:oMath>
      <w:r>
        <w:t>) or Devanagari danda characters. The normalization engine maps all occurrences of ASCII pipe (</w:t>
      </w:r>
      <m:oMath>
        <m:r>
          <m:rPr>
            <m:nor/>
          </m:rPr>
          <m:t>U+007C</m:t>
        </m:r>
      </m:oMath>
      <w:r>
        <w:t xml:space="preserve">) and Devanagari danda to the single canonical Bengali Purna Chheda codepoint </w:t>
      </w:r>
      <m:oMath>
        <m:r>
          <m:rPr>
            <m:nor/>
          </m:rPr>
          <m:t>U+0964</m:t>
        </m:r>
      </m:oMath>
      <w:r>
        <w:t xml:space="preserve">. Furthermore, OCR and web-crawling artifacts often yield orphaned vowel matras—dependent vowel signs lacking a preceding base consonant, such as leading </w:t>
      </w:r>
      <m:oMath>
        <m:r>
          <m:rPr>
            <m:nor/>
          </m:rPr>
          <m:t>U+09BE</m:t>
        </m:r>
      </m:oMath>
      <w:r>
        <w:t xml:space="preserve"> (A-kar), </w:t>
      </w:r>
      <m:oMath>
        <m:r>
          <m:rPr>
            <m:nor/>
          </m:rPr>
          <m:t>U+09BF</m:t>
        </m:r>
      </m:oMath>
      <w:r>
        <w:t xml:space="preserve"> (I-kar), or </w:t>
      </w:r>
      <m:oMath>
        <m:r>
          <m:rPr>
            <m:nor/>
          </m:rPr>
          <m:t>U+09C7</m:t>
        </m:r>
      </m:oMath>
      <w:r>
        <w:t xml:space="preserve"> (E-kar) preceded by whitespace. These orphaned diacritics represent structural corruptions and are deterministically removed using regular expression pattern matching. Finally, invisible formatting control characters, specifically the Zero-Width Joiner (ZWJ, </w:t>
      </w:r>
      <m:oMath>
        <m:r>
          <m:rPr>
            <m:nor/>
          </m:rPr>
          <m:t>U+200D</m:t>
        </m:r>
      </m:oMath>
      <w:r>
        <w:t xml:space="preserve">) and Zero-Width Non-Joiner (ZWNJ, </w:t>
      </w:r>
      <m:oMath>
        <m:r>
          <m:rPr>
            <m:nor/>
          </m:rPr>
          <m:t>U+200C</m:t>
        </m:r>
      </m:oMath>
      <w:r>
        <w:t>), are sanitized. While internal ZWJ/ZWNJ characters are linguistically meaningful for controlling conjunct formation in complex typography, edge-boundary ZWJ/ZWNJ characters occurring at word boundaries or adjacent to whitespace are non-functional artifacts that distort string matching algorithms. The normalization engine strips all leading, trailing, and whitespace-adjacent ZWJ/ZWNJ characters while preserving valid interior conjunct controls. Control characters within the range 0x00–0x1F (excluding newline 0x0A and tab 0x09) are simultaneously purged, completing the graphemic disambiguation phase.</w:t>
      </w:r>
    </w:p>
    <w:p w14:paraId="10021F17" w14:textId="77777777" w:rsidR="00930E6A" w:rsidRPr="00A54745" w:rsidRDefault="00F2464B">
      <w:pPr>
        <w:pStyle w:val="Heading3"/>
        <w:rPr>
          <w:rFonts w:ascii="Times New Roman" w:hAnsi="Times New Roman" w:cs="Times New Roman"/>
          <w:i w:val="0"/>
          <w:iCs/>
          <w:color w:val="auto"/>
          <w:sz w:val="26"/>
          <w:szCs w:val="26"/>
        </w:rPr>
      </w:pPr>
      <w:bookmarkStart w:id="5" w:name="X993a646f1c2c6de12365cd75c8b9081defec721"/>
      <w:bookmarkEnd w:id="4"/>
      <w:r w:rsidRPr="00A54745">
        <w:rPr>
          <w:rFonts w:ascii="Times New Roman" w:hAnsi="Times New Roman" w:cs="Times New Roman"/>
          <w:i w:val="0"/>
          <w:iCs/>
          <w:color w:val="auto"/>
          <w:sz w:val="26"/>
          <w:szCs w:val="26"/>
        </w:rPr>
        <w:t>3.1.3 Parallel Quality Filtering and Guardrails</w:t>
      </w:r>
    </w:p>
    <w:p w14:paraId="3C6F7A11" w14:textId="77777777" w:rsidR="00930E6A" w:rsidRDefault="00F2464B">
      <w:pPr>
        <w:pStyle w:val="FirstParagraph"/>
      </w:pPr>
      <w:r>
        <w:t xml:space="preserve">Following Unicode canonicalization and graphemic disambiguation, parallel sentence pairs are subjected to rigorous quality filtering and anomaly detection guardrails [15]. Bimodal and crowdsourced parallel corpora frequently contain corrupted samples, including empty or whitespace-only rows, web-scraping HTTP error strings (e.g., </w:t>
      </w:r>
      <w:r>
        <w:rPr>
          <w:i/>
          <w:iCs/>
        </w:rPr>
        <w:t>MYMEMORY WARNING</w:t>
      </w:r>
      <w:r>
        <w:t xml:space="preserve">, </w:t>
      </w:r>
      <w:r>
        <w:rPr>
          <w:i/>
          <w:iCs/>
        </w:rPr>
        <w:t>HTTP 429</w:t>
      </w:r>
      <w:r>
        <w:t>), unparsed HTML/XML tags, and untranslated Latin/English text within target Bengali columns. The primary objective of quality filtering is to purge non-translatable noise and structural anomalies while preserving legitimate dialectal variations.</w:t>
      </w:r>
    </w:p>
    <w:p w14:paraId="1BAAA74F" w14:textId="77777777" w:rsidR="00930E6A" w:rsidRDefault="00F2464B">
      <w:pPr>
        <w:pStyle w:val="BodyText"/>
      </w:pPr>
      <w:r>
        <w:lastRenderedPageBreak/>
        <w:t>A critical phase of quality control involves the identification and isolation of identity pairs—sentence pairs where the Standard Bangla source text is character-for-character identical to the regional dialect text (</w:t>
      </w:r>
      <m:oMath>
        <m:r>
          <w:rPr>
            <w:rFonts w:ascii="Cambria Math" w:hAnsi="Cambria Math"/>
          </w:rPr>
          <m:t>x</m:t>
        </m:r>
        <m:r>
          <m:rPr>
            <m:sty m:val="p"/>
          </m:rPr>
          <w:rPr>
            <w:rFonts w:ascii="Cambria Math" w:hAnsi="Cambria Math"/>
          </w:rPr>
          <m:t>=</m:t>
        </m:r>
        <m:r>
          <w:rPr>
            <w:rFonts w:ascii="Cambria Math" w:hAnsi="Cambria Math"/>
          </w:rPr>
          <m:t>y</m:t>
        </m:r>
      </m:oMath>
      <w:r>
        <w:t>). While identity pairs occur naturally in central dialects that closely mirror Standard Bangla (such as Tangail or Narail), in highly divergent dialects like Chittagonian and Sylheti, an identical string pair almost universally indicates an untranslated copy-paste artifact or annotator error. Rather than silently discarding these rows, the filtering engine detects and isolates identity pairs into a dedicated diagnostic dataset. This isolation prevents model contamination during supervised training while retaining the data for specialized baseline benchmarking.</w:t>
      </w:r>
    </w:p>
    <w:p w14:paraId="7CE13FF6" w14:textId="77777777" w:rsidR="00930E6A" w:rsidRDefault="00F2464B">
      <w:pPr>
        <w:pStyle w:val="BodyText"/>
      </w:pPr>
      <w:r>
        <w:t xml:space="preserve">To enforce linguistic plausibility across parallel sentence pairs, a bivariate length-ratio guardrail is established. Due to morphological agglutination, suffix truncation, and phonetic compression, regional dialect sentences may vary in length relative to Standard Bangla. However, extreme length discrepancies signal severe machine translation hallucinations, sentence truncation, or alignment failures. The bivariate length-ratio metrics evaluate both word-level ratio </w:t>
      </w:r>
      <m:oMath>
        <m:sSub>
          <m:sSubPr>
            <m:ctrlPr>
              <w:rPr>
                <w:rFonts w:ascii="Cambria Math" w:hAnsi="Cambria Math"/>
              </w:rPr>
            </m:ctrlPr>
          </m:sSubPr>
          <m:e>
            <m:r>
              <w:rPr>
                <w:rFonts w:ascii="Cambria Math" w:hAnsi="Cambria Math"/>
              </w:rPr>
              <m:t>r</m:t>
            </m:r>
          </m:e>
          <m:sub>
            <m:r>
              <m:rPr>
                <m:nor/>
              </m:rPr>
              <m:t>word</m:t>
            </m:r>
          </m:sub>
        </m:sSub>
      </m:oMath>
      <w:r>
        <w:t xml:space="preserve"> and character-level ratio </w:t>
      </w:r>
      <m:oMath>
        <m:sSub>
          <m:sSubPr>
            <m:ctrlPr>
              <w:rPr>
                <w:rFonts w:ascii="Cambria Math" w:hAnsi="Cambria Math"/>
              </w:rPr>
            </m:ctrlPr>
          </m:sSubPr>
          <m:e>
            <m:r>
              <w:rPr>
                <w:rFonts w:ascii="Cambria Math" w:hAnsi="Cambria Math"/>
              </w:rPr>
              <m:t>r</m:t>
            </m:r>
          </m:e>
          <m:sub>
            <m:r>
              <m:rPr>
                <m:nor/>
              </m:rPr>
              <m:t>char</m:t>
            </m:r>
          </m:sub>
        </m:sSub>
      </m:oMath>
      <w:r>
        <w:t>:</w:t>
      </w:r>
    </w:p>
    <w:p w14:paraId="685FBE65"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word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dialect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standard</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char</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dialect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standard</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3C18169D" w14:textId="77777777" w:rsidR="00930E6A" w:rsidRDefault="00F2464B">
      <w:pPr>
        <w:pStyle w:val="FirstParagraph"/>
      </w:pPr>
      <w:r>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dialect</m:t>
            </m:r>
          </m:sub>
        </m:sSub>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standard</m:t>
            </m:r>
          </m:sub>
        </m:sSub>
        <m:r>
          <m:rPr>
            <m:sty m:val="p"/>
          </m:rPr>
          <w:rPr>
            <w:rFonts w:ascii="Cambria Math" w:hAnsi="Cambria Math"/>
          </w:rPr>
          <m:t>|</m:t>
        </m:r>
      </m:oMath>
      <w:r>
        <w:t xml:space="preserve"> represent the word token counts of the regional dialect sentence and Standard Bangla sentence, respectively, while </w:t>
      </w:r>
      <m:oMath>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dialect</m:t>
            </m:r>
          </m:sub>
        </m:sSub>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standard</m:t>
            </m:r>
          </m:sub>
        </m:sSub>
        <m:r>
          <m:rPr>
            <m:sty m:val="p"/>
          </m:rPr>
          <w:rPr>
            <w:rFonts w:ascii="Cambria Math" w:hAnsi="Cambria Math"/>
          </w:rPr>
          <m:t>|</m:t>
        </m:r>
      </m:oMath>
      <w:r>
        <w:t xml:space="preserve"> represent the character counts (including graphemes and diacritics) of the regional dialect and Standard Bangla sentences, respectively.</w:t>
      </w:r>
    </w:p>
    <w:p w14:paraId="03284A6C" w14:textId="77777777" w:rsidR="00930E6A" w:rsidRDefault="00F2464B">
      <w:pPr>
        <w:pStyle w:val="BodyText"/>
      </w:pPr>
      <w:r>
        <w:t xml:space="preserve">Using the bivariate ratio metrics defined in Equation (3.4), the valid acceptance set </w:t>
      </w:r>
      <m:oMath>
        <m:sSub>
          <m:sSubPr>
            <m:ctrlPr>
              <w:rPr>
                <w:rFonts w:ascii="Cambria Math" w:hAnsi="Cambria Math"/>
              </w:rPr>
            </m:ctrlPr>
          </m:sSubPr>
          <m:e>
            <m:r>
              <w:rPr>
                <w:rFonts w:ascii="Cambria Math" w:hAnsi="Cambria Math"/>
              </w:rPr>
              <m:t>Ω</m:t>
            </m:r>
          </m:e>
          <m:sub>
            <m:r>
              <m:rPr>
                <m:nor/>
              </m:rPr>
              <m:t>valid</m:t>
            </m:r>
          </m:sub>
        </m:sSub>
      </m:oMath>
      <w:r>
        <w:t xml:space="preserve"> is mathematically defined by enforcing symmetric lower and upper guardrail bounds:</w:t>
      </w:r>
    </w:p>
    <w:p w14:paraId="3BBBCC5A"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Ω</m:t>
              </m:r>
            </m:e>
            <m:sub>
              <m:r>
                <m:rPr>
                  <m:nor/>
                </m:rPr>
                <m:t>valid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 | 0.33</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word</m:t>
                  </m:r>
                </m:sub>
              </m:sSub>
              <m:r>
                <m:rPr>
                  <m:sty m:val="p"/>
                </m:rPr>
                <w:rPr>
                  <w:rFonts w:ascii="Cambria Math" w:hAnsi="Cambria Math"/>
                </w:rPr>
                <m:t>≤</m:t>
              </m:r>
              <m:r>
                <w:rPr>
                  <w:rFonts w:ascii="Cambria Math" w:hAnsi="Cambria Math"/>
                </w:rPr>
                <m:t>3.00 </m:t>
              </m:r>
              <m:r>
                <m:rPr>
                  <m:sty m:val="p"/>
                </m:rPr>
                <w:rPr>
                  <w:rFonts w:ascii="Cambria Math" w:hAnsi="Cambria Math"/>
                </w:rPr>
                <m:t>∧</m:t>
              </m:r>
              <m:r>
                <w:rPr>
                  <w:rFonts w:ascii="Cambria Math" w:hAnsi="Cambria Math"/>
                </w:rPr>
                <m:t> 0.33</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char</m:t>
                  </m:r>
                </m:sub>
              </m:sSub>
              <m:r>
                <m:rPr>
                  <m:sty m:val="p"/>
                </m:rPr>
                <w:rPr>
                  <w:rFonts w:ascii="Cambria Math" w:hAnsi="Cambria Math"/>
                </w:rPr>
                <m:t>≤</m:t>
              </m:r>
              <m:r>
                <w:rPr>
                  <w:rFonts w:ascii="Cambria Math" w:hAnsi="Cambria Math"/>
                </w:rPr>
                <m:t>3.00</m:t>
              </m:r>
            </m:e>
          </m:d>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1E54A5A0" w14:textId="7E659F56" w:rsidR="00930E6A" w:rsidRDefault="00F2464B" w:rsidP="00A54745">
      <w:pPr>
        <w:pStyle w:val="FirstParagraph"/>
      </w:pPr>
      <w:r>
        <w:t xml:space="preserve">Where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denotes an arbitrary parallel sentence pair comprising Standard Bangla source text </w:t>
      </w:r>
      <m:oMath>
        <m:r>
          <w:rPr>
            <w:rFonts w:ascii="Cambria Math" w:hAnsi="Cambria Math"/>
          </w:rPr>
          <m:t>x</m:t>
        </m:r>
      </m:oMath>
      <w:r>
        <w:t xml:space="preserve"> and regional dialect target text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r</m:t>
            </m:r>
          </m:e>
          <m:sub>
            <m:r>
              <m:rPr>
                <m:nor/>
              </m:rPr>
              <m:t>word</m:t>
            </m:r>
          </m:sub>
        </m:sSub>
      </m:oMath>
      <w:r>
        <w:t xml:space="preserve"> and </w:t>
      </w:r>
      <m:oMath>
        <m:sSub>
          <m:sSubPr>
            <m:ctrlPr>
              <w:rPr>
                <w:rFonts w:ascii="Cambria Math" w:hAnsi="Cambria Math"/>
              </w:rPr>
            </m:ctrlPr>
          </m:sSubPr>
          <m:e>
            <m:r>
              <w:rPr>
                <w:rFonts w:ascii="Cambria Math" w:hAnsi="Cambria Math"/>
              </w:rPr>
              <m:t>r</m:t>
            </m:r>
          </m:e>
          <m:sub>
            <m:r>
              <m:rPr>
                <m:nor/>
              </m:rPr>
              <m:t>char</m:t>
            </m:r>
          </m:sub>
        </m:sSub>
      </m:oMath>
      <w:r>
        <w:t xml:space="preserve"> represent the word and character length ratios calculated via Equation (3.4), and </w:t>
      </w:r>
      <m:oMath>
        <m:r>
          <w:rPr>
            <w:rFonts w:ascii="Cambria Math" w:hAnsi="Cambria Math"/>
          </w:rPr>
          <m:t>0.33</m:t>
        </m:r>
      </m:oMath>
      <w:r>
        <w:t xml:space="preserve"> and </w:t>
      </w:r>
      <m:oMath>
        <m:r>
          <w:rPr>
            <w:rFonts w:ascii="Cambria Math" w:hAnsi="Cambria Math"/>
          </w:rPr>
          <m:t>3.00</m:t>
        </m:r>
      </m:oMath>
      <w:r>
        <w:t xml:space="preserve"> define the lower and upper guardrail thresholds, permitting a maximum threefold length expansion or </w:t>
      </w:r>
      <w:r>
        <w:lastRenderedPageBreak/>
        <w:t xml:space="preserve">contraction. Sentence pairs falling outside the valid set </w:t>
      </w:r>
      <m:oMath>
        <m:sSub>
          <m:sSubPr>
            <m:ctrlPr>
              <w:rPr>
                <w:rFonts w:ascii="Cambria Math" w:hAnsi="Cambria Math"/>
              </w:rPr>
            </m:ctrlPr>
          </m:sSubPr>
          <m:e>
            <m:r>
              <w:rPr>
                <w:rFonts w:ascii="Cambria Math" w:hAnsi="Cambria Math"/>
              </w:rPr>
              <m:t>Ω</m:t>
            </m:r>
          </m:e>
          <m:sub>
            <m:r>
              <m:rPr>
                <m:nor/>
              </m:rPr>
              <m:t>valid</m:t>
            </m:r>
          </m:sub>
        </m:sSub>
      </m:oMath>
      <w:r>
        <w:t xml:space="preserve"> are systematically purged from the training set and logged in a structured audit log. Empirical analysis confirms that enforcing Equation (3.5) effectively eliminates catastrophic sentence truncation and repetitive generation artifacts while permitting natural dialectal morphosyntactic shifts. All dropped rows, along with their associated row IDs and specific failure reasons, are written to an external diagnostic audit trail, maintaining total transparency and reproducibility throughout the dataset preparation pipeline.</w:t>
      </w:r>
    </w:p>
    <w:p w14:paraId="1B9EB4D5" w14:textId="77777777" w:rsidR="00A54745" w:rsidRPr="00A54745" w:rsidRDefault="00A54745" w:rsidP="00A54745">
      <w:pPr>
        <w:pStyle w:val="BodyText"/>
      </w:pPr>
    </w:p>
    <w:p w14:paraId="3062B023" w14:textId="77777777" w:rsidR="00930E6A" w:rsidRPr="00A54745" w:rsidRDefault="00F2464B">
      <w:pPr>
        <w:pStyle w:val="Heading2"/>
        <w:rPr>
          <w:rFonts w:ascii="Times New Roman" w:hAnsi="Times New Roman" w:cs="Times New Roman"/>
          <w:color w:val="auto"/>
          <w:sz w:val="26"/>
          <w:szCs w:val="26"/>
        </w:rPr>
      </w:pPr>
      <w:bookmarkStart w:id="6" w:name="X7b0b0f936ad0b6f901cb2615ae9b73398c08745"/>
      <w:bookmarkEnd w:id="2"/>
      <w:bookmarkEnd w:id="5"/>
      <w:r w:rsidRPr="00A54745">
        <w:rPr>
          <w:rFonts w:ascii="Times New Roman" w:hAnsi="Times New Roman" w:cs="Times New Roman"/>
          <w:color w:val="auto"/>
          <w:sz w:val="26"/>
          <w:szCs w:val="26"/>
        </w:rPr>
        <w:t>3.2 Deduplication and Contamination-Free Data Partitioning</w:t>
      </w:r>
    </w:p>
    <w:p w14:paraId="550BED5B" w14:textId="0F2C4EDB" w:rsidR="00930E6A" w:rsidRDefault="00F2464B">
      <w:pPr>
        <w:pStyle w:val="FirstParagraph"/>
      </w:pPr>
      <w:r>
        <w:t>The extraction of parallel sentence pairs from web-crawled repositories, multi-source digital libraries, and crowdsourced transcriptions inevitably introduces significant data redundancy. Duplicate and near-duplicate instances in training datasets severely distort statistical language modeling, induce artificial over-fitting on high-frequency templates, and invalidate cross-validation metrics. More critically, when identical or highly similar source sentences appear in both training and evaluation splits, evaluation benchmarks suffer from data contamination, yielding artificially inflated translation BLEU and chrF scores. To construct an uncorrupted, leak-free training environment, a comprehensive three-stage deduplication and partitioning framework was developed [16], [17].</w:t>
      </w:r>
    </w:p>
    <w:p w14:paraId="48B1F40E" w14:textId="61554CFC" w:rsidR="00930E6A" w:rsidRDefault="00F2464B">
      <w:pPr>
        <w:pStyle w:val="BodyText"/>
      </w:pPr>
      <w:r>
        <w:t xml:space="preserve">Raw parallel pairs first undergo vectorized exact deduplication across concatenated string tuples. Surviving unique pairs are decomposed into character </w:t>
      </w:r>
      <m:oMath>
        <m:r>
          <w:rPr>
            <w:rFonts w:ascii="Cambria Math" w:hAnsi="Cambria Math"/>
          </w:rPr>
          <m:t>k</m:t>
        </m:r>
      </m:oMath>
      <w:r>
        <w:t>-shingles and converted into 128-dimensional MinHash signature vectors via universal hashing. Locality-Sensitive Hashing (LSH) distributes signatures into 32 distinct sub-bands to generate candidate collision pairs without evaluating pairwise Cartesian products. Candidate pairs undergo fine-grained string alignment using normalized Levenshtein distance; pairs exceeding the similarity threshold (</w:t>
      </w:r>
      <m:oMath>
        <m:r>
          <w:rPr>
            <w:rFonts w:ascii="Cambria Math" w:hAnsi="Cambria Math"/>
          </w:rPr>
          <m:t>τ</m:t>
        </m:r>
        <m:r>
          <m:rPr>
            <m:sty m:val="p"/>
          </m:rPr>
          <w:rPr>
            <w:rFonts w:ascii="Cambria Math" w:hAnsi="Cambria Math"/>
          </w:rPr>
          <m:t>≥</m:t>
        </m:r>
        <m:r>
          <w:rPr>
            <w:rFonts w:ascii="Cambria Math" w:hAnsi="Cambria Math"/>
          </w:rPr>
          <m:t>0.92</m:t>
        </m:r>
      </m:oMath>
      <w:r>
        <w:t>) are merged into equivalence classes using Disjoint-Set Union-Find. Finally, each connected component cluster is assigned a deterministic SHA-256 hash digest, guaranteeing that all members of a cluster—and all dialectal variants sharing an identical Standard Bangla source—are assigned exclusively to a single dataset partition.</w:t>
      </w:r>
    </w:p>
    <w:p w14:paraId="6DEC9CC4" w14:textId="77777777" w:rsidR="00930E6A" w:rsidRPr="00A54745" w:rsidRDefault="00F2464B">
      <w:pPr>
        <w:pStyle w:val="Heading3"/>
        <w:rPr>
          <w:rFonts w:ascii="Times New Roman" w:hAnsi="Times New Roman" w:cs="Times New Roman"/>
          <w:i w:val="0"/>
          <w:iCs/>
          <w:color w:val="auto"/>
          <w:sz w:val="26"/>
          <w:szCs w:val="26"/>
        </w:rPr>
      </w:pPr>
      <w:bookmarkStart w:id="7" w:name="exact-deduplication"/>
      <w:r w:rsidRPr="00A54745">
        <w:rPr>
          <w:rFonts w:ascii="Times New Roman" w:hAnsi="Times New Roman" w:cs="Times New Roman"/>
          <w:i w:val="0"/>
          <w:iCs/>
          <w:color w:val="auto"/>
          <w:sz w:val="26"/>
          <w:szCs w:val="26"/>
        </w:rPr>
        <w:lastRenderedPageBreak/>
        <w:t>3.2.1 Exact Deduplication</w:t>
      </w:r>
    </w:p>
    <w:p w14:paraId="294709AF" w14:textId="77777777" w:rsidR="00930E6A" w:rsidRDefault="00F2464B">
      <w:pPr>
        <w:pStyle w:val="FirstParagraph"/>
      </w:pPr>
      <w:r>
        <w:t>Exact record duplicate removal represents the foundational layer of corpus purification. In multi-source parallel corpora containing Standard Bangla (</w:t>
      </w:r>
      <m:oMath>
        <m:r>
          <w:rPr>
            <w:rFonts w:ascii="Cambria Math" w:hAnsi="Cambria Math"/>
          </w:rPr>
          <m:t>x</m:t>
        </m:r>
      </m:oMath>
      <w:r>
        <w:t>) and regional dialect (</w:t>
      </w:r>
      <m:oMath>
        <m:r>
          <w:rPr>
            <w:rFonts w:ascii="Cambria Math" w:hAnsi="Cambria Math"/>
          </w:rPr>
          <m:t>y</m:t>
        </m:r>
      </m:oMath>
      <w:r>
        <w:t xml:space="preserve">) text, duplicate instances manifest in three distinct forms: identical source-target pairs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w:r>
        <w:t xml:space="preserve">, identical source sentences paired with divergent dialect transcriptions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w:r>
        <w:t xml:space="preserve">, and identical dialect sentences paired with divergent source translations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w:r>
        <w:t>. While multi-mapping pairs may occasionally reflect valid translation variations, unverified exact duplicates disproportionately weight specific morphosyntactic patterns during optimization.</w:t>
      </w:r>
    </w:p>
    <w:p w14:paraId="254B496E" w14:textId="77777777" w:rsidR="00930E6A" w:rsidRDefault="00F2464B">
      <w:pPr>
        <w:pStyle w:val="BodyText"/>
      </w:pPr>
      <w:r>
        <w:t>To execute exact deduplication efficiently across million-scale sentence banks, a vectorized string tuple hash indexing protocol is applied. Each parallel sentence pair is mapped to an atomic composite string key via a deterministic string join operation:</w:t>
      </w:r>
    </w:p>
    <w:p w14:paraId="544CC60B"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m:rPr>
              <m:nor/>
            </m:rPr>
            <m:t>UTF8</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U+001F</m:t>
          </m:r>
          <m:r>
            <m:rPr>
              <m:sty m:val="p"/>
            </m:rPr>
            <w:rPr>
              <w:rFonts w:ascii="Cambria Math" w:hAnsi="Cambria Math"/>
            </w:rPr>
            <m:t>∥</m:t>
          </m:r>
          <m:r>
            <m:rPr>
              <m:nor/>
            </m:rPr>
            <m:t>UTF8</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20567FF8" w14:textId="77777777" w:rsidR="00930E6A" w:rsidRDefault="00F2464B">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 the normalized Standard Bangla source string and regional dialect target string for row </w:t>
      </w:r>
      <m:oMath>
        <m:r>
          <w:rPr>
            <w:rFonts w:ascii="Cambria Math" w:hAnsi="Cambria Math"/>
          </w:rPr>
          <m:t>i</m:t>
        </m:r>
      </m:oMath>
      <w:r>
        <w:t xml:space="preserve">, respectively, </w:t>
      </w:r>
      <m:oMath>
        <m:r>
          <m:rPr>
            <m:nor/>
          </m:rPr>
          <m:t>UTF8</m:t>
        </m:r>
        <m:r>
          <m:rPr>
            <m:sty m:val="p"/>
          </m:rPr>
          <w:rPr>
            <w:rFonts w:ascii="Cambria Math" w:hAnsi="Cambria Math"/>
          </w:rPr>
          <m:t>(⋅)</m:t>
        </m:r>
      </m:oMath>
      <w:r>
        <w:t xml:space="preserve"> represents the standardized UTF-8 byte array encoding pass, </w:t>
      </w:r>
      <m:oMath>
        <m:r>
          <m:rPr>
            <m:sty m:val="p"/>
          </m:rPr>
          <w:rPr>
            <w:rFonts w:ascii="Cambria Math" w:hAnsi="Cambria Math"/>
          </w:rPr>
          <m:t>∥</m:t>
        </m:r>
      </m:oMath>
      <w:r>
        <w:t xml:space="preserve"> denotes string concatenation, </w:t>
      </w:r>
      <m:oMath>
        <m:r>
          <m:rPr>
            <m:nor/>
          </m:rPr>
          <m:t>U+001F</m:t>
        </m:r>
      </m:oMath>
      <w:r>
        <w:t xml:space="preserve"> represents the ASCII Unit Separator control character (codepoint U+001F), serving as an unambiguous structural delimiter, and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is the composite key uniquely representing the bivariate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w:t>
      </w:r>
    </w:p>
    <w:p w14:paraId="31781D1E" w14:textId="77777777" w:rsidR="00930E6A" w:rsidRDefault="00F2464B">
      <w:pPr>
        <w:pStyle w:val="BodyText"/>
      </w:pPr>
      <w:r>
        <w:t xml:space="preserve">The set of exact unique sentence pairs </w:t>
      </w:r>
      <m:oMath>
        <m:sSub>
          <m:sSubPr>
            <m:ctrlPr>
              <w:rPr>
                <w:rFonts w:ascii="Cambria Math" w:hAnsi="Cambria Math"/>
              </w:rPr>
            </m:ctrlPr>
          </m:sSubPr>
          <m:e>
            <m:r>
              <m:rPr>
                <m:scr m:val="script"/>
                <m:sty m:val="p"/>
              </m:rPr>
              <w:rPr>
                <w:rFonts w:ascii="Cambria Math" w:hAnsi="Cambria Math"/>
              </w:rPr>
              <m:t>D</m:t>
            </m:r>
          </m:e>
          <m:sub>
            <m:r>
              <m:rPr>
                <m:nor/>
              </m:rPr>
              <m:t>exact</m:t>
            </m:r>
          </m:sub>
        </m:sSub>
      </m:oMath>
      <w:r>
        <w:t xml:space="preserve"> is subsequently derived by identifying first-occurrence indices across the composite key space:</w:t>
      </w:r>
    </w:p>
    <w:p w14:paraId="6801E170" w14:textId="77777777" w:rsidR="00930E6A" w:rsidRDefault="003357BF">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D</m:t>
              </m:r>
            </m:e>
            <m:sub>
              <m:r>
                <m:rPr>
                  <m:nor/>
                </m:rPr>
                <m:t>exact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 | i</m:t>
              </m:r>
              <m:r>
                <m:rPr>
                  <m:sty m:val="p"/>
                </m:rPr>
                <w:rPr>
                  <w:rFonts w:ascii="Cambria Math" w:hAnsi="Cambria Math"/>
                </w:rPr>
                <m:t>=</m:t>
              </m:r>
              <m:r>
                <m:rPr>
                  <m:nor/>
                </m:rPr>
                <m:t>min</m:t>
              </m:r>
              <m:d>
                <m:dPr>
                  <m:begChr m:val="{"/>
                  <m:endChr m:val="}"/>
                  <m:ctrlPr>
                    <w:rPr>
                      <w:rFonts w:ascii="Cambria Math" w:hAnsi="Cambria Math"/>
                    </w:rPr>
                  </m:ctrlPr>
                </m:dPr>
                <m:e>
                  <m:r>
                    <w:rPr>
                      <w:rFonts w:ascii="Cambria Math" w:hAnsi="Cambria Math"/>
                    </w:rPr>
                    <m:t>j | 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e>
          </m:d>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oMath>
      </m:oMathPara>
    </w:p>
    <w:p w14:paraId="2B3261DA" w14:textId="77777777" w:rsidR="00930E6A" w:rsidRDefault="00F2464B">
      <w:pPr>
        <w:pStyle w:val="FirstParagrap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represent composite key signatures calculated via Equation (3.6), </w:t>
      </w:r>
      <m:oMath>
        <m:r>
          <m:rPr>
            <m:nor/>
          </m:rPr>
          <m:t>min</m:t>
        </m:r>
        <m:r>
          <m:rPr>
            <m:sty m:val="p"/>
          </m:rPr>
          <w:rPr>
            <w:rFonts w:ascii="Cambria Math" w:hAnsi="Cambria Math"/>
          </w:rPr>
          <m:t>{⋅}</m:t>
        </m:r>
      </m:oMath>
      <w:r>
        <w:t xml:space="preserve"> extracts the earliest dataset index associated with key value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m:rPr>
                <m:scr m:val="script"/>
                <m:sty m:val="p"/>
              </m:rPr>
              <w:rPr>
                <w:rFonts w:ascii="Cambria Math" w:hAnsi="Cambria Math"/>
              </w:rPr>
              <m:t>D</m:t>
            </m:r>
          </m:e>
          <m:sub>
            <m:r>
              <m:rPr>
                <m:nor/>
              </m:rPr>
              <m:t>exact</m:t>
            </m:r>
          </m:sub>
        </m:sSub>
      </m:oMath>
      <w:r>
        <w:t xml:space="preserve"> defines the deduplicated corpus containing strictly unique bivariate text pairs. The execution of Equation (3.7) eliminates exact functional redundancy while maintaining linear time complexity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relative to dataset size </w:t>
      </w:r>
      <m:oMath>
        <m:r>
          <w:rPr>
            <w:rFonts w:ascii="Cambria Math" w:hAnsi="Cambria Math"/>
          </w:rPr>
          <m:t>N</m:t>
        </m:r>
      </m:oMath>
      <w:r>
        <w:t xml:space="preserve">. Following exact deduplication, composite keys </w:t>
      </w:r>
      <w:r>
        <w:lastRenderedPageBreak/>
        <w:t>are discarded, and surviving sentence pairs are passed directly to the non-exact near-duplicate identification module.</w:t>
      </w:r>
    </w:p>
    <w:p w14:paraId="46E0ABB5" w14:textId="77777777" w:rsidR="00930E6A" w:rsidRPr="00A54745" w:rsidRDefault="00F2464B">
      <w:pPr>
        <w:pStyle w:val="Heading3"/>
        <w:rPr>
          <w:rFonts w:ascii="Times New Roman" w:hAnsi="Times New Roman" w:cs="Times New Roman"/>
          <w:i w:val="0"/>
          <w:iCs/>
          <w:color w:val="auto"/>
          <w:sz w:val="26"/>
          <w:szCs w:val="26"/>
        </w:rPr>
      </w:pPr>
      <w:bookmarkStart w:id="8" w:name="X90919ebc1fa199a22de68f561ea704d0712de49"/>
      <w:bookmarkEnd w:id="7"/>
      <w:r w:rsidRPr="00A54745">
        <w:rPr>
          <w:rFonts w:ascii="Times New Roman" w:hAnsi="Times New Roman" w:cs="Times New Roman"/>
          <w:i w:val="0"/>
          <w:iCs/>
          <w:color w:val="auto"/>
          <w:sz w:val="26"/>
          <w:szCs w:val="26"/>
        </w:rPr>
        <w:t>3.2.2 Near-Duplicate Identification via MinHash and LSH Banding</w:t>
      </w:r>
    </w:p>
    <w:p w14:paraId="34280B7B" w14:textId="77777777" w:rsidR="00930E6A" w:rsidRDefault="00F2464B">
      <w:pPr>
        <w:pStyle w:val="FirstParagraph"/>
      </w:pPr>
      <w:r>
        <w:t xml:space="preserve">While exact deduplication successfully purges identical sentence pairs, it fails to detect near-duplicate sentences that differ only by minor typographical errors, punctuation variations, or single-word substitution shifts. Performing exhaustive pairwise string distance comparisons across </w:t>
      </w:r>
      <m:oMath>
        <m:r>
          <w:rPr>
            <w:rFonts w:ascii="Cambria Math" w:hAnsi="Cambria Math"/>
          </w:rPr>
          <m:t>N</m:t>
        </m:r>
      </m:oMath>
      <w:r>
        <w:t xml:space="preserve"> sentences requires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computations, which is computationally intractable for large corpora. To achieve scalable candidate generation, a locality-sensitive hashing architecture based on </w:t>
      </w:r>
      <m:oMath>
        <m:r>
          <w:rPr>
            <w:rFonts w:ascii="Cambria Math" w:hAnsi="Cambria Math"/>
          </w:rPr>
          <m:t>k</m:t>
        </m:r>
      </m:oMath>
      <w:r>
        <w:t>-shingle decomposition and vectorized MinHash signatures is implemented.</w:t>
      </w:r>
    </w:p>
    <w:p w14:paraId="7F4D4785" w14:textId="77777777" w:rsidR="00930E6A" w:rsidRDefault="00F2464B">
      <w:pPr>
        <w:pStyle w:val="BodyText"/>
      </w:pPr>
      <w:r>
        <w:t xml:space="preserve">Given a normalized sentence string </w:t>
      </w:r>
      <m:oMath>
        <m:r>
          <w:rPr>
            <w:rFonts w:ascii="Cambria Math" w:hAnsi="Cambria Math"/>
          </w:rPr>
          <m:t>S</m:t>
        </m:r>
      </m:oMath>
      <w:r>
        <w:t xml:space="preserve">, the document is first decomposed into a set of overlapping character </w:t>
      </w:r>
      <m:oMath>
        <m:r>
          <w:rPr>
            <w:rFonts w:ascii="Cambria Math" w:hAnsi="Cambria Math"/>
          </w:rPr>
          <m:t>k</m:t>
        </m:r>
      </m:oMath>
      <w:r>
        <w:t xml:space="preserve">-shingles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using a fixed window size of </w:t>
      </w:r>
      <m:oMath>
        <m:r>
          <w:rPr>
            <w:rFonts w:ascii="Cambria Math" w:hAnsi="Cambria Math"/>
          </w:rPr>
          <m:t>k</m:t>
        </m:r>
        <m:r>
          <m:rPr>
            <m:sty m:val="p"/>
          </m:rPr>
          <w:rPr>
            <w:rFonts w:ascii="Cambria Math" w:hAnsi="Cambria Math"/>
          </w:rPr>
          <m:t>=</m:t>
        </m:r>
        <m:r>
          <w:rPr>
            <w:rFonts w:ascii="Cambria Math" w:hAnsi="Cambria Math"/>
          </w:rPr>
          <m:t>4</m:t>
        </m:r>
      </m:oMath>
      <w:r>
        <w:t xml:space="preserve"> characters:</w:t>
      </w:r>
    </w:p>
    <w:p w14:paraId="52BDB15A" w14:textId="77777777" w:rsidR="00930E6A" w:rsidRDefault="003357BF">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5249A33C" w14:textId="77777777" w:rsidR="00930E6A" w:rsidRDefault="00F2464B">
      <w:pPr>
        <w:pStyle w:val="FirstParagraph"/>
      </w:pPr>
      <w:r>
        <w:t xml:space="preserve">Where </w:t>
      </w:r>
      <m:oMath>
        <m:r>
          <w:rPr>
            <w:rFonts w:ascii="Cambria Math" w:hAnsi="Cambria Math"/>
          </w:rPr>
          <m:t>S</m:t>
        </m:r>
      </m:oMath>
      <w:r>
        <w:t xml:space="preserve"> represents a normalized text sequence, </w:t>
      </w:r>
      <m:oMath>
        <m:r>
          <w:rPr>
            <w:rFonts w:ascii="Cambria Math" w:hAnsi="Cambria Math"/>
          </w:rPr>
          <m:t>k</m:t>
        </m:r>
        <m:r>
          <m:rPr>
            <m:sty m:val="p"/>
          </m:rPr>
          <w:rPr>
            <w:rFonts w:ascii="Cambria Math" w:hAnsi="Cambria Math"/>
          </w:rPr>
          <m:t>=</m:t>
        </m:r>
        <m:r>
          <w:rPr>
            <w:rFonts w:ascii="Cambria Math" w:hAnsi="Cambria Math"/>
          </w:rPr>
          <m:t>4</m:t>
        </m:r>
      </m:oMath>
      <w:r>
        <w:t xml:space="preserve"> specifies the character-level shingle sliding window length, </w:t>
      </w:r>
      <m:oMath>
        <m:r>
          <m:rPr>
            <m:sty m:val="p"/>
          </m:rPr>
          <w:rPr>
            <w:rFonts w:ascii="Cambria Math" w:hAnsi="Cambria Math"/>
          </w:rPr>
          <m:t>|</m:t>
        </m:r>
        <m:r>
          <w:rPr>
            <w:rFonts w:ascii="Cambria Math" w:hAnsi="Cambria Math"/>
          </w:rPr>
          <m:t>S</m:t>
        </m:r>
        <m:r>
          <m:rPr>
            <m:sty m:val="p"/>
          </m:rPr>
          <w:rPr>
            <w:rFonts w:ascii="Cambria Math" w:hAnsi="Cambria Math"/>
          </w:rPr>
          <m:t>|</m:t>
        </m:r>
      </m:oMath>
      <w:r>
        <w:t xml:space="preserve"> denotes the total character length of string </w:t>
      </w:r>
      <m:oMath>
        <m:r>
          <w:rPr>
            <w:rFonts w:ascii="Cambria Math" w:hAnsi="Cambria Math"/>
          </w:rPr>
          <m:t>S</m:t>
        </m:r>
      </m:oMath>
      <w:r>
        <w:t xml:space="preserve">,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is the set of extracted character n-gram shingles.</w:t>
      </w:r>
    </w:p>
    <w:p w14:paraId="6E0810F5" w14:textId="77777777" w:rsidR="00930E6A" w:rsidRDefault="00F2464B">
      <w:pPr>
        <w:pStyle w:val="BodyText"/>
      </w:pPr>
      <w:r>
        <w:t xml:space="preserve">To map variable-length shingle sets into fixed-size dimensional representations, </w:t>
      </w:r>
      <m:oMath>
        <m:r>
          <w:rPr>
            <w:rFonts w:ascii="Cambria Math" w:hAnsi="Cambria Math"/>
          </w:rPr>
          <m:t>K</m:t>
        </m:r>
        <m:r>
          <m:rPr>
            <m:sty m:val="p"/>
          </m:rPr>
          <w:rPr>
            <w:rFonts w:ascii="Cambria Math" w:hAnsi="Cambria Math"/>
          </w:rPr>
          <m:t>=</m:t>
        </m:r>
        <m:r>
          <w:rPr>
            <w:rFonts w:ascii="Cambria Math" w:hAnsi="Cambria Math"/>
          </w:rPr>
          <m:t>128</m:t>
        </m:r>
      </m:oMath>
      <w:r>
        <w:t xml:space="preserve"> independent universal hash functions are constructed. A primary engineering bottleneck in vectorized numerical hash computation involves integer overflow. Standard 64-bit Mersenne primes cause silent 64-bit integer overflow during broad </w:t>
      </w:r>
      <m:oMath>
        <m:r>
          <w:rPr>
            <w:rFonts w:ascii="Cambria Math" w:hAnsi="Cambria Math"/>
          </w:rPr>
          <m:t>N</m:t>
        </m:r>
        <m:r>
          <m:rPr>
            <m:sty m:val="p"/>
          </m:rPr>
          <w:rPr>
            <w:rFonts w:ascii="Cambria Math" w:hAnsi="Cambria Math"/>
          </w:rPr>
          <m:t>×</m:t>
        </m:r>
        <m:r>
          <w:rPr>
            <w:rFonts w:ascii="Cambria Math" w:hAnsi="Cambria Math"/>
          </w:rPr>
          <m:t>K</m:t>
        </m:r>
      </m:oMath>
      <w:r>
        <w:t xml:space="preserve"> matrix multiplications in NumPy, corrupting signature arrays. To guarantee numerical stability without incurring arbitrary-precision Python integer overhead, the universal hash family is explicitly parameterized over the 31st Mersenne prime </w:t>
      </w:r>
      <m:oMath>
        <m:sSub>
          <m:sSubPr>
            <m:ctrlPr>
              <w:rPr>
                <w:rFonts w:ascii="Cambria Math" w:hAnsi="Cambria Math"/>
              </w:rPr>
            </m:ctrlPr>
          </m:sSubPr>
          <m:e>
            <m:r>
              <w:rPr>
                <w:rFonts w:ascii="Cambria Math" w:hAnsi="Cambria Math"/>
              </w:rPr>
              <m:t>M</m:t>
            </m:r>
          </m:e>
          <m:sub>
            <m:r>
              <w:rPr>
                <w:rFonts w:ascii="Cambria Math" w:hAnsi="Cambria Math"/>
              </w:rPr>
              <m:t>31</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147</m:t>
        </m:r>
        <m:r>
          <m:rPr>
            <m:sty m:val="p"/>
          </m:rPr>
          <w:rPr>
            <w:rFonts w:ascii="Cambria Math" w:hAnsi="Cambria Math"/>
          </w:rPr>
          <m:t>,</m:t>
        </m:r>
        <m:r>
          <w:rPr>
            <w:rFonts w:ascii="Cambria Math" w:hAnsi="Cambria Math"/>
          </w:rPr>
          <m:t>483</m:t>
        </m:r>
        <m:r>
          <m:rPr>
            <m:sty m:val="p"/>
          </m:rPr>
          <w:rPr>
            <w:rFonts w:ascii="Cambria Math" w:hAnsi="Cambria Math"/>
          </w:rPr>
          <m:t>,</m:t>
        </m:r>
        <m:r>
          <w:rPr>
            <w:rFonts w:ascii="Cambria Math" w:hAnsi="Cambria Math"/>
          </w:rPr>
          <m:t>647</m:t>
        </m:r>
      </m:oMath>
      <w:r>
        <w:t>:</w:t>
      </w:r>
    </w:p>
    <w:p w14:paraId="467F70E1"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m:rPr>
              <m:nor/>
            </m:rPr>
            <m:t>mod</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31</m:t>
              </m:r>
            </m:sub>
          </m:sSub>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221A348B" w14:textId="77777777" w:rsidR="00930E6A" w:rsidRDefault="00F2464B">
      <w:pPr>
        <w:pStyle w:val="FirstParagraph"/>
      </w:pPr>
      <w:r>
        <w:t xml:space="preserve">Where </w:t>
      </w:r>
      <m:oMath>
        <m:r>
          <w:rPr>
            <w:rFonts w:ascii="Cambria Math" w:hAnsi="Cambria Math"/>
          </w:rPr>
          <m:t>x</m:t>
        </m:r>
      </m:oMath>
      <w:r>
        <w:t xml:space="preserve"> represents the 32-bit integer digest derived from an individual shingle string via MD5 hashing, </w:t>
      </w:r>
      <m:oMath>
        <m:sSub>
          <m:sSubPr>
            <m:ctrlPr>
              <w:rPr>
                <w:rFonts w:ascii="Cambria Math" w:hAnsi="Cambria Math"/>
              </w:rPr>
            </m:ctrlPr>
          </m:sSubPr>
          <m:e>
            <m:r>
              <w:rPr>
                <w:rFonts w:ascii="Cambria Math" w:hAnsi="Cambria Math"/>
              </w:rPr>
              <m:t>M</m:t>
            </m:r>
          </m:e>
          <m:sub>
            <m:r>
              <w:rPr>
                <w:rFonts w:ascii="Cambria Math" w:hAnsi="Cambria Math"/>
              </w:rPr>
              <m:t>31</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31</m:t>
            </m:r>
          </m:sup>
        </m:sSup>
        <m:r>
          <m:rPr>
            <m:sty m:val="p"/>
          </m:rPr>
          <w:rPr>
            <w:rFonts w:ascii="Cambria Math" w:hAnsi="Cambria Math"/>
          </w:rPr>
          <m:t>-</m:t>
        </m:r>
        <m:r>
          <w:rPr>
            <w:rFonts w:ascii="Cambria Math" w:hAnsi="Cambria Math"/>
          </w:rPr>
          <m:t>1</m:t>
        </m:r>
      </m:oMath>
      <w:r>
        <w:t xml:space="preserve"> defines the 32-bit Mersenne prime constant, </w:t>
      </w:r>
      <m:oMath>
        <m:r>
          <w:rPr>
            <w:rFonts w:ascii="Cambria Math" w:hAnsi="Cambria Math"/>
          </w:rPr>
          <m:t>a</m:t>
        </m:r>
      </m:oMath>
      <w:r>
        <w:t xml:space="preserve"> and </w:t>
      </w:r>
      <m:oMath>
        <m:r>
          <w:rPr>
            <w:rFonts w:ascii="Cambria Math" w:hAnsi="Cambria Math"/>
          </w:rPr>
          <m:t>b</m:t>
        </m:r>
      </m:oMath>
      <w:r>
        <w:t xml:space="preserve"> are </w:t>
      </w:r>
      <w:r>
        <w:lastRenderedPageBreak/>
        <w:t xml:space="preserve">randomly sampled scalar multipliers bounded within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is the resulting hash permutation value.</w:t>
      </w:r>
    </w:p>
    <w:p w14:paraId="625E72F0" w14:textId="77777777" w:rsidR="00930E6A" w:rsidRDefault="00F2464B">
      <w:pPr>
        <w:pStyle w:val="BodyText"/>
      </w:pPr>
      <w:r>
        <w:t xml:space="preserve">The MinHash signature component </w:t>
      </w:r>
      <m:oMath>
        <m:sSub>
          <m:sSubPr>
            <m:ctrlPr>
              <w:rPr>
                <w:rFonts w:ascii="Cambria Math" w:hAnsi="Cambria Math"/>
              </w:rPr>
            </m:ctrlPr>
          </m:sSubPr>
          <m:e>
            <m:r>
              <w:rPr>
                <w:rFonts w:ascii="Cambria Math" w:hAnsi="Cambria Math"/>
              </w:rPr>
              <m:t>h</m:t>
            </m:r>
          </m:e>
          <m:sub>
            <m:r>
              <m:rPr>
                <m:nor/>
              </m:rPr>
              <m:t>min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for the </w:t>
      </w:r>
      <m:oMath>
        <m:r>
          <w:rPr>
            <w:rFonts w:ascii="Cambria Math" w:hAnsi="Cambria Math"/>
          </w:rPr>
          <m:t>j</m:t>
        </m:r>
      </m:oMath>
      <w:r>
        <w:t>-th hash permutation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128</m:t>
        </m:r>
        <m:r>
          <m:rPr>
            <m:sty m:val="p"/>
          </m:rPr>
          <w:rPr>
            <w:rFonts w:ascii="Cambria Math" w:hAnsi="Cambria Math"/>
          </w:rPr>
          <m:t>}</m:t>
        </m:r>
      </m:oMath>
      <w:r>
        <w:t xml:space="preserve">) is computed as the minimum hash value observed across all shingles in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w:r>
        <w:t>:</w:t>
      </w:r>
    </w:p>
    <w:p w14:paraId="5C6C551A"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h</m:t>
              </m:r>
            </m:e>
            <m:sub>
              <m:r>
                <m:rPr>
                  <m:nor/>
                </m:rPr>
                <m:t>min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lim>
          </m:limLow>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3.10</m:t>
          </m:r>
          <m:r>
            <m:rPr>
              <m:sty m:val="p"/>
            </m:rPr>
            <w:rPr>
              <w:rFonts w:ascii="Cambria Math" w:hAnsi="Cambria Math"/>
            </w:rPr>
            <m:t>)</m:t>
          </m:r>
        </m:oMath>
      </m:oMathPara>
    </w:p>
    <w:p w14:paraId="4309A036" w14:textId="77777777" w:rsidR="00930E6A" w:rsidRDefault="00F2464B">
      <w:pPr>
        <w:pStyle w:val="FirstParagraph"/>
      </w:pPr>
      <w:r>
        <w:t xml:space="preserve">Where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denotes the set of </w:t>
      </w:r>
      <m:oMath>
        <m:r>
          <w:rPr>
            <w:rFonts w:ascii="Cambria Math" w:hAnsi="Cambria Math"/>
          </w:rPr>
          <m:t>k</m:t>
        </m:r>
      </m:oMath>
      <w:r>
        <w:t xml:space="preserve">-shingles derived via Equation (3.8),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represents the </w:t>
      </w:r>
      <m:oMath>
        <m:r>
          <w:rPr>
            <w:rFonts w:ascii="Cambria Math" w:hAnsi="Cambria Math"/>
          </w:rPr>
          <m:t>j</m:t>
        </m:r>
      </m:oMath>
      <w:r>
        <w:t xml:space="preserve">-th universal hash function formulated in Equation (3.9), and </w:t>
      </w:r>
      <m:oMath>
        <m:sSub>
          <m:sSubPr>
            <m:ctrlPr>
              <w:rPr>
                <w:rFonts w:ascii="Cambria Math" w:hAnsi="Cambria Math"/>
              </w:rPr>
            </m:ctrlPr>
          </m:sSubPr>
          <m:e>
            <m:r>
              <w:rPr>
                <w:rFonts w:ascii="Cambria Math" w:hAnsi="Cambria Math"/>
              </w:rPr>
              <m:t>h</m:t>
            </m:r>
          </m:e>
          <m:sub>
            <m:r>
              <m:rPr>
                <m:nor/>
              </m:rPr>
              <m:t>min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forms the </w:t>
      </w:r>
      <m:oMath>
        <m:r>
          <w:rPr>
            <w:rFonts w:ascii="Cambria Math" w:hAnsi="Cambria Math"/>
          </w:rPr>
          <m:t>j</m:t>
        </m:r>
      </m:oMath>
      <w:r>
        <w:t xml:space="preserve">-th entry of the 128-dimensional MinHash signature vector </w:t>
      </w:r>
      <m:oMath>
        <m:sSub>
          <m:sSubPr>
            <m:ctrlPr>
              <w:rPr>
                <w:rFonts w:ascii="Cambria Math" w:hAnsi="Cambria Math"/>
              </w:rPr>
            </m:ctrlPr>
          </m:sSubPr>
          <m:e>
            <m:r>
              <m:rPr>
                <m:sty m:val="b"/>
              </m:rPr>
              <w:rPr>
                <w:rFonts w:ascii="Cambria Math" w:hAnsi="Cambria Math"/>
              </w:rPr>
              <m:t>y</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128</m:t>
            </m:r>
          </m:sup>
        </m:sSup>
      </m:oMath>
      <w:r>
        <w:t>.</w:t>
      </w:r>
    </w:p>
    <w:p w14:paraId="63540252" w14:textId="77777777" w:rsidR="00930E6A" w:rsidRDefault="00F2464B">
      <w:pPr>
        <w:pStyle w:val="BodyText"/>
      </w:pPr>
      <w:r>
        <w:t xml:space="preserve">To convert signature matching into an efficient sub-quadratic lookup process, Locality-Sensitive Hashing (LSH) banding is applied. The </w:t>
      </w:r>
      <m:oMath>
        <m:r>
          <w:rPr>
            <w:rFonts w:ascii="Cambria Math" w:hAnsi="Cambria Math"/>
          </w:rPr>
          <m:t>K</m:t>
        </m:r>
        <m:r>
          <m:rPr>
            <m:sty m:val="p"/>
          </m:rPr>
          <w:rPr>
            <w:rFonts w:ascii="Cambria Math" w:hAnsi="Cambria Math"/>
          </w:rPr>
          <m:t>=</m:t>
        </m:r>
        <m:r>
          <w:rPr>
            <w:rFonts w:ascii="Cambria Math" w:hAnsi="Cambria Math"/>
          </w:rPr>
          <m:t>128</m:t>
        </m:r>
      </m:oMath>
      <w:r>
        <w:t xml:space="preserve"> signature dimensions are partitioned into </w:t>
      </w:r>
      <m:oMath>
        <m:r>
          <w:rPr>
            <w:rFonts w:ascii="Cambria Math" w:hAnsi="Cambria Math"/>
          </w:rPr>
          <m:t>b</m:t>
        </m:r>
        <m:r>
          <m:rPr>
            <m:sty m:val="p"/>
          </m:rPr>
          <w:rPr>
            <w:rFonts w:ascii="Cambria Math" w:hAnsi="Cambria Math"/>
          </w:rPr>
          <m:t>=</m:t>
        </m:r>
        <m:r>
          <w:rPr>
            <w:rFonts w:ascii="Cambria Math" w:hAnsi="Cambria Math"/>
          </w:rPr>
          <m:t>32</m:t>
        </m:r>
      </m:oMath>
      <w:r>
        <w:t xml:space="preserve"> distinct bands, with each band containing </w:t>
      </w:r>
      <m:oMath>
        <m:r>
          <w:rPr>
            <w:rFonts w:ascii="Cambria Math" w:hAnsi="Cambria Math"/>
          </w:rPr>
          <m:t>r</m:t>
        </m:r>
        <m:r>
          <m:rPr>
            <m:sty m:val="p"/>
          </m:rPr>
          <w:rPr>
            <w:rFonts w:ascii="Cambria Math" w:hAnsi="Cambria Math"/>
          </w:rPr>
          <m:t>=</m:t>
        </m:r>
        <m:r>
          <w:rPr>
            <w:rFonts w:ascii="Cambria Math" w:hAnsi="Cambria Math"/>
          </w:rPr>
          <m:t>4</m:t>
        </m:r>
      </m:oMath>
      <w:r>
        <w:t xml:space="preserve"> rows (</w:t>
      </w:r>
      <m:oMath>
        <m:r>
          <w:rPr>
            <w:rFonts w:ascii="Cambria Math" w:hAnsi="Cambria Math"/>
          </w:rPr>
          <m:t>K</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oMath>
      <w:r>
        <w:t xml:space="preserve">). Two sentences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are identified as candidate near-duplicates if their signature sub-vectors match exactly in at least one band. The theoretical collision probability </w:t>
      </w:r>
      <m:oMath>
        <m:r>
          <w:rPr>
            <w:rFonts w:ascii="Cambria Math" w:hAnsi="Cambria Math"/>
          </w:rPr>
          <m:t>P</m:t>
        </m:r>
        <m:r>
          <m:rPr>
            <m:sty m:val="p"/>
          </m:rPr>
          <w:rPr>
            <w:rFonts w:ascii="Cambria Math" w:hAnsi="Cambria Math"/>
          </w:rPr>
          <m:t>(</m:t>
        </m:r>
        <m:r>
          <m:rPr>
            <m:nor/>
          </m:rPr>
          <m:t>candidate</m:t>
        </m:r>
        <m:r>
          <m:rPr>
            <m:sty m:val="p"/>
          </m:rPr>
          <w:rPr>
            <w:rFonts w:ascii="Cambria Math" w:hAnsi="Cambria Math"/>
          </w:rPr>
          <m:t>)</m:t>
        </m:r>
      </m:oMath>
      <w:r>
        <w:t xml:space="preserve"> as a function of underlying Jaccard similarity </w:t>
      </w:r>
      <m:oMath>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oMath>
      <w:r>
        <w:t xml:space="preserve"> exhibits a characteristic S-curve profile:</w:t>
      </w:r>
    </w:p>
    <w:p w14:paraId="28E9E14D" w14:textId="77777777" w:rsidR="00930E6A" w:rsidRDefault="00F2464B">
      <w:pPr>
        <w:pStyle w:val="BodyText"/>
      </w:pPr>
      <m:oMathPara>
        <m:oMathParaPr>
          <m:jc m:val="center"/>
        </m:oMathParaPr>
        <m:oMath>
          <m:r>
            <w:rPr>
              <w:rFonts w:ascii="Cambria Math" w:hAnsi="Cambria Math"/>
            </w:rPr>
            <m:t>P</m:t>
          </m:r>
          <m:r>
            <m:rPr>
              <m:sty m:val="p"/>
            </m:rPr>
            <w:rPr>
              <w:rFonts w:ascii="Cambria Math" w:hAnsi="Cambria Math"/>
            </w:rPr>
            <m:t>(</m:t>
          </m:r>
          <m:r>
            <m:rPr>
              <m:nor/>
            </m:rPr>
            <m:t>candidate</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r</m:t>
                      </m:r>
                    </m:sup>
                  </m:sSup>
                </m:e>
              </m:d>
            </m:e>
            <m:sup>
              <m:r>
                <w:rPr>
                  <w:rFonts w:ascii="Cambria Math" w:hAnsi="Cambria Math"/>
                </w:rPr>
                <m:t>b</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4</m:t>
                      </m:r>
                    </m:sup>
                  </m:sSup>
                </m:e>
              </m:d>
            </m:e>
            <m:sup>
              <m:r>
                <w:rPr>
                  <w:rFonts w:ascii="Cambria Math" w:hAnsi="Cambria Math"/>
                </w:rPr>
                <m:t>32</m:t>
              </m:r>
            </m:sup>
          </m:sSup>
          <m:r>
            <w:rPr>
              <w:rFonts w:ascii="Cambria Math" w:hAnsi="Cambria Math"/>
            </w:rPr>
            <m:t>  </m:t>
          </m:r>
          <m:r>
            <m:rPr>
              <m:sty m:val="p"/>
            </m:rPr>
            <w:rPr>
              <w:rFonts w:ascii="Cambria Math" w:hAnsi="Cambria Math"/>
            </w:rPr>
            <m:t>(</m:t>
          </m:r>
          <m:r>
            <w:rPr>
              <w:rFonts w:ascii="Cambria Math" w:hAnsi="Cambria Math"/>
            </w:rPr>
            <m:t>3.11</m:t>
          </m:r>
          <m:r>
            <m:rPr>
              <m:sty m:val="p"/>
            </m:rPr>
            <w:rPr>
              <w:rFonts w:ascii="Cambria Math" w:hAnsi="Cambria Math"/>
            </w:rPr>
            <m:t>)</m:t>
          </m:r>
        </m:oMath>
      </m:oMathPara>
    </w:p>
    <w:p w14:paraId="2F7514D3" w14:textId="77777777" w:rsidR="00930E6A" w:rsidRDefault="00F2464B">
      <w:pPr>
        <w:pStyle w:val="FirstParagraph"/>
      </w:pPr>
      <w:r>
        <w:t xml:space="preserve">Where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the true Jaccard set similarity between shingle sets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oMath>
      <w:r>
        <w:t xml:space="preserve">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4</m:t>
        </m:r>
      </m:oMath>
      <w:r>
        <w:t xml:space="preserve"> denotes the number of rows per LSH band, </w:t>
      </w:r>
      <m:oMath>
        <m:r>
          <w:rPr>
            <w:rFonts w:ascii="Cambria Math" w:hAnsi="Cambria Math"/>
          </w:rPr>
          <m:t>b</m:t>
        </m:r>
        <m:r>
          <m:rPr>
            <m:sty m:val="p"/>
          </m:rPr>
          <w:rPr>
            <w:rFonts w:ascii="Cambria Math" w:hAnsi="Cambria Math"/>
          </w:rPr>
          <m:t>=</m:t>
        </m:r>
        <m:r>
          <w:rPr>
            <w:rFonts w:ascii="Cambria Math" w:hAnsi="Cambria Math"/>
          </w:rPr>
          <m:t>32</m:t>
        </m:r>
      </m:oMath>
      <w:r>
        <w:t xml:space="preserve"> denotes the total number of independent LSH bands, and </w:t>
      </w:r>
      <m:oMath>
        <m:r>
          <w:rPr>
            <w:rFonts w:ascii="Cambria Math" w:hAnsi="Cambria Math"/>
          </w:rPr>
          <m:t>P</m:t>
        </m:r>
        <m:r>
          <m:rPr>
            <m:sty m:val="p"/>
          </m:rPr>
          <w:rPr>
            <w:rFonts w:ascii="Cambria Math" w:hAnsi="Cambria Math"/>
          </w:rPr>
          <m:t>(</m:t>
        </m:r>
        <m:r>
          <m:rPr>
            <m:nor/>
          </m:rPr>
          <m:t>candidate</m:t>
        </m:r>
        <m:r>
          <m:rPr>
            <m:sty m:val="p"/>
          </m:rPr>
          <w:rPr>
            <w:rFonts w:ascii="Cambria Math" w:hAnsi="Cambria Math"/>
          </w:rPr>
          <m:t>)</m:t>
        </m:r>
      </m:oMath>
      <w:r>
        <w:t xml:space="preserve"> represents the probability that pair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oMath>
      <w:r>
        <w:t xml:space="preserve"> collides in at least one LSH bucket.</w:t>
      </w:r>
    </w:p>
    <w:p w14:paraId="39ACB1ED" w14:textId="77777777" w:rsidR="00930E6A" w:rsidRDefault="00F2464B">
      <w:pPr>
        <w:pStyle w:val="BodyText"/>
      </w:pPr>
      <w:r>
        <w:t xml:space="preserve">Equation (3.11) establishes a steep probability threshold centered around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r</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32</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0.42</m:t>
        </m:r>
      </m:oMath>
      <w:r>
        <w:t xml:space="preserve">. Candidate pairs generating bucket collisions undergo mandatory fine-grained confirmation using the normalized Levenshtein string similarity ratio </w:t>
      </w:r>
      <m:oMath>
        <m:sSub>
          <m:sSubPr>
            <m:ctrlPr>
              <w:rPr>
                <w:rFonts w:ascii="Cambria Math" w:hAnsi="Cambria Math"/>
              </w:rPr>
            </m:ctrlPr>
          </m:sSubPr>
          <m:e>
            <m:r>
              <w:rPr>
                <w:rFonts w:ascii="Cambria Math" w:hAnsi="Cambria Math"/>
              </w:rPr>
              <m:t>L</m:t>
            </m:r>
          </m:e>
          <m:sub>
            <m:r>
              <m:rPr>
                <m:nor/>
              </m:rPr>
              <m:t>norm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oMath>
      <w:r>
        <w:t>:</w:t>
      </w:r>
    </w:p>
    <w:p w14:paraId="3132B1AE"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L</m:t>
              </m:r>
            </m:e>
            <m:sub>
              <m:r>
                <m:rPr>
                  <m:nor/>
                </m:rPr>
                <m:t>norm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nor/>
                </m:rPr>
                <m:t>Levenshtein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num>
            <m:den>
              <m:r>
                <m:rPr>
                  <m:nor/>
                </m:rPr>
                <m:t>max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3.12</m:t>
          </m:r>
          <m:r>
            <m:rPr>
              <m:sty m:val="p"/>
            </m:rPr>
            <w:rPr>
              <w:rFonts w:ascii="Cambria Math" w:hAnsi="Cambria Math"/>
            </w:rPr>
            <m:t>)</m:t>
          </m:r>
        </m:oMath>
      </m:oMathPara>
    </w:p>
    <w:p w14:paraId="00D73F39" w14:textId="77777777" w:rsidR="00930E6A" w:rsidRDefault="00F2464B">
      <w:pPr>
        <w:pStyle w:val="FirstParagraph"/>
      </w:pPr>
      <w:r>
        <w:lastRenderedPageBreak/>
        <w:t xml:space="preserve">Where </w:t>
      </w:r>
      <m:oMath>
        <m:r>
          <m:rPr>
            <m:nor/>
          </m:rPr>
          <m:t>Levenshtein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oMath>
      <w:r>
        <w:t xml:space="preserve"> computes the minimum number of character insertions, deletions, and substitutions required to transform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into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oMath>
      <w:r>
        <w:t xml:space="preserve"> denote the character lengths of strings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L</m:t>
            </m:r>
          </m:e>
          <m:sub>
            <m:r>
              <m:rPr>
                <m:nor/>
              </m:rPr>
              <m:t>norm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the normalized character alignment score.</w:t>
      </w:r>
    </w:p>
    <w:p w14:paraId="5CA12D78" w14:textId="77777777" w:rsidR="00930E6A" w:rsidRDefault="00F2464B">
      <w:pPr>
        <w:pStyle w:val="BodyText"/>
      </w:pPr>
      <w:r>
        <w:t xml:space="preserve">Candidate pairs satisfying </w:t>
      </w:r>
      <m:oMath>
        <m:sSub>
          <m:sSubPr>
            <m:ctrlPr>
              <w:rPr>
                <w:rFonts w:ascii="Cambria Math" w:hAnsi="Cambria Math"/>
              </w:rPr>
            </m:ctrlPr>
          </m:sSubPr>
          <m:e>
            <m:r>
              <w:rPr>
                <w:rFonts w:ascii="Cambria Math" w:hAnsi="Cambria Math"/>
              </w:rPr>
              <m:t>L</m:t>
            </m:r>
          </m:e>
          <m:sub>
            <m:r>
              <m:rPr>
                <m:nor/>
              </m:rPr>
              <m:t>norm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τ</m:t>
        </m:r>
      </m:oMath>
      <w:r>
        <w:t xml:space="preserve"> with threshold </w:t>
      </w:r>
      <m:oMath>
        <m:r>
          <w:rPr>
            <w:rFonts w:ascii="Cambria Math" w:hAnsi="Cambria Math"/>
          </w:rPr>
          <m:t>τ</m:t>
        </m:r>
        <m:r>
          <m:rPr>
            <m:sty m:val="p"/>
          </m:rPr>
          <w:rPr>
            <w:rFonts w:ascii="Cambria Math" w:hAnsi="Cambria Math"/>
          </w:rPr>
          <m:t>=</m:t>
        </m:r>
        <m:r>
          <w:rPr>
            <w:rFonts w:ascii="Cambria Math" w:hAnsi="Cambria Math"/>
          </w:rPr>
          <m:t>0.92</m:t>
        </m:r>
      </m:oMath>
      <w:r>
        <w:t xml:space="preserve"> are confirmed as true near-duplicates. To aggregate interconnected pairwise duplicate matches into discrete equivalence sets, confirmed pairs are passed into Tarjan’s Disjoint-Set Union-Find algorithm with path compression and rank-based union. This guarantees that transitive duplicate chains are collapsed into single, canonical cluster identifiers in </w:t>
      </w:r>
      <m:oMath>
        <m:r>
          <m:rPr>
            <m:scr m:val="script"/>
            <m:sty m:val="p"/>
          </m:rPr>
          <w:rPr>
            <w:rFonts w:ascii="Cambria Math" w:hAnsi="Cambria Math"/>
          </w:rPr>
          <m:t>O(</m:t>
        </m:r>
        <m:r>
          <w:rPr>
            <w:rFonts w:ascii="Cambria Math" w:hAnsi="Cambria Math"/>
          </w:rPr>
          <m:t>Nα</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time complexity.</w:t>
      </w:r>
    </w:p>
    <w:p w14:paraId="2E5A448A" w14:textId="77777777" w:rsidR="00930E6A" w:rsidRPr="00A54745" w:rsidRDefault="00F2464B">
      <w:pPr>
        <w:pStyle w:val="Heading3"/>
        <w:rPr>
          <w:rFonts w:ascii="Times New Roman" w:hAnsi="Times New Roman" w:cs="Times New Roman"/>
          <w:i w:val="0"/>
          <w:iCs/>
          <w:color w:val="auto"/>
          <w:sz w:val="26"/>
          <w:szCs w:val="26"/>
        </w:rPr>
      </w:pPr>
      <w:bookmarkStart w:id="9" w:name="source-grouped-partitioning"/>
      <w:bookmarkEnd w:id="8"/>
      <w:r w:rsidRPr="00A54745">
        <w:rPr>
          <w:rFonts w:ascii="Times New Roman" w:hAnsi="Times New Roman" w:cs="Times New Roman"/>
          <w:i w:val="0"/>
          <w:iCs/>
          <w:color w:val="auto"/>
          <w:sz w:val="26"/>
          <w:szCs w:val="26"/>
        </w:rPr>
        <w:t>3.2.3 Source-Grouped Partitioning</w:t>
      </w:r>
    </w:p>
    <w:p w14:paraId="58042F4F" w14:textId="77777777" w:rsidR="00930E6A" w:rsidRDefault="00F2464B">
      <w:pPr>
        <w:pStyle w:val="FirstParagraph"/>
      </w:pPr>
      <w:r>
        <w:t xml:space="preserve">The final phase of dataset preparation requires splitting the deduplicated corpus into training, validation, and test subsets without introducing cross-split data contamination. In regional dialect translation, a single Standard Bangla sentence </w:t>
      </w:r>
      <m:oMath>
        <m:r>
          <w:rPr>
            <w:rFonts w:ascii="Cambria Math" w:hAnsi="Cambria Math"/>
          </w:rPr>
          <m:t>x</m:t>
        </m:r>
      </m:oMath>
      <w:r>
        <w:t xml:space="preserve"> may be paired with multiple dialectal target sentences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across different regional corpora. If </w:t>
      </w:r>
      <m:oMath>
        <m:r>
          <w:rPr>
            <w:rFonts w:ascii="Cambria Math" w:hAnsi="Cambria Math"/>
          </w:rPr>
          <m:t>x</m:t>
        </m:r>
      </m:oMath>
      <w:r>
        <w:t xml:space="preserve"> is placed in the training split while </w:t>
      </w:r>
      <m:oMath>
        <m:r>
          <w:rPr>
            <w:rFonts w:ascii="Cambria Math" w:hAnsi="Cambria Math"/>
          </w:rPr>
          <m:t>x</m:t>
        </m:r>
      </m:oMath>
      <w:r>
        <w:t xml:space="preserve"> (or its near-duplicate </w:t>
      </w:r>
      <m:oMath>
        <m:r>
          <w:rPr>
            <w:rFonts w:ascii="Cambria Math" w:hAnsi="Cambria Math"/>
          </w:rPr>
          <m:t>x</m:t>
        </m:r>
        <m:r>
          <m:rPr>
            <m:sty m:val="p"/>
          </m:rPr>
          <w:rPr>
            <w:rFonts w:ascii="Cambria Math" w:hAnsi="Cambria Math"/>
          </w:rPr>
          <m:t>'</m:t>
        </m:r>
      </m:oMath>
      <w:r>
        <w:t>) appears in the test split, the evaluation benchmark becomes compromised due to test-set memorization.</w:t>
      </w:r>
    </w:p>
    <w:p w14:paraId="3397C6FC" w14:textId="77777777" w:rsidR="00930E6A" w:rsidRDefault="00F2464B">
      <w:pPr>
        <w:pStyle w:val="BodyText"/>
      </w:pPr>
      <w:r>
        <w:t xml:space="preserve">To enforce strict, contamination-free isolation, data partitioning is executed strictly at the source-cluster level rather than the individual sentence level. For every near-duplicate cluster generated in Section 3.2.2, a canonical source cluster string </w:t>
      </w:r>
      <m:oMath>
        <m:sSub>
          <m:sSubPr>
            <m:ctrlPr>
              <w:rPr>
                <w:rFonts w:ascii="Cambria Math" w:hAnsi="Cambria Math"/>
              </w:rPr>
            </m:ctrlPr>
          </m:sSubPr>
          <m:e>
            <m:r>
              <w:rPr>
                <w:rFonts w:ascii="Cambria Math" w:hAnsi="Cambria Math"/>
              </w:rPr>
              <m:t>x</m:t>
            </m:r>
          </m:e>
          <m:sub>
            <m:r>
              <m:rPr>
                <m:nor/>
              </m:rPr>
              <m:t>canon</m:t>
            </m:r>
          </m:sub>
        </m:sSub>
      </m:oMath>
      <w:r>
        <w:t xml:space="preserve"> is extracted. A 256-bit cryptographic digest is then generated by passing </w:t>
      </w:r>
      <m:oMath>
        <m:sSub>
          <m:sSubPr>
            <m:ctrlPr>
              <w:rPr>
                <w:rFonts w:ascii="Cambria Math" w:hAnsi="Cambria Math"/>
              </w:rPr>
            </m:ctrlPr>
          </m:sSubPr>
          <m:e>
            <m:r>
              <w:rPr>
                <w:rFonts w:ascii="Cambria Math" w:hAnsi="Cambria Math"/>
              </w:rPr>
              <m:t>x</m:t>
            </m:r>
          </m:e>
          <m:sub>
            <m:r>
              <m:rPr>
                <m:nor/>
              </m:rPr>
              <m:t>canon</m:t>
            </m:r>
          </m:sub>
        </m:sSub>
      </m:oMath>
      <w:r>
        <w:t xml:space="preserve"> through the SHA-256 hash function:</w:t>
      </w:r>
    </w:p>
    <w:p w14:paraId="60B990DB"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h</m:t>
              </m:r>
            </m:e>
            <m:sub>
              <m:r>
                <m:rPr>
                  <m:nor/>
                </m:rPr>
                <m:t>cluster</m:t>
              </m:r>
            </m:sub>
          </m:sSub>
          <m:r>
            <m:rPr>
              <m:sty m:val="p"/>
            </m:rPr>
            <w:rPr>
              <w:rFonts w:ascii="Cambria Math" w:hAnsi="Cambria Math"/>
            </w:rPr>
            <m:t>=</m:t>
          </m:r>
          <m:r>
            <m:rPr>
              <m:nor/>
            </m:rPr>
            <m:t>SHA256</m:t>
          </m:r>
          <m:r>
            <m:rPr>
              <m:sty m:val="p"/>
            </m:rPr>
            <w:rPr>
              <w:rFonts w:ascii="Cambria Math" w:hAnsi="Cambria Math"/>
            </w:rPr>
            <m:t>(</m:t>
          </m:r>
          <m:r>
            <m:rPr>
              <m:nor/>
            </m:rPr>
            <m:t>UTF8</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canon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3.13</m:t>
          </m:r>
          <m:r>
            <m:rPr>
              <m:sty m:val="p"/>
            </m:rPr>
            <w:rPr>
              <w:rFonts w:ascii="Cambria Math" w:hAnsi="Cambria Math"/>
            </w:rPr>
            <m:t>)</m:t>
          </m:r>
        </m:oMath>
      </m:oMathPara>
    </w:p>
    <w:p w14:paraId="49F6FD32" w14:textId="77777777" w:rsidR="00930E6A" w:rsidRDefault="00F2464B">
      <w:pPr>
        <w:pStyle w:val="FirstParagraph"/>
      </w:pPr>
      <w:r>
        <w:t xml:space="preserve">Where </w:t>
      </w:r>
      <m:oMath>
        <m:sSub>
          <m:sSubPr>
            <m:ctrlPr>
              <w:rPr>
                <w:rFonts w:ascii="Cambria Math" w:hAnsi="Cambria Math"/>
              </w:rPr>
            </m:ctrlPr>
          </m:sSubPr>
          <m:e>
            <m:r>
              <w:rPr>
                <w:rFonts w:ascii="Cambria Math" w:hAnsi="Cambria Math"/>
              </w:rPr>
              <m:t>x</m:t>
            </m:r>
          </m:e>
          <m:sub>
            <m:r>
              <m:rPr>
                <m:nor/>
              </m:rPr>
              <m:t>canon</m:t>
            </m:r>
          </m:sub>
        </m:sSub>
      </m:oMath>
      <w:r>
        <w:t xml:space="preserve"> represents the canonical representative string of a near-duplicate source cluster, </w:t>
      </w:r>
      <m:oMath>
        <m:r>
          <m:rPr>
            <m:nor/>
          </m:rPr>
          <m:t>UTF8</m:t>
        </m:r>
        <m:r>
          <m:rPr>
            <m:sty m:val="p"/>
          </m:rPr>
          <w:rPr>
            <w:rFonts w:ascii="Cambria Math" w:hAnsi="Cambria Math"/>
          </w:rPr>
          <m:t>(⋅)</m:t>
        </m:r>
      </m:oMath>
      <w:r>
        <w:t xml:space="preserve"> converts the character string into a standardized byte sequence, </w:t>
      </w:r>
      <m:oMath>
        <m:r>
          <m:rPr>
            <m:nor/>
          </m:rPr>
          <m:t>SHA256</m:t>
        </m:r>
        <m:r>
          <m:rPr>
            <m:sty m:val="p"/>
          </m:rPr>
          <w:rPr>
            <w:rFonts w:ascii="Cambria Math" w:hAnsi="Cambria Math"/>
          </w:rPr>
          <m:t>(⋅)</m:t>
        </m:r>
      </m:oMath>
      <w:r>
        <w:t xml:space="preserve"> computes the 256-bit Secure Hash Algorithm digest, and </w:t>
      </w:r>
      <m:oMath>
        <m:sSub>
          <m:sSubPr>
            <m:ctrlPr>
              <w:rPr>
                <w:rFonts w:ascii="Cambria Math" w:hAnsi="Cambria Math"/>
              </w:rPr>
            </m:ctrlPr>
          </m:sSubPr>
          <m:e>
            <m:r>
              <w:rPr>
                <w:rFonts w:ascii="Cambria Math" w:hAnsi="Cambria Math"/>
              </w:rPr>
              <m:t>h</m:t>
            </m:r>
          </m:e>
          <m:sub>
            <m:r>
              <m:rPr>
                <m:nor/>
              </m:rPr>
              <m:t>cluster</m:t>
            </m:r>
          </m:sub>
        </m:sSub>
      </m:oMath>
      <w:r>
        <w:t xml:space="preserve"> is the deterministic, uniform cluster hash value.</w:t>
      </w:r>
    </w:p>
    <w:p w14:paraId="235C46A0" w14:textId="77777777" w:rsidR="00930E6A" w:rsidRDefault="00F2464B">
      <w:pPr>
        <w:pStyle w:val="BodyText"/>
      </w:pPr>
      <w:r>
        <w:lastRenderedPageBreak/>
        <w:t xml:space="preserve">The resulting 256-bit hash integer is mapped onto a uniform integer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r>
          <m:rPr>
            <m:sty m:val="p"/>
          </m:rPr>
          <w:rPr>
            <w:rFonts w:ascii="Cambria Math" w:hAnsi="Cambria Math"/>
          </w:rPr>
          <m:t>]</m:t>
        </m:r>
      </m:oMath>
      <w:r>
        <w:t xml:space="preserve"> using modular arithmetic to assign the entire cluster (and all associated dialectal target sentences across both Chittagonian and Sylheti datasets) to a specific split:</w:t>
      </w:r>
    </w:p>
    <w:p w14:paraId="260E2B56" w14:textId="77777777" w:rsidR="00930E6A" w:rsidRDefault="00F2464B">
      <w:pPr>
        <w:pStyle w:val="BodyText"/>
      </w:pPr>
      <m:oMathPara>
        <m:oMathParaPr>
          <m:jc m:val="center"/>
        </m:oMathParaPr>
        <m:oMath>
          <m:r>
            <m:rPr>
              <m:nor/>
            </m:rPr>
            <m:t>Split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canon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Train</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cluster</m:t>
                        </m:r>
                      </m:sub>
                    </m:sSub>
                    <m:r>
                      <w:rPr>
                        <w:rFonts w:ascii="Cambria Math" w:hAnsi="Cambria Math"/>
                      </w:rPr>
                      <m:t> </m:t>
                    </m:r>
                    <m:r>
                      <m:rPr>
                        <m:nor/>
                      </m:rPr>
                      <m:t>mod</m:t>
                    </m:r>
                    <m:r>
                      <w:rPr>
                        <w:rFonts w:ascii="Cambria Math" w:hAnsi="Cambria Math"/>
                      </w:rPr>
                      <m:t> 100</m:t>
                    </m:r>
                    <m:r>
                      <m:rPr>
                        <m:sty m:val="p"/>
                      </m:rPr>
                      <w:rPr>
                        <w:rFonts w:ascii="Cambria Math" w:hAnsi="Cambria Math"/>
                      </w:rPr>
                      <m:t>)&lt;</m:t>
                    </m:r>
                    <m:r>
                      <w:rPr>
                        <w:rFonts w:ascii="Cambria Math" w:hAnsi="Cambria Math"/>
                      </w:rPr>
                      <m:t>80</m:t>
                    </m:r>
                  </m:e>
                </m:mr>
                <m:mr>
                  <m:e>
                    <m:r>
                      <m:rPr>
                        <m:nor/>
                      </m:rPr>
                      <m:t>Validation</m:t>
                    </m:r>
                  </m:e>
                  <m:e>
                    <m:r>
                      <m:rPr>
                        <m:nor/>
                      </m:rPr>
                      <m:t xml:space="preserve">if </m:t>
                    </m:r>
                    <m:r>
                      <w:rPr>
                        <w:rFonts w:ascii="Cambria Math" w:hAnsi="Cambria Math"/>
                      </w:rPr>
                      <m:t>80</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cluster</m:t>
                        </m:r>
                      </m:sub>
                    </m:sSub>
                    <m:r>
                      <w:rPr>
                        <w:rFonts w:ascii="Cambria Math" w:hAnsi="Cambria Math"/>
                      </w:rPr>
                      <m:t> </m:t>
                    </m:r>
                    <m:r>
                      <m:rPr>
                        <m:nor/>
                      </m:rPr>
                      <m:t>mod</m:t>
                    </m:r>
                    <m:r>
                      <w:rPr>
                        <w:rFonts w:ascii="Cambria Math" w:hAnsi="Cambria Math"/>
                      </w:rPr>
                      <m:t> 100</m:t>
                    </m:r>
                    <m:r>
                      <m:rPr>
                        <m:sty m:val="p"/>
                      </m:rPr>
                      <w:rPr>
                        <w:rFonts w:ascii="Cambria Math" w:hAnsi="Cambria Math"/>
                      </w:rPr>
                      <m:t>)&lt;</m:t>
                    </m:r>
                    <m:r>
                      <w:rPr>
                        <w:rFonts w:ascii="Cambria Math" w:hAnsi="Cambria Math"/>
                      </w:rPr>
                      <m:t>90</m:t>
                    </m:r>
                  </m:e>
                </m:mr>
                <m:mr>
                  <m:e>
                    <m:r>
                      <m:rPr>
                        <m:nor/>
                      </m:rPr>
                      <m:t>Test</m:t>
                    </m:r>
                  </m:e>
                  <m:e>
                    <m:r>
                      <m:rPr>
                        <m:nor/>
                      </m:rPr>
                      <m:t xml:space="preserve">if </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cluster</m:t>
                        </m:r>
                      </m:sub>
                    </m:sSub>
                    <m:r>
                      <w:rPr>
                        <w:rFonts w:ascii="Cambria Math" w:hAnsi="Cambria Math"/>
                      </w:rPr>
                      <m:t> </m:t>
                    </m:r>
                    <m:r>
                      <m:rPr>
                        <m:nor/>
                      </m:rPr>
                      <m:t>mod</m:t>
                    </m:r>
                    <m:r>
                      <w:rPr>
                        <w:rFonts w:ascii="Cambria Math" w:hAnsi="Cambria Math"/>
                      </w:rPr>
                      <m:t> 100</m:t>
                    </m:r>
                    <m:r>
                      <m:rPr>
                        <m:sty m:val="p"/>
                      </m:rPr>
                      <w:rPr>
                        <w:rFonts w:ascii="Cambria Math" w:hAnsi="Cambria Math"/>
                      </w:rPr>
                      <m:t>)≥</m:t>
                    </m:r>
                    <m:r>
                      <w:rPr>
                        <w:rFonts w:ascii="Cambria Math" w:hAnsi="Cambria Math"/>
                      </w:rPr>
                      <m:t>90</m:t>
                    </m:r>
                  </m:e>
                </m:mr>
              </m:m>
            </m:e>
          </m:d>
          <m:r>
            <w:rPr>
              <w:rFonts w:ascii="Cambria Math" w:hAnsi="Cambria Math"/>
            </w:rPr>
            <m:t>  </m:t>
          </m:r>
          <m:r>
            <m:rPr>
              <m:sty m:val="p"/>
            </m:rPr>
            <w:rPr>
              <w:rFonts w:ascii="Cambria Math" w:hAnsi="Cambria Math"/>
            </w:rPr>
            <m:t>(</m:t>
          </m:r>
          <m:r>
            <w:rPr>
              <w:rFonts w:ascii="Cambria Math" w:hAnsi="Cambria Math"/>
            </w:rPr>
            <m:t>3.14</m:t>
          </m:r>
          <m:r>
            <m:rPr>
              <m:sty m:val="p"/>
            </m:rPr>
            <w:rPr>
              <w:rFonts w:ascii="Cambria Math" w:hAnsi="Cambria Math"/>
            </w:rPr>
            <m:t>)</m:t>
          </m:r>
        </m:oMath>
      </m:oMathPara>
    </w:p>
    <w:p w14:paraId="08A15976" w14:textId="77777777" w:rsidR="00930E6A" w:rsidRDefault="00F2464B">
      <w:pPr>
        <w:pStyle w:val="FirstParagraph"/>
      </w:pPr>
      <w:r>
        <w:t xml:space="preserve">Where </w:t>
      </w:r>
      <m:oMath>
        <m:sSub>
          <m:sSubPr>
            <m:ctrlPr>
              <w:rPr>
                <w:rFonts w:ascii="Cambria Math" w:hAnsi="Cambria Math"/>
              </w:rPr>
            </m:ctrlPr>
          </m:sSubPr>
          <m:e>
            <m:r>
              <w:rPr>
                <w:rFonts w:ascii="Cambria Math" w:hAnsi="Cambria Math"/>
              </w:rPr>
              <m:t>h</m:t>
            </m:r>
          </m:e>
          <m:sub>
            <m:r>
              <m:rPr>
                <m:nor/>
              </m:rPr>
              <m:t>cluster</m:t>
            </m:r>
          </m:sub>
        </m:sSub>
      </m:oMath>
      <w:r>
        <w:t xml:space="preserve"> represents the numerical SHA-256 integer digest calculated via Equation (3.13), </w:t>
      </w:r>
      <m:oMath>
        <m:r>
          <w:rPr>
            <w:rFonts w:ascii="Cambria Math" w:hAnsi="Cambria Math"/>
          </w:rPr>
          <m:t> </m:t>
        </m:r>
        <m:r>
          <m:rPr>
            <m:nor/>
          </m:rPr>
          <m:t>mod</m:t>
        </m:r>
        <m:r>
          <w:rPr>
            <w:rFonts w:ascii="Cambria Math" w:hAnsi="Cambria Math"/>
          </w:rPr>
          <m:t> 100</m:t>
        </m:r>
      </m:oMath>
      <w:r>
        <w:t xml:space="preserve"> projects the uniform hash space into 100 discrete percentile bins, and </w:t>
      </w:r>
      <m:oMath>
        <m:r>
          <m:rPr>
            <m:nor/>
          </m:rPr>
          <m:t>Split</m:t>
        </m:r>
        <m:r>
          <m:rPr>
            <m:sty m:val="p"/>
          </m:rPr>
          <w:rPr>
            <w:rFonts w:ascii="Cambria Math" w:hAnsi="Cambria Math"/>
          </w:rPr>
          <m:t>(⋅)</m:t>
        </m:r>
      </m:oMath>
      <w:r>
        <w:t xml:space="preserve"> designates the target dataset partition, establishing an exact 80/10/10 empirical data split. Equation (3.14) mathematically guarantees zero data leakage across dataset splits. Because SHA-256 is deterministic and uniformly distributed, source-grouped partitioning achieves balanced partition proportions while ensuring that no Standard Bangla source sentence—nor any of its near-duplicate variants—can simultaneously appear in training and evaluation sets.</w:t>
      </w:r>
    </w:p>
    <w:p w14:paraId="30F1C7D4" w14:textId="40C4407E" w:rsidR="00930E6A" w:rsidRDefault="00930E6A"/>
    <w:p w14:paraId="468BE030" w14:textId="77777777" w:rsidR="00930E6A" w:rsidRPr="00A54745" w:rsidRDefault="00F2464B">
      <w:pPr>
        <w:pStyle w:val="Heading2"/>
        <w:rPr>
          <w:rFonts w:ascii="Times New Roman" w:hAnsi="Times New Roman" w:cs="Times New Roman"/>
          <w:color w:val="auto"/>
          <w:sz w:val="26"/>
          <w:szCs w:val="26"/>
        </w:rPr>
      </w:pPr>
      <w:bookmarkStart w:id="10" w:name="X720c361413619359fb20d6b76a9d78144ee84e5"/>
      <w:bookmarkEnd w:id="6"/>
      <w:bookmarkEnd w:id="9"/>
      <w:r w:rsidRPr="00A54745">
        <w:rPr>
          <w:rFonts w:ascii="Times New Roman" w:hAnsi="Times New Roman" w:cs="Times New Roman"/>
          <w:color w:val="auto"/>
          <w:sz w:val="26"/>
          <w:szCs w:val="26"/>
        </w:rPr>
        <w:t>3.3 Dual-Index Non-Parametric Retrieval Subsystem</w:t>
      </w:r>
    </w:p>
    <w:p w14:paraId="7F2478E9" w14:textId="77777777" w:rsidR="00930E6A" w:rsidRDefault="00F2464B">
      <w:pPr>
        <w:pStyle w:val="FirstParagraph"/>
      </w:pPr>
      <w:r>
        <w:t>To augment the parametric capabilities of the sequence-to-sequence translation backbone, a dual-index non-parametric retrieval subsystem is integrated into the translation pipeline [18], [19]. Low-resource regional dialects exhibit extreme lexical long-tail distributions, where localized idioms, rare verb inflections, and non-standardized phonetic transcriptions occur infrequently during fine-tuning. Relying exclusively on parametric neural weights forces the model to memorize rare lexical mappings, leading to hallucinations during inference. Non-parametric retrieval addresses this limitation by dynamically supplying highly relevant translation exemplars and lexical glosses directly into the model context window.</w:t>
      </w:r>
    </w:p>
    <w:p w14:paraId="5FA87AB8" w14:textId="28FE48BF" w:rsidR="00930E6A" w:rsidRDefault="00F2464B">
      <w:pPr>
        <w:pStyle w:val="BodyText"/>
      </w:pPr>
      <w:r>
        <w:t xml:space="preserve">When an input query </w:t>
      </w:r>
      <m:oMath>
        <m:r>
          <w:rPr>
            <w:rFonts w:ascii="Cambria Math" w:hAnsi="Cambria Math"/>
          </w:rPr>
          <m:t>Q</m:t>
        </m:r>
      </m:oMath>
      <w:r>
        <w:t xml:space="preserve"> is received, it is processed simultaneously by two complementary retrieval channels. The sparse retrieval channel leverages BM25Okapi inverted indexing to capture exact surface-level lexical matches and rare dialectal tokens. Concurrently, the </w:t>
      </w:r>
      <w:r>
        <w:lastRenderedPageBreak/>
        <w:t xml:space="preserve">dense retrieval channel employs the BGE-M3 multilingual embedding model to project the query into a 1024-dimensional vector space, capturing deep semantic intent and cross-lingual alignment via cosine inner-product matching. The ranked document lists generated by both channels are merged using Reciprocal Rank Fusion (RRF) with a smoothing constant of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xml:space="preserve"> [20]. Finally, a statistical co-occurrence engine constructs a bilingual lexical dictionary to provide target token constraints, producing a unified context payload for downstream generation.</w:t>
      </w:r>
    </w:p>
    <w:p w14:paraId="5D78D0E4" w14:textId="77777777" w:rsidR="00930E6A" w:rsidRPr="00A54745" w:rsidRDefault="00F2464B">
      <w:pPr>
        <w:pStyle w:val="Heading3"/>
        <w:rPr>
          <w:rFonts w:ascii="Times New Roman" w:hAnsi="Times New Roman" w:cs="Times New Roman"/>
          <w:i w:val="0"/>
          <w:iCs/>
          <w:color w:val="auto"/>
          <w:sz w:val="26"/>
          <w:szCs w:val="26"/>
        </w:rPr>
      </w:pPr>
      <w:bookmarkStart w:id="11" w:name="lexical-indexing-via-bm25okapi"/>
      <w:r w:rsidRPr="00A54745">
        <w:rPr>
          <w:rFonts w:ascii="Times New Roman" w:hAnsi="Times New Roman" w:cs="Times New Roman"/>
          <w:i w:val="0"/>
          <w:iCs/>
          <w:color w:val="auto"/>
          <w:sz w:val="26"/>
          <w:szCs w:val="26"/>
        </w:rPr>
        <w:t>3.3.1 Lexical Indexing via BM25Okapi</w:t>
      </w:r>
    </w:p>
    <w:p w14:paraId="7EF291D1" w14:textId="77777777" w:rsidR="00930E6A" w:rsidRDefault="00F2464B">
      <w:pPr>
        <w:pStyle w:val="FirstParagraph"/>
      </w:pPr>
      <w:r>
        <w:t>The primary retrieval channel relies on the probabilistic BM25Okapi framework to perform fast, exact term-matching across the indexed parallel training corpus. In dialectal translation, exact lexical matching is crucial for retrieving specific regional nouns, localized place names, and unique verb suffixes that dense vector embeddings may smooth over.</w:t>
      </w:r>
    </w:p>
    <w:p w14:paraId="3AD0FAB5" w14:textId="77777777" w:rsidR="00930E6A" w:rsidRDefault="00F2464B">
      <w:pPr>
        <w:pStyle w:val="BodyText"/>
      </w:pPr>
      <w:r>
        <w:t xml:space="preserve">Given an input query sentence </w:t>
      </w:r>
      <m:oMath>
        <m:r>
          <w:rPr>
            <w:rFonts w:ascii="Cambria Math" w:hAnsi="Cambria Math"/>
          </w:rPr>
          <m:t>Q</m:t>
        </m:r>
      </m:oMath>
      <w:r>
        <w:t xml:space="preserve"> containing token terms </w:t>
      </w:r>
      <m:oMath>
        <m:r>
          <w:rPr>
            <w:rFonts w:ascii="Cambria Math" w:hAnsi="Cambria Math"/>
          </w:rPr>
          <m:t>t</m:t>
        </m:r>
        <m:r>
          <m:rPr>
            <m:sty m:val="p"/>
          </m:rPr>
          <w:rPr>
            <w:rFonts w:ascii="Cambria Math" w:hAnsi="Cambria Math"/>
          </w:rPr>
          <m:t>∈</m:t>
        </m:r>
        <m:r>
          <w:rPr>
            <w:rFonts w:ascii="Cambria Math" w:hAnsi="Cambria Math"/>
          </w:rPr>
          <m:t>Q</m:t>
        </m:r>
      </m:oMath>
      <w:r>
        <w:t xml:space="preserve"> and a candidate document </w:t>
      </w:r>
      <m:oMath>
        <m:r>
          <w:rPr>
            <w:rFonts w:ascii="Cambria Math" w:hAnsi="Cambria Math"/>
          </w:rPr>
          <m:t>D</m:t>
        </m:r>
      </m:oMath>
      <w:r>
        <w:t xml:space="preserve"> within an indexed corpus containing </w:t>
      </w:r>
      <m:oMath>
        <m:r>
          <w:rPr>
            <w:rFonts w:ascii="Cambria Math" w:hAnsi="Cambria Math"/>
          </w:rPr>
          <m:t>N</m:t>
        </m:r>
      </m:oMath>
      <w:r>
        <w:t xml:space="preserve"> total parallel pairs, the Robertson-Spärck Jones BM25 score is computed as:</w:t>
      </w:r>
    </w:p>
    <w:p w14:paraId="7E2ECE49" w14:textId="77777777" w:rsidR="00930E6A" w:rsidRDefault="003357BF">
      <w:pPr>
        <w:pStyle w:val="BodyText"/>
      </w:pPr>
      <m:oMathPara>
        <m:oMathParaPr>
          <m:jc m:val="center"/>
        </m:oMathParaPr>
        <m:oMath>
          <m:sSub>
            <m:sSubPr>
              <m:ctrlPr>
                <w:rPr>
                  <w:rFonts w:ascii="Cambria Math" w:hAnsi="Cambria Math"/>
                </w:rPr>
              </m:ctrlPr>
            </m:sSubPr>
            <m:e>
              <m:r>
                <m:rPr>
                  <m:nor/>
                </m:rPr>
                <m:t>Score</m:t>
              </m:r>
            </m:e>
            <m:sub>
              <m:r>
                <m:rPr>
                  <m:nor/>
                </m:rPr>
                <m:t>BM25</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nor/>
                </m:rPr>
                <m:t>IDF</m:t>
              </m:r>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nor/>
                        </m:rPr>
                        <m:t>avgdl</m:t>
                      </m:r>
                    </m:den>
                  </m:f>
                </m:e>
              </m:d>
            </m:den>
          </m:f>
          <m:r>
            <w:rPr>
              <w:rFonts w:ascii="Cambria Math" w:hAnsi="Cambria Math"/>
            </w:rPr>
            <m:t>  </m:t>
          </m:r>
          <m:r>
            <m:rPr>
              <m:sty m:val="p"/>
            </m:rPr>
            <w:rPr>
              <w:rFonts w:ascii="Cambria Math" w:hAnsi="Cambria Math"/>
            </w:rPr>
            <m:t>(</m:t>
          </m:r>
          <m:r>
            <w:rPr>
              <w:rFonts w:ascii="Cambria Math" w:hAnsi="Cambria Math"/>
            </w:rPr>
            <m:t>3.15</m:t>
          </m:r>
          <m:r>
            <m:rPr>
              <m:sty m:val="p"/>
            </m:rPr>
            <w:rPr>
              <w:rFonts w:ascii="Cambria Math" w:hAnsi="Cambria Math"/>
            </w:rPr>
            <m:t>)</m:t>
          </m:r>
        </m:oMath>
      </m:oMathPara>
    </w:p>
    <w:p w14:paraId="64ACD33C" w14:textId="77777777" w:rsidR="00930E6A" w:rsidRDefault="00F2464B">
      <w:pPr>
        <w:pStyle w:val="FirstParagraph"/>
      </w:pPr>
      <w:r>
        <w:t xml:space="preserve">Where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denotes the term frequency of token </w:t>
      </w:r>
      <m:oMath>
        <m:r>
          <w:rPr>
            <w:rFonts w:ascii="Cambria Math" w:hAnsi="Cambria Math"/>
          </w:rPr>
          <m:t>t</m:t>
        </m:r>
      </m:oMath>
      <w:r>
        <w:t xml:space="preserve"> within candidate document </w:t>
      </w:r>
      <m:oMath>
        <m:r>
          <w:rPr>
            <w:rFonts w:ascii="Cambria Math" w:hAnsi="Cambria Math"/>
          </w:rPr>
          <m:t>D</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represents the character/token length of candidate document </w:t>
      </w:r>
      <m:oMath>
        <m:r>
          <w:rPr>
            <w:rFonts w:ascii="Cambria Math" w:hAnsi="Cambria Math"/>
          </w:rPr>
          <m:t>D</m:t>
        </m:r>
      </m:oMath>
      <w:r>
        <w:t xml:space="preserve">, </w:t>
      </w:r>
      <m:oMath>
        <m:r>
          <m:rPr>
            <m:nor/>
          </m:rPr>
          <m:t>avgdl</m:t>
        </m:r>
      </m:oMath>
      <w:r>
        <w:t xml:space="preserve"> represents the average document length across all </w:t>
      </w:r>
      <m:oMath>
        <m:r>
          <w:rPr>
            <w:rFonts w:ascii="Cambria Math" w:hAnsi="Cambria Math"/>
          </w:rPr>
          <m:t>N</m:t>
        </m:r>
      </m:oMath>
      <w:r>
        <w:t xml:space="preserve"> documents in the retrieval index,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1.5</m:t>
        </m:r>
      </m:oMath>
      <w:r>
        <w:t xml:space="preserve"> is a positive tuning parameter calibrating term frequency saturation non-linearity, </w:t>
      </w:r>
      <m:oMath>
        <m:r>
          <w:rPr>
            <w:rFonts w:ascii="Cambria Math" w:hAnsi="Cambria Math"/>
          </w:rPr>
          <m:t>b</m:t>
        </m:r>
        <m:r>
          <m:rPr>
            <m:sty m:val="p"/>
          </m:rPr>
          <w:rPr>
            <w:rFonts w:ascii="Cambria Math" w:hAnsi="Cambria Math"/>
          </w:rPr>
          <m:t>=</m:t>
        </m:r>
        <m:r>
          <w:rPr>
            <w:rFonts w:ascii="Cambria Math" w:hAnsi="Cambria Math"/>
          </w:rPr>
          <m:t>0.75</m:t>
        </m:r>
      </m:oMath>
      <w:r>
        <w:t xml:space="preserve"> is a tuning parameter controlling the degree of document length penalty normalization, and </w:t>
      </w:r>
      <m:oMath>
        <m:r>
          <m:rPr>
            <m:nor/>
          </m:rPr>
          <m:t>IDF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denotes the inverse document frequency weight of term </w:t>
      </w:r>
      <m:oMath>
        <m:r>
          <w:rPr>
            <w:rFonts w:ascii="Cambria Math" w:hAnsi="Cambria Math"/>
          </w:rPr>
          <m:t>t</m:t>
        </m:r>
      </m:oMath>
      <w:r>
        <w:t>.</w:t>
      </w:r>
    </w:p>
    <w:p w14:paraId="5530836E" w14:textId="77777777" w:rsidR="00930E6A" w:rsidRDefault="00F2464B">
      <w:pPr>
        <w:pStyle w:val="BodyText"/>
      </w:pPr>
      <w:r>
        <w:t>To prevent negative numerical weights for highly frequent terms occurring across more than half of the corpus documents, a floor-smoothed logarithmic IDF formulation is implemented:</w:t>
      </w:r>
    </w:p>
    <w:p w14:paraId="412EFC9C" w14:textId="77777777" w:rsidR="00930E6A" w:rsidRDefault="00F2464B">
      <w:pPr>
        <w:pStyle w:val="BodyText"/>
      </w:pPr>
      <m:oMathPara>
        <m:oMathParaPr>
          <m:jc m:val="center"/>
        </m:oMathParaPr>
        <m:oMath>
          <m:r>
            <m:rPr>
              <m:nor/>
            </m:rPr>
            <w:lastRenderedPageBreak/>
            <m:t>IDF</m:t>
          </m:r>
          <m:r>
            <m:rPr>
              <m:sty m:val="p"/>
            </m:rPr>
            <w:rPr>
              <w:rFonts w:ascii="Cambria Math" w:hAnsi="Cambria Math"/>
            </w:rPr>
            <m:t>(</m:t>
          </m:r>
          <m:r>
            <w:rPr>
              <w:rFonts w:ascii="Cambria Math" w:hAnsi="Cambria Math"/>
            </w:rPr>
            <m:t>t</m:t>
          </m:r>
          <m:r>
            <m:rPr>
              <m:sty m:val="p"/>
            </m:rPr>
            <w:rPr>
              <w:rFonts w:ascii="Cambria Math" w:hAnsi="Cambria Math"/>
            </w:rPr>
            <m:t>)=</m:t>
          </m:r>
          <m:r>
            <m:rPr>
              <m:nor/>
            </m:rPr>
            <m:t>ln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num>
                <m:den>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den>
              </m:f>
            </m:e>
          </m:d>
          <m:r>
            <w:rPr>
              <w:rFonts w:ascii="Cambria Math" w:hAnsi="Cambria Math"/>
            </w:rPr>
            <m:t>  </m:t>
          </m:r>
          <m:r>
            <m:rPr>
              <m:sty m:val="p"/>
            </m:rPr>
            <w:rPr>
              <w:rFonts w:ascii="Cambria Math" w:hAnsi="Cambria Math"/>
            </w:rPr>
            <m:t>(</m:t>
          </m:r>
          <m:r>
            <w:rPr>
              <w:rFonts w:ascii="Cambria Math" w:hAnsi="Cambria Math"/>
            </w:rPr>
            <m:t>3.16</m:t>
          </m:r>
          <m:r>
            <m:rPr>
              <m:sty m:val="p"/>
            </m:rPr>
            <w:rPr>
              <w:rFonts w:ascii="Cambria Math" w:hAnsi="Cambria Math"/>
            </w:rPr>
            <m:t>)</m:t>
          </m:r>
        </m:oMath>
      </m:oMathPara>
    </w:p>
    <w:p w14:paraId="429DCADB" w14:textId="77777777" w:rsidR="00930E6A" w:rsidRDefault="00F2464B">
      <w:pPr>
        <w:pStyle w:val="FirstParagraph"/>
      </w:pPr>
      <w:r>
        <w:t xml:space="preserve">Where </w:t>
      </w:r>
      <m:oMath>
        <m:r>
          <w:rPr>
            <w:rFonts w:ascii="Cambria Math" w:hAnsi="Cambria Math"/>
          </w:rPr>
          <m:t>N</m:t>
        </m:r>
      </m:oMath>
      <w:r>
        <w:t xml:space="preserve"> represents the total number of indexed parallel sentence pairs in the retrieval database,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denotes the total number of indexed documents containing term </w:t>
      </w:r>
      <m:oMath>
        <m:r>
          <w:rPr>
            <w:rFonts w:ascii="Cambria Math" w:hAnsi="Cambria Math"/>
          </w:rPr>
          <m:t>t</m:t>
        </m:r>
      </m:oMath>
      <w:r>
        <w:t xml:space="preserve">, </w:t>
      </w:r>
      <m:oMath>
        <m:r>
          <m:rPr>
            <m:sty m:val="p"/>
          </m:rPr>
          <w:rPr>
            <w:rFonts w:ascii="Cambria Math" w:hAnsi="Cambria Math"/>
          </w:rPr>
          <m:t>+</m:t>
        </m:r>
        <m:r>
          <w:rPr>
            <w:rFonts w:ascii="Cambria Math" w:hAnsi="Cambria Math"/>
          </w:rPr>
          <m:t>0.5</m:t>
        </m:r>
      </m:oMath>
      <w:r>
        <w:t xml:space="preserve"> serves as a smoothing constant to prevent division by zero, and </w:t>
      </w:r>
      <m:oMath>
        <m:r>
          <m:rPr>
            <m:nor/>
          </m:rPr>
          <m:t>IDF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measures the numerical informative weight of term </w:t>
      </w:r>
      <m:oMath>
        <m:r>
          <w:rPr>
            <w:rFonts w:ascii="Cambria Math" w:hAnsi="Cambria Math"/>
          </w:rPr>
          <m:t>t</m:t>
        </m:r>
      </m:oMath>
      <w:r>
        <w:t>. The implementation of Equations (3.15) and (3.16) provides high precision for rare lexical features. However, because BM25Okapi relies strictly on exact surface token overlap, it cannot retrieve semantically equivalent exemplars that utilize different vocabulary or orthographic spellings, necessitating the parallel integration of a dense semantic retrieval channel.</w:t>
      </w:r>
    </w:p>
    <w:p w14:paraId="3A7C19C3" w14:textId="77777777" w:rsidR="00930E6A" w:rsidRPr="00A54745" w:rsidRDefault="00F2464B">
      <w:pPr>
        <w:pStyle w:val="Heading3"/>
        <w:rPr>
          <w:rFonts w:ascii="Times New Roman" w:hAnsi="Times New Roman" w:cs="Times New Roman"/>
          <w:i w:val="0"/>
          <w:iCs/>
          <w:color w:val="auto"/>
          <w:sz w:val="26"/>
          <w:szCs w:val="26"/>
        </w:rPr>
      </w:pPr>
      <w:bookmarkStart w:id="12" w:name="dense-semantic-indexing-via-bge-m3"/>
      <w:bookmarkEnd w:id="11"/>
      <w:r w:rsidRPr="00A54745">
        <w:rPr>
          <w:rFonts w:ascii="Times New Roman" w:hAnsi="Times New Roman" w:cs="Times New Roman"/>
          <w:i w:val="0"/>
          <w:iCs/>
          <w:color w:val="auto"/>
          <w:sz w:val="26"/>
          <w:szCs w:val="26"/>
        </w:rPr>
        <w:t>3.3.2 Dense Semantic Indexing via BGE-M3</w:t>
      </w:r>
    </w:p>
    <w:p w14:paraId="45F51E63" w14:textId="77777777" w:rsidR="00930E6A" w:rsidRDefault="00F2464B">
      <w:pPr>
        <w:pStyle w:val="FirstParagraph"/>
      </w:pPr>
      <w:r>
        <w:t>To complement the surface-level term matching of BM25Okapi, the secondary retrieval channel employs a dense vector embedding representation powered by the BAAI/bge-m3 foundation model (</w:t>
      </w:r>
      <w:r>
        <w:rPr>
          <w:i/>
          <w:iCs/>
        </w:rPr>
        <w:t>FlagEmbedding</w:t>
      </w:r>
      <w:r>
        <w:t>). BGE-M3 is a 560M parameter multilingual, multi-functional transformer architecture built upon an XLM-RoBERTa backbone, explicitly trained to construct dense semantic feature representations across more than 100 languages, including Bengali.</w:t>
      </w:r>
    </w:p>
    <w:p w14:paraId="679B9FEB" w14:textId="77777777" w:rsidR="00930E6A" w:rsidRDefault="00F2464B">
      <w:pPr>
        <w:pStyle w:val="BodyText"/>
      </w:pPr>
      <w:r>
        <w:t>The dense semantic encoder maps arbitrary-length source sentences into a normalized 1024-dimensional vector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sup>
        </m:sSup>
      </m:oMath>
      <w:r>
        <w:t xml:space="preserve">). Given a query sentence </w:t>
      </w:r>
      <m:oMath>
        <m:r>
          <w:rPr>
            <w:rFonts w:ascii="Cambria Math" w:hAnsi="Cambria Math"/>
          </w:rPr>
          <m:t>q</m:t>
        </m:r>
      </m:oMath>
      <w:r>
        <w:t xml:space="preserve"> and a database document </w:t>
      </w:r>
      <m:oMath>
        <m:r>
          <w:rPr>
            <w:rFonts w:ascii="Cambria Math" w:hAnsi="Cambria Math"/>
          </w:rPr>
          <m:t>d</m:t>
        </m:r>
      </m:oMath>
      <w:r>
        <w:t xml:space="preserve">, dense feature extraction produces dense unit embedding vectors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sup>
        </m:sSup>
      </m:oMath>
      <w:r>
        <w:t>:</w:t>
      </w:r>
    </w:p>
    <w:p w14:paraId="5852E00C" w14:textId="77777777" w:rsidR="00930E6A" w:rsidRDefault="003357BF">
      <w:pPr>
        <w:pStyle w:val="BodyText"/>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f>
            <m:fPr>
              <m:ctrlPr>
                <w:rPr>
                  <w:rFonts w:ascii="Cambria Math" w:hAnsi="Cambria Math"/>
                </w:rPr>
              </m:ctrlPr>
            </m:fPr>
            <m:num>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num>
            <m:den>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ϕ</m:t>
              </m:r>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w:rPr>
              <w:rFonts w:ascii="Cambria Math" w:hAnsi="Cambria Math"/>
            </w:rPr>
            <m:t>  </m:t>
          </m:r>
          <m:r>
            <m:rPr>
              <m:sty m:val="p"/>
            </m:rPr>
            <w:rPr>
              <w:rFonts w:ascii="Cambria Math" w:hAnsi="Cambria Math"/>
            </w:rPr>
            <m:t>(</m:t>
          </m:r>
          <m:r>
            <w:rPr>
              <w:rFonts w:ascii="Cambria Math" w:hAnsi="Cambria Math"/>
            </w:rPr>
            <m:t>3.17</m:t>
          </m:r>
          <m:r>
            <m:rPr>
              <m:sty m:val="p"/>
            </m:rPr>
            <w:rPr>
              <w:rFonts w:ascii="Cambria Math" w:hAnsi="Cambria Math"/>
            </w:rPr>
            <m:t>)</m:t>
          </m:r>
        </m:oMath>
      </m:oMathPara>
    </w:p>
    <w:p w14:paraId="7E6A18DA" w14:textId="77777777" w:rsidR="00930E6A" w:rsidRDefault="00F2464B">
      <w:pPr>
        <w:pStyle w:val="FirstParagraph"/>
      </w:pPr>
      <w:r>
        <w:t xml:space="preserve">Where </w:t>
      </w:r>
      <m:oMath>
        <m:r>
          <w:rPr>
            <w:rFonts w:ascii="Cambria Math" w:hAnsi="Cambria Math"/>
          </w:rPr>
          <m:t>ϕ</m:t>
        </m:r>
        <m:r>
          <m:rPr>
            <m:sty m:val="p"/>
          </m:rPr>
          <w:rPr>
            <w:rFonts w:ascii="Cambria Math" w:hAnsi="Cambria Math"/>
          </w:rPr>
          <m:t>(⋅)</m:t>
        </m:r>
      </m:oMath>
      <w:r>
        <w:t xml:space="preserve"> represents the non-linear deep contextual encoder mapping function of BGE-M3,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denotes the Euclidean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t xml:space="preserve"> vector norm, and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d</m:t>
            </m:r>
          </m:sub>
        </m:sSub>
      </m:oMath>
      <w:r>
        <w:t xml:space="preserve"> are the resulting normalized 1024-dimensional embedding vectors.</w:t>
      </w:r>
    </w:p>
    <w:p w14:paraId="474863FF" w14:textId="77777777" w:rsidR="00930E6A" w:rsidRDefault="00F2464B">
      <w:pPr>
        <w:pStyle w:val="BodyText"/>
      </w:pPr>
      <w:r>
        <w:t>Because the embedding vectors are explicitly normalized to unit length (</w:t>
      </w:r>
      <m:oMath>
        <m:r>
          <m:rPr>
            <m:sty m:val="p"/>
          </m:rPr>
          <w:rPr>
            <w:rFonts w:ascii="Cambria Math" w:hAnsi="Cambria Math"/>
          </w:rPr>
          <m:t>∥</m:t>
        </m:r>
        <m:r>
          <m:rPr>
            <m:sty m:val="b"/>
          </m:rP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m:t>
        </m:r>
      </m:oMath>
      <w:r>
        <w:t xml:space="preserve">), the semantic similarity score </w:t>
      </w:r>
      <m:oMath>
        <m:sSub>
          <m:sSubPr>
            <m:ctrlPr>
              <w:rPr>
                <w:rFonts w:ascii="Cambria Math" w:hAnsi="Cambria Math"/>
              </w:rPr>
            </m:ctrlPr>
          </m:sSubPr>
          <m:e>
            <m:r>
              <m:rPr>
                <m:nor/>
              </m:rPr>
              <m:t>Sim</m:t>
            </m:r>
          </m:e>
          <m:sub>
            <m:r>
              <m:rPr>
                <m:nor/>
              </m:rPr>
              <m:t>dense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reduces to the vector inner-product (cosine similarity) between query and document vectors:</w:t>
      </w:r>
    </w:p>
    <w:p w14:paraId="3F3110C4" w14:textId="77777777" w:rsidR="00930E6A" w:rsidRDefault="003357BF">
      <w:pPr>
        <w:pStyle w:val="BodyText"/>
      </w:pPr>
      <m:oMathPara>
        <m:oMathParaPr>
          <m:jc m:val="center"/>
        </m:oMathParaPr>
        <m:oMath>
          <m:sSub>
            <m:sSubPr>
              <m:ctrlPr>
                <w:rPr>
                  <w:rFonts w:ascii="Cambria Math" w:hAnsi="Cambria Math"/>
                </w:rPr>
              </m:ctrlPr>
            </m:sSubPr>
            <m:e>
              <m:r>
                <m:rPr>
                  <m:nor/>
                </m:rPr>
                <m:t>Sim</m:t>
              </m:r>
            </m:e>
            <m:sub>
              <m:r>
                <m:rPr>
                  <m:nor/>
                </m:rPr>
                <m:t>dense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e</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m:rPr>
                  <m:sty m:val="b"/>
                </m:rPr>
                <w:rPr>
                  <w:rFonts w:ascii="Cambria Math" w:hAnsi="Cambria Math"/>
                </w:rPr>
                <m:t>e</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w:rPr>
              <w:rFonts w:ascii="Cambria Math" w:hAnsi="Cambria Math"/>
            </w:rPr>
            <m:t>  </m:t>
          </m:r>
          <m:r>
            <m:rPr>
              <m:sty m:val="p"/>
            </m:rPr>
            <w:rPr>
              <w:rFonts w:ascii="Cambria Math" w:hAnsi="Cambria Math"/>
            </w:rPr>
            <m:t>(</m:t>
          </m:r>
          <m:r>
            <w:rPr>
              <w:rFonts w:ascii="Cambria Math" w:hAnsi="Cambria Math"/>
            </w:rPr>
            <m:t>3.18</m:t>
          </m:r>
          <m:r>
            <m:rPr>
              <m:sty m:val="p"/>
            </m:rPr>
            <w:rPr>
              <w:rFonts w:ascii="Cambria Math" w:hAnsi="Cambria Math"/>
            </w:rPr>
            <m:t>)</m:t>
          </m:r>
        </m:oMath>
      </m:oMathPara>
    </w:p>
    <w:p w14:paraId="585D14F4" w14:textId="77777777" w:rsidR="00930E6A" w:rsidRDefault="00F2464B">
      <w:pPr>
        <w:pStyle w:val="FirstParagraph"/>
      </w:pPr>
      <w:r>
        <w:t xml:space="preserve">Where </w:t>
      </w:r>
      <m:oMath>
        <m:r>
          <m:rPr>
            <m:sty m:val="p"/>
          </m:rPr>
          <w:rPr>
            <w:rFonts w:ascii="Cambria Math" w:hAnsi="Cambria Math"/>
          </w:rPr>
          <m:t>⟨⋅,⋅⟩</m:t>
        </m:r>
      </m:oMath>
      <w:r>
        <w:t xml:space="preserve"> denotes the standard vector inner-product operator, </w:t>
      </w:r>
      <m:oMath>
        <m:sSubSup>
          <m:sSubSupPr>
            <m:ctrlPr>
              <w:rPr>
                <w:rFonts w:ascii="Cambria Math" w:hAnsi="Cambria Math"/>
              </w:rPr>
            </m:ctrlPr>
          </m:sSubSupPr>
          <m:e>
            <m:r>
              <m:rPr>
                <m:sty m:val="b"/>
              </m:rPr>
              <w:rPr>
                <w:rFonts w:ascii="Cambria Math" w:hAnsi="Cambria Math"/>
              </w:rPr>
              <m:t>e</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m:rPr>
                <m:sty m:val="b"/>
              </m:rPr>
              <w:rPr>
                <w:rFonts w:ascii="Cambria Math" w:hAnsi="Cambria Math"/>
              </w:rPr>
              <m:t>e</m:t>
            </m:r>
          </m:e>
          <m:sub>
            <m:r>
              <w:rPr>
                <w:rFonts w:ascii="Cambria Math" w:hAnsi="Cambria Math"/>
              </w:rPr>
              <m:t>d</m:t>
            </m:r>
          </m:sub>
        </m:sSub>
      </m:oMath>
      <w:r>
        <w:t xml:space="preserve"> represents the matrix multiplication of transposed query vector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t xml:space="preserve"> and document vector </w:t>
      </w:r>
      <m:oMath>
        <m:sSub>
          <m:sSubPr>
            <m:ctrlPr>
              <w:rPr>
                <w:rFonts w:ascii="Cambria Math" w:hAnsi="Cambria Math"/>
              </w:rPr>
            </m:ctrlPr>
          </m:sSubPr>
          <m:e>
            <m:r>
              <m:rPr>
                <m:sty m:val="b"/>
              </m:rPr>
              <w:rPr>
                <w:rFonts w:ascii="Cambria Math" w:hAnsi="Cambria Math"/>
              </w:rPr>
              <m:t>e</m:t>
            </m:r>
          </m:e>
          <m:sub>
            <m:r>
              <w:rPr>
                <w:rFonts w:ascii="Cambria Math" w:hAnsi="Cambria Math"/>
              </w:rPr>
              <m:t>d</m:t>
            </m:r>
          </m:sub>
        </m:sSub>
      </m:oMath>
      <w:r>
        <w:t xml:space="preserve">, and </w:t>
      </w:r>
      <m:oMath>
        <m:sSub>
          <m:sSubPr>
            <m:ctrlPr>
              <w:rPr>
                <w:rFonts w:ascii="Cambria Math" w:hAnsi="Cambria Math"/>
              </w:rPr>
            </m:ctrlPr>
          </m:sSubPr>
          <m:e>
            <m:r>
              <m:rPr>
                <m:nor/>
              </m:rPr>
              <m:t>Sim</m:t>
            </m:r>
          </m:e>
          <m:sub>
            <m:r>
              <m:rPr>
                <m:nor/>
              </m:rPr>
              <m:t>dense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measures the semantic similarity between query and candidate target exemplars. Dense semantic indexing via Equation (3.18) allows the retrieval subsystem to identify conceptually identical training exemplars even when the source query exhibits severe orthographic variations, non-standard spelling, or regional dialect synonyms that share no surface character overlap with the index.</w:t>
      </w:r>
    </w:p>
    <w:p w14:paraId="05F9C81C" w14:textId="77777777" w:rsidR="00930E6A" w:rsidRPr="00A54745" w:rsidRDefault="00F2464B">
      <w:pPr>
        <w:pStyle w:val="Heading3"/>
        <w:rPr>
          <w:rFonts w:ascii="Times New Roman" w:hAnsi="Times New Roman" w:cs="Times New Roman"/>
          <w:i w:val="0"/>
          <w:iCs/>
          <w:color w:val="auto"/>
          <w:sz w:val="26"/>
          <w:szCs w:val="26"/>
        </w:rPr>
      </w:pPr>
      <w:bookmarkStart w:id="13" w:name="reciprocal-rank-fusion-rrf"/>
      <w:bookmarkEnd w:id="12"/>
      <w:r w:rsidRPr="00A54745">
        <w:rPr>
          <w:rFonts w:ascii="Times New Roman" w:hAnsi="Times New Roman" w:cs="Times New Roman"/>
          <w:i w:val="0"/>
          <w:iCs/>
          <w:color w:val="auto"/>
          <w:sz w:val="26"/>
          <w:szCs w:val="26"/>
        </w:rPr>
        <w:t>3.3.3 Reciprocal Rank Fusion (RRF)</w:t>
      </w:r>
    </w:p>
    <w:p w14:paraId="5A7E8A20" w14:textId="77777777" w:rsidR="00930E6A" w:rsidRDefault="00F2464B">
      <w:pPr>
        <w:pStyle w:val="FirstParagraph"/>
      </w:pPr>
      <w:r>
        <w:t xml:space="preserve">Because sparse lexical search (BM25Okapi) and dense semantic search (BGE-M3) operate on fundamentally different scoring scales (unbounded positive probabilistic log-odds versus bounded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cosine similarities), raw retrieval scores cannot be directly combined via linear addition. To aggregate candidates robustly without requiring complex score normalization, Reciprocal Rank Fusion (RRF) is employed as a parameter-free rank aggregation method.</w:t>
      </w:r>
    </w:p>
    <w:p w14:paraId="4385D10E" w14:textId="77777777" w:rsidR="00930E6A" w:rsidRDefault="00F2464B">
      <w:pPr>
        <w:pStyle w:val="BodyText"/>
      </w:pPr>
      <w:r>
        <w:t xml:space="preserve">Given a candidate document </w:t>
      </w:r>
      <m:oMath>
        <m:r>
          <w:rPr>
            <w:rFonts w:ascii="Cambria Math" w:hAnsi="Cambria Math"/>
          </w:rPr>
          <m:t>d</m:t>
        </m:r>
      </m:oMath>
      <w:r>
        <w:t xml:space="preserve"> appearing within the top-</w:t>
      </w:r>
      <m:oMath>
        <m:r>
          <w:rPr>
            <w:rFonts w:ascii="Cambria Math" w:hAnsi="Cambria Math"/>
          </w:rPr>
          <m:t>K</m:t>
        </m:r>
      </m:oMath>
      <w:r>
        <w:t xml:space="preserve"> retrieved results of the lexical channel </w:t>
      </w:r>
      <m:oMath>
        <m:sSub>
          <m:sSubPr>
            <m:ctrlPr>
              <w:rPr>
                <w:rFonts w:ascii="Cambria Math" w:hAnsi="Cambria Math"/>
              </w:rPr>
            </m:ctrlPr>
          </m:sSubPr>
          <m:e>
            <m:r>
              <m:rPr>
                <m:scr m:val="script"/>
                <m:sty m:val="p"/>
              </m:rPr>
              <w:rPr>
                <w:rFonts w:ascii="Cambria Math" w:hAnsi="Cambria Math"/>
              </w:rPr>
              <m:t>R</m:t>
            </m:r>
          </m:e>
          <m:sub>
            <m:r>
              <m:rPr>
                <m:nor/>
              </m:rPr>
              <m:t>BM25</m:t>
            </m:r>
          </m:sub>
        </m:sSub>
      </m:oMath>
      <w:r>
        <w:t xml:space="preserve"> and/or the dense semantic channel </w:t>
      </w:r>
      <m:oMath>
        <m:sSub>
          <m:sSubPr>
            <m:ctrlPr>
              <w:rPr>
                <w:rFonts w:ascii="Cambria Math" w:hAnsi="Cambria Math"/>
              </w:rPr>
            </m:ctrlPr>
          </m:sSubPr>
          <m:e>
            <m:r>
              <m:rPr>
                <m:scr m:val="script"/>
                <m:sty m:val="p"/>
              </m:rPr>
              <w:rPr>
                <w:rFonts w:ascii="Cambria Math" w:hAnsi="Cambria Math"/>
              </w:rPr>
              <m:t>R</m:t>
            </m:r>
          </m:e>
          <m:sub>
            <m:r>
              <m:rPr>
                <m:nor/>
              </m:rPr>
              <m:t>Dense</m:t>
            </m:r>
          </m:sub>
        </m:sSub>
      </m:oMath>
      <w:r>
        <w:t>, the fused RRF score is formulated as:</w:t>
      </w:r>
    </w:p>
    <w:p w14:paraId="7FB1E158" w14:textId="77777777" w:rsidR="00930E6A" w:rsidRDefault="00F2464B">
      <w:pPr>
        <w:pStyle w:val="BodyText"/>
      </w:pPr>
      <m:oMathPara>
        <m:oMathParaPr>
          <m:jc m:val="center"/>
        </m:oMathParaPr>
        <m:oMath>
          <m:r>
            <m:rPr>
              <m:nor/>
            </m:rPr>
            <m:t>RRF</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m:rPr>
                  <m:nor/>
                </m:rPr>
                <m:t>BM25</m:t>
              </m:r>
              <m:r>
                <m:rPr>
                  <m:sty m:val="p"/>
                </m:rPr>
                <w:rPr>
                  <w:rFonts w:ascii="Cambria Math" w:hAnsi="Cambria Math"/>
                </w:rPr>
                <m:t>,</m:t>
              </m:r>
              <m:r>
                <m:rPr>
                  <m:nor/>
                </m:rPr>
                <m:t>Dense</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sSub>
                    <m:sSubPr>
                      <m:ctrlPr>
                        <w:rPr>
                          <w:rFonts w:ascii="Cambria Math" w:hAnsi="Cambria Math"/>
                        </w:rPr>
                      </m:ctrlPr>
                    </m:sSubPr>
                    <m:e>
                      <m:r>
                        <m:rPr>
                          <m:nor/>
                        </m:rPr>
                        <m:t>Rank</m:t>
                      </m:r>
                    </m:e>
                    <m:sub>
                      <m:r>
                        <w:rPr>
                          <w:rFonts w:ascii="Cambria Math" w:hAnsi="Cambria Math"/>
                        </w:rPr>
                        <m:t>m</m:t>
                      </m:r>
                    </m:sub>
                  </m:sSub>
                  <m:r>
                    <m:rPr>
                      <m:sty m:val="p"/>
                    </m:rPr>
                    <w:rPr>
                      <w:rFonts w:ascii="Cambria Math" w:hAnsi="Cambria Math"/>
                    </w:rPr>
                    <m:t>(</m:t>
                  </m:r>
                  <m:r>
                    <w:rPr>
                      <w:rFonts w:ascii="Cambria Math" w:hAnsi="Cambria Math"/>
                    </w:rPr>
                    <m:t>d</m:t>
                  </m:r>
                  <m:r>
                    <m:rPr>
                      <m:sty m:val="p"/>
                    </m:rPr>
                    <w:rPr>
                      <w:rFonts w:ascii="Cambria Math" w:hAnsi="Cambria Math"/>
                    </w:rPr>
                    <m:t>)</m:t>
                  </m:r>
                </m:den>
              </m:f>
            </m:e>
          </m:nary>
          <m:r>
            <w:rPr>
              <w:rFonts w:ascii="Cambria Math" w:hAnsi="Cambria Math"/>
            </w:rPr>
            <m:t>  </m:t>
          </m:r>
          <m:r>
            <m:rPr>
              <m:sty m:val="p"/>
            </m:rPr>
            <w:rPr>
              <w:rFonts w:ascii="Cambria Math" w:hAnsi="Cambria Math"/>
            </w:rPr>
            <m:t>(</m:t>
          </m:r>
          <m:r>
            <w:rPr>
              <w:rFonts w:ascii="Cambria Math" w:hAnsi="Cambria Math"/>
            </w:rPr>
            <m:t>3.19</m:t>
          </m:r>
          <m:r>
            <m:rPr>
              <m:sty m:val="p"/>
            </m:rPr>
            <w:rPr>
              <w:rFonts w:ascii="Cambria Math" w:hAnsi="Cambria Math"/>
            </w:rPr>
            <m:t>)</m:t>
          </m:r>
        </m:oMath>
      </m:oMathPara>
    </w:p>
    <w:p w14:paraId="661EF64F" w14:textId="77777777" w:rsidR="00930E6A" w:rsidRDefault="00F2464B">
      <w:pPr>
        <w:pStyle w:val="FirstParagraph"/>
      </w:pPr>
      <w:r>
        <w:t xml:space="preserve">Where </w:t>
      </w:r>
      <m:oMath>
        <m:r>
          <w:rPr>
            <w:rFonts w:ascii="Cambria Math" w:hAnsi="Cambria Math"/>
          </w:rPr>
          <m:t>m</m:t>
        </m:r>
        <m:r>
          <m:rPr>
            <m:sty m:val="p"/>
          </m:rPr>
          <w:rPr>
            <w:rFonts w:ascii="Cambria Math" w:hAnsi="Cambria Math"/>
          </w:rPr>
          <m:t>∈{</m:t>
        </m:r>
        <m:r>
          <m:rPr>
            <m:nor/>
          </m:rPr>
          <m:t>BM25</m:t>
        </m:r>
        <m:r>
          <m:rPr>
            <m:sty m:val="p"/>
          </m:rPr>
          <w:rPr>
            <w:rFonts w:ascii="Cambria Math" w:hAnsi="Cambria Math"/>
          </w:rPr>
          <m:t>,</m:t>
        </m:r>
        <m:r>
          <m:rPr>
            <m:nor/>
          </m:rPr>
          <m:t>Dense</m:t>
        </m:r>
        <m:r>
          <m:rPr>
            <m:sty m:val="p"/>
          </m:rPr>
          <w:rPr>
            <w:rFonts w:ascii="Cambria Math" w:hAnsi="Cambria Math"/>
          </w:rPr>
          <m:t>}</m:t>
        </m:r>
      </m:oMath>
      <w:r>
        <w:t xml:space="preserve"> denotes the individual retrieval channel, </w:t>
      </w:r>
      <m:oMath>
        <m:sSub>
          <m:sSubPr>
            <m:ctrlPr>
              <w:rPr>
                <w:rFonts w:ascii="Cambria Math" w:hAnsi="Cambria Math"/>
              </w:rPr>
            </m:ctrlPr>
          </m:sSubPr>
          <m:e>
            <m:r>
              <m:rPr>
                <m:nor/>
              </m:rPr>
              <m:t>Rank</m:t>
            </m:r>
          </m:e>
          <m:sub>
            <m:r>
              <w:rPr>
                <w:rFonts w:ascii="Cambria Math" w:hAnsi="Cambria Math"/>
              </w:rPr>
              <m:t>m</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represents the 1-based ordinal rank index of document </w:t>
      </w:r>
      <m:oMath>
        <m:r>
          <w:rPr>
            <w:rFonts w:ascii="Cambria Math" w:hAnsi="Cambria Math"/>
          </w:rPr>
          <m:t>d</m:t>
        </m:r>
      </m:oMath>
      <w:r>
        <w:t xml:space="preserve"> within retrieval channel </w:t>
      </w:r>
      <m:oMath>
        <m:r>
          <w:rPr>
            <w:rFonts w:ascii="Cambria Math" w:hAnsi="Cambria Math"/>
          </w:rPr>
          <m:t>m</m:t>
        </m:r>
      </m:oMath>
      <w:r>
        <w:t xml:space="preserve"> (if document </w:t>
      </w:r>
      <m:oMath>
        <m:r>
          <w:rPr>
            <w:rFonts w:ascii="Cambria Math" w:hAnsi="Cambria Math"/>
          </w:rPr>
          <m:t>d</m:t>
        </m:r>
      </m:oMath>
      <w:r>
        <w:t xml:space="preserve"> is not retrieved within channel </w:t>
      </w:r>
      <m:oMath>
        <m:r>
          <w:rPr>
            <w:rFonts w:ascii="Cambria Math" w:hAnsi="Cambria Math"/>
          </w:rPr>
          <m:t>m</m:t>
        </m:r>
      </m:oMath>
      <w:r>
        <w:t xml:space="preserve">, </w:t>
      </w:r>
      <m:oMath>
        <m:sSub>
          <m:sSubPr>
            <m:ctrlPr>
              <w:rPr>
                <w:rFonts w:ascii="Cambria Math" w:hAnsi="Cambria Math"/>
              </w:rPr>
            </m:ctrlPr>
          </m:sSubPr>
          <m:e>
            <m:r>
              <m:rPr>
                <m:nor/>
              </m:rPr>
              <m:t>Rank</m:t>
            </m:r>
          </m:e>
          <m:sub>
            <m:r>
              <w:rPr>
                <w:rFonts w:ascii="Cambria Math" w:hAnsi="Cambria Math"/>
              </w:rPr>
              <m:t>m</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evaluates to </w:t>
      </w:r>
      <m:oMath>
        <m:r>
          <m:rPr>
            <m:sty m:val="p"/>
          </m:rPr>
          <w:rPr>
            <w:rFonts w:ascii="Cambria Math" w:hAnsi="Cambria Math"/>
          </w:rPr>
          <m:t>∞</m:t>
        </m:r>
      </m:oMath>
      <w:r>
        <w:t xml:space="preserve">, reducing its reciprocal term to zero),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xml:space="preserve"> is a smoothing constant that mitigates the impact of high-ranking outliers, and </w:t>
      </w:r>
      <m:oMath>
        <m:r>
          <m:rPr>
            <m:nor/>
          </m:rPr>
          <m:t>RRF</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is the aggregated multi-channel relevance score used to generate the final sorted exemplar list. The application of Equation (3.19) ensures that </w:t>
      </w:r>
      <w:r>
        <w:lastRenderedPageBreak/>
        <w:t>candidate exemplars achieving consistently high ranks across both lexical and semantic channels are prioritized, while single-channel outliers are penalized.</w:t>
      </w:r>
    </w:p>
    <w:p w14:paraId="4CDC32F4" w14:textId="77777777" w:rsidR="00930E6A" w:rsidRPr="00A54745" w:rsidRDefault="00F2464B">
      <w:pPr>
        <w:pStyle w:val="Heading3"/>
        <w:rPr>
          <w:rFonts w:ascii="Times New Roman" w:hAnsi="Times New Roman" w:cs="Times New Roman"/>
          <w:i w:val="0"/>
          <w:iCs/>
          <w:color w:val="auto"/>
          <w:sz w:val="26"/>
          <w:szCs w:val="26"/>
        </w:rPr>
      </w:pPr>
      <w:bookmarkStart w:id="14" w:name="X37c66fb6e2eb43773cb1087e3b12c6299cb69d2"/>
      <w:bookmarkEnd w:id="13"/>
      <w:r w:rsidRPr="00A54745">
        <w:rPr>
          <w:rFonts w:ascii="Times New Roman" w:hAnsi="Times New Roman" w:cs="Times New Roman"/>
          <w:i w:val="0"/>
          <w:iCs/>
          <w:color w:val="auto"/>
          <w:sz w:val="26"/>
          <w:szCs w:val="26"/>
        </w:rPr>
        <w:t>3.3.4 Statistical Bilingual Lexical Gloss Construction</w:t>
      </w:r>
    </w:p>
    <w:p w14:paraId="369B96F4" w14:textId="77777777" w:rsidR="00930E6A" w:rsidRDefault="00F2464B">
      <w:pPr>
        <w:pStyle w:val="FirstParagraph"/>
      </w:pPr>
      <w:r>
        <w:t>In addition to retrieving full sentence exemplars, the non-parametric subsystem dynamically constructs word-level translation constraints to assist neural generation when processing highly localized dialectal lexemes. Inspired by statistical translation principles and co-occurrence modeling, an automatic statistical bilingual lexical gloss engine is implemented.</w:t>
      </w:r>
    </w:p>
    <w:p w14:paraId="09FAE017" w14:textId="77777777" w:rsidR="00930E6A" w:rsidRDefault="00F2464B">
      <w:pPr>
        <w:pStyle w:val="BodyText"/>
      </w:pPr>
      <w:r>
        <w:t xml:space="preserve">Given a parallel training corpus partitioned by regional dialect </w:t>
      </w:r>
      <m:oMath>
        <m:r>
          <w:rPr>
            <w:rFonts w:ascii="Cambria Math" w:hAnsi="Cambria Math"/>
          </w:rPr>
          <m:t>d</m:t>
        </m:r>
        <m:r>
          <m:rPr>
            <m:sty m:val="p"/>
          </m:rPr>
          <w:rPr>
            <w:rFonts w:ascii="Cambria Math" w:hAnsi="Cambria Math"/>
          </w:rPr>
          <m:t>∈{</m:t>
        </m:r>
        <m:r>
          <m:rPr>
            <m:nor/>
          </m:rPr>
          <m:t>Chittagonian</m:t>
        </m:r>
        <m:r>
          <m:rPr>
            <m:sty m:val="p"/>
          </m:rPr>
          <w:rPr>
            <w:rFonts w:ascii="Cambria Math" w:hAnsi="Cambria Math"/>
          </w:rPr>
          <m:t>,</m:t>
        </m:r>
        <m:r>
          <m:rPr>
            <m:nor/>
          </m:rPr>
          <m:t>Sylheti</m:t>
        </m:r>
        <m:r>
          <m:rPr>
            <m:sty m:val="p"/>
          </m:rPr>
          <w:rPr>
            <w:rFonts w:ascii="Cambria Math" w:hAnsi="Cambria Math"/>
          </w:rPr>
          <m:t>}</m:t>
        </m:r>
      </m:oMath>
      <w:r>
        <w:t xml:space="preserve">, the statistical engine computes the conditional probability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oMath>
      <w:r>
        <w:t xml:space="preserve"> that a specific regional dialect word token </w:t>
      </w:r>
      <m:oMath>
        <m:sSub>
          <m:sSubPr>
            <m:ctrlPr>
              <w:rPr>
                <w:rFonts w:ascii="Cambria Math" w:hAnsi="Cambria Math"/>
              </w:rPr>
            </m:ctrlPr>
          </m:sSubPr>
          <m:e>
            <m:r>
              <w:rPr>
                <w:rFonts w:ascii="Cambria Math" w:hAnsi="Cambria Math"/>
              </w:rPr>
              <m:t>w</m:t>
            </m:r>
          </m:e>
          <m:sub>
            <m:r>
              <m:rPr>
                <m:nor/>
              </m:rPr>
              <m:t>dia</m:t>
            </m:r>
          </m:sub>
        </m:sSub>
      </m:oMath>
      <w:r>
        <w:t xml:space="preserve"> translates to a Standard Bangla word token </w:t>
      </w:r>
      <m:oMath>
        <m:sSub>
          <m:sSubPr>
            <m:ctrlPr>
              <w:rPr>
                <w:rFonts w:ascii="Cambria Math" w:hAnsi="Cambria Math"/>
              </w:rPr>
            </m:ctrlPr>
          </m:sSubPr>
          <m:e>
            <m:r>
              <w:rPr>
                <w:rFonts w:ascii="Cambria Math" w:hAnsi="Cambria Math"/>
              </w:rPr>
              <m:t>w</m:t>
            </m:r>
          </m:e>
          <m:sub>
            <m:r>
              <m:rPr>
                <m:nor/>
              </m:rPr>
              <m:t>std</m:t>
            </m:r>
          </m:sub>
        </m:sSub>
      </m:oMath>
      <w:r>
        <w:t>:</w:t>
      </w:r>
    </w:p>
    <w:p w14:paraId="787396D6" w14:textId="77777777" w:rsidR="00930E6A" w:rsidRDefault="00F2464B">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f>
            <m:fPr>
              <m:ctrlPr>
                <w:rPr>
                  <w:rFonts w:ascii="Cambria Math" w:hAnsi="Cambria Math"/>
                </w:rPr>
              </m:ctrlPr>
            </m:fPr>
            <m:num>
              <m:r>
                <m:rPr>
                  <m:nor/>
                </m:rPr>
                <m:t>count</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num>
            <m:den>
              <m:r>
                <m:rPr>
                  <m:nor/>
                </m:rPr>
                <m:t>freq</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3.20</m:t>
          </m:r>
          <m:r>
            <m:rPr>
              <m:sty m:val="p"/>
            </m:rPr>
            <w:rPr>
              <w:rFonts w:ascii="Cambria Math" w:hAnsi="Cambria Math"/>
            </w:rPr>
            <m:t>)</m:t>
          </m:r>
        </m:oMath>
      </m:oMathPara>
    </w:p>
    <w:p w14:paraId="056E90B3" w14:textId="77777777" w:rsidR="00930E6A" w:rsidRDefault="00F2464B">
      <w:pPr>
        <w:pStyle w:val="FirstParagraph"/>
      </w:pPr>
      <w:r>
        <w:t xml:space="preserve">Where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oMath>
      <w:r>
        <w:t xml:space="preserve"> represents the set of sentence indices belonging to regional dialect partition </w:t>
      </w:r>
      <m:oMath>
        <m:r>
          <w:rPr>
            <w:rFonts w:ascii="Cambria Math" w:hAnsi="Cambria Math"/>
          </w:rPr>
          <m:t>d</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represent the source dialect sentence and target Standard Bangla sentence for pair </w:t>
      </w:r>
      <m:oMath>
        <m:r>
          <w:rPr>
            <w:rFonts w:ascii="Cambria Math" w:hAnsi="Cambria Math"/>
          </w:rPr>
          <m:t>i</m:t>
        </m:r>
      </m:oMath>
      <w:r>
        <w:t xml:space="preserve">, </w:t>
      </w:r>
      <m:oMath>
        <m:r>
          <m:rPr>
            <m:scr m:val="double-struck"/>
            <m:sty m:val="p"/>
          </m:rPr>
          <w:rPr>
            <w:rFonts w:ascii="Cambria Math" w:hAnsi="Cambria Math"/>
          </w:rPr>
          <m:t>I(⋅)</m:t>
        </m:r>
      </m:oMath>
      <w:r>
        <w:t xml:space="preserve"> denotes the indicator function returning 1 if the condition evaluates to true and 0 otherwise, </w:t>
      </w:r>
      <m:oMath>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oMath>
      <w:r>
        <w:t xml:space="preserve"> restricts co-occurrence tracking exclusively to genuine dialectal shifts (filtering out invariant cognates), </w:t>
      </w:r>
      <m:oMath>
        <m:r>
          <m:rPr>
            <m:nor/>
          </m:rPr>
          <m:t>freq</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oMath>
      <w:r>
        <w:t xml:space="preserve"> denotes the total unigram token frequency of the dialect word, and </w:t>
      </w:r>
      <m:oMath>
        <m:r>
          <m:rPr>
            <m:nor/>
          </m:rPr>
          <m:t>count</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oMath>
      <w:r>
        <w:t xml:space="preserve"> measures the co-occurrence frequency of the word pair within aligned sentence boundaries.</w:t>
      </w:r>
    </w:p>
    <w:p w14:paraId="7DB1C75D" w14:textId="77777777" w:rsidR="00930E6A" w:rsidRDefault="00F2464B">
      <w:pPr>
        <w:pStyle w:val="BodyText"/>
      </w:pPr>
      <w:r>
        <w:t>To eliminate spurious alignments caused by low-frequency noise, candidate translation entries are subject to frequency filtering (</w:t>
      </w:r>
      <m:oMath>
        <m:r>
          <m:rPr>
            <m:nor/>
          </m:rPr>
          <m:t>freq</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r>
          <w:rPr>
            <w:rFonts w:ascii="Cambria Math" w:hAnsi="Cambria Math"/>
          </w:rPr>
          <m:t>2</m:t>
        </m:r>
      </m:oMath>
      <w:r>
        <w:t xml:space="preserve">). For each qualifying dialect token, the single most probable Standard Bangla translation candidate </w:t>
      </w:r>
      <m:oMath>
        <m:sSubSup>
          <m:sSubSupPr>
            <m:ctrlPr>
              <w:rPr>
                <w:rFonts w:ascii="Cambria Math" w:hAnsi="Cambria Math"/>
              </w:rPr>
            </m:ctrlPr>
          </m:sSubSupPr>
          <m:e>
            <m:r>
              <w:rPr>
                <w:rFonts w:ascii="Cambria Math" w:hAnsi="Cambria Math"/>
              </w:rPr>
              <m:t>w</m:t>
            </m:r>
          </m:e>
          <m:sub>
            <m:r>
              <m:rPr>
                <m:nor/>
              </m:rPr>
              <m:t>std</m:t>
            </m:r>
          </m:sub>
          <m:sup>
            <m:r>
              <m:rPr>
                <m:sty m:val="p"/>
              </m:rPr>
              <w:rPr>
                <w:rFonts w:ascii="Cambria Math" w:hAnsi="Cambria Math"/>
              </w:rPr>
              <m:t>*</m:t>
            </m:r>
          </m:sup>
        </m:sSubSup>
        <m:r>
          <m:rPr>
            <m:sty m:val="p"/>
          </m:rPr>
          <w:rPr>
            <w:rFonts w:ascii="Cambria Math" w:hAnsi="Cambria Math"/>
          </w:rPr>
          <m:t>=</m:t>
        </m:r>
        <m:r>
          <m:rPr>
            <m:nor/>
          </m:rPr>
          <m:t>arg</m:t>
        </m:r>
        <m:sSub>
          <m:sSubPr>
            <m:ctrlPr>
              <w:rPr>
                <w:rFonts w:ascii="Cambria Math" w:hAnsi="Cambria Math"/>
              </w:rPr>
            </m:ctrlPr>
          </m:sSubPr>
          <m:e>
            <m:r>
              <m:rPr>
                <m:nor/>
              </m:rPr>
              <m:t>max</m:t>
            </m:r>
          </m:e>
          <m:sub>
            <m:sSub>
              <m:sSubPr>
                <m:ctrlPr>
                  <w:rPr>
                    <w:rFonts w:ascii="Cambria Math" w:hAnsi="Cambria Math"/>
                  </w:rPr>
                </m:ctrlPr>
              </m:sSubPr>
              <m:e>
                <m:r>
                  <w:rPr>
                    <w:rFonts w:ascii="Cambria Math" w:hAnsi="Cambria Math"/>
                  </w:rPr>
                  <m:t>w</m:t>
                </m:r>
              </m:e>
              <m:sub>
                <m:r>
                  <m:rPr>
                    <m:nor/>
                  </m:rPr>
                  <m:t>std</m:t>
                </m:r>
              </m:sub>
            </m:sSub>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oMath>
      <w:r>
        <w:t xml:space="preserve"> is selected. The resulting translation pairs are sorted in descending order of conditional probability </w:t>
      </w:r>
      <m:oMath>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nor/>
              </m:rPr>
              <m:t>std</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dia</m:t>
            </m:r>
          </m:sub>
        </m:sSub>
        <m:r>
          <m:rPr>
            <m:sty m:val="p"/>
          </m:rPr>
          <w:rPr>
            <w:rFonts w:ascii="Cambria Math" w:hAnsi="Cambria Math"/>
          </w:rPr>
          <m:t>)</m:t>
        </m:r>
      </m:oMath>
      <w:r>
        <w:t xml:space="preserve">, and the top </w:t>
      </w:r>
      <m:oMath>
        <m:sSub>
          <m:sSubPr>
            <m:ctrlPr>
              <w:rPr>
                <w:rFonts w:ascii="Cambria Math" w:hAnsi="Cambria Math"/>
              </w:rPr>
            </m:ctrlPr>
          </m:sSubPr>
          <m:e>
            <m:r>
              <w:rPr>
                <w:rFonts w:ascii="Cambria Math" w:hAnsi="Cambria Math"/>
              </w:rPr>
              <m:t>K</m:t>
            </m:r>
          </m:e>
          <m:sub>
            <m:r>
              <m:rPr>
                <m:nor/>
              </m:rPr>
              <m:t>gloss</m:t>
            </m:r>
          </m:sub>
        </m:sSub>
        <m:r>
          <m:rPr>
            <m:sty m:val="p"/>
          </m:rPr>
          <w:rPr>
            <w:rFonts w:ascii="Cambria Math" w:hAnsi="Cambria Math"/>
          </w:rPr>
          <m:t>=</m:t>
        </m:r>
        <m:r>
          <w:rPr>
            <w:rFonts w:ascii="Cambria Math" w:hAnsi="Cambria Math"/>
          </w:rPr>
          <m:t>2000</m:t>
        </m:r>
      </m:oMath>
      <w:r>
        <w:t xml:space="preserve"> entries per dialect are retained to form the compiled lexical gloss dictionary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d</m:t>
            </m:r>
          </m:sub>
        </m:sSub>
      </m:oMath>
      <w:r>
        <w:t xml:space="preserve">. During translation inference, any input dialect token present in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d</m:t>
            </m:r>
          </m:sub>
        </m:sSub>
      </m:oMath>
      <w:r>
        <w:t xml:space="preserve"> is automatically mapped to its target Standard Bangla </w:t>
      </w:r>
      <w:r>
        <w:lastRenderedPageBreak/>
        <w:t>gloss, providing exact lexical constraints that prevent neural out-of-vocabulary hallucinations.</w:t>
      </w:r>
    </w:p>
    <w:p w14:paraId="283A3EA9" w14:textId="43EAE881" w:rsidR="00930E6A" w:rsidRDefault="00930E6A"/>
    <w:p w14:paraId="5D82A73E" w14:textId="77777777" w:rsidR="00930E6A" w:rsidRPr="00A54745" w:rsidRDefault="00F2464B">
      <w:pPr>
        <w:pStyle w:val="Heading2"/>
        <w:rPr>
          <w:rFonts w:ascii="Times New Roman" w:hAnsi="Times New Roman" w:cs="Times New Roman"/>
          <w:color w:val="auto"/>
          <w:sz w:val="26"/>
          <w:szCs w:val="26"/>
        </w:rPr>
      </w:pPr>
      <w:bookmarkStart w:id="15" w:name="X4e0ca4bcb9e8590385af87564943eadc7804c3f"/>
      <w:bookmarkEnd w:id="10"/>
      <w:bookmarkEnd w:id="14"/>
      <w:r w:rsidRPr="00A54745">
        <w:rPr>
          <w:rFonts w:ascii="Times New Roman" w:hAnsi="Times New Roman" w:cs="Times New Roman"/>
          <w:color w:val="auto"/>
          <w:sz w:val="26"/>
          <w:szCs w:val="26"/>
        </w:rPr>
        <w:t>3.4 Static Multi-Exemplar Hybrid RAG Framework (Baseline Non-Parametric Pipeline)</w:t>
      </w:r>
    </w:p>
    <w:p w14:paraId="39129443" w14:textId="77777777" w:rsidR="00BF3905" w:rsidRDefault="00F2464B" w:rsidP="00BF3905">
      <w:pPr>
        <w:pStyle w:val="FirstParagraph"/>
      </w:pPr>
      <w:r>
        <w:t>To establish an empirical non-parametric benchmark prior to deploying parametric domain adaptation, a Static Multi-Exemplar Hybrid RAG Framework was constructed. This framework serves as the primary non-parametric paradigm evaluated across all baseline generative architectures, including large causal language models (Qwen2.5-7B-Instruct) and unadapted sequence-to-sequence networks (NLLB-200-Distilled-600M, BanglaT5, and M2M100-418M).</w:t>
      </w:r>
    </w:p>
    <w:p w14:paraId="40837B68" w14:textId="61D5E7A8" w:rsidR="00930E6A" w:rsidRDefault="00F2464B" w:rsidP="00BF3905">
      <w:pPr>
        <w:pStyle w:val="FirstParagraph"/>
      </w:pPr>
      <w:r>
        <w:t>For every test query, the dual-index retrieval engine extracts the top-</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most relevant parallel translation pairs from the training set using RRF fusion. These exemplars are formatted into a multi-shot in-context learning prompt using structured pseudo-XML delimiters [11]. The resulting static prompt is fed directly into generative language models to evaluate zero-shot in-context translation performance without updating parametric model weights.</w:t>
      </w:r>
    </w:p>
    <w:p w14:paraId="0F220B84" w14:textId="77777777" w:rsidR="00930E6A" w:rsidRPr="00A54745" w:rsidRDefault="00F2464B">
      <w:pPr>
        <w:pStyle w:val="Heading3"/>
        <w:rPr>
          <w:rFonts w:ascii="Times New Roman" w:hAnsi="Times New Roman" w:cs="Times New Roman"/>
          <w:i w:val="0"/>
          <w:iCs/>
          <w:color w:val="auto"/>
          <w:sz w:val="26"/>
          <w:szCs w:val="26"/>
        </w:rPr>
      </w:pPr>
      <w:bookmarkStart w:id="16" w:name="Xb482e7ded69f93a5fe7aa4733026c73bde87476"/>
      <w:r w:rsidRPr="00A54745">
        <w:rPr>
          <w:rFonts w:ascii="Times New Roman" w:hAnsi="Times New Roman" w:cs="Times New Roman"/>
          <w:i w:val="0"/>
          <w:iCs/>
          <w:color w:val="auto"/>
          <w:sz w:val="26"/>
          <w:szCs w:val="26"/>
        </w:rPr>
        <w:t>3.4.1 Architectural Design and Candidate Exemplar Selection</w:t>
      </w:r>
    </w:p>
    <w:p w14:paraId="28208C6A" w14:textId="77777777" w:rsidR="00930E6A" w:rsidRDefault="00F2464B">
      <w:pPr>
        <w:pStyle w:val="FirstParagraph"/>
      </w:pPr>
      <w:r>
        <w:t xml:space="preserve">The static non-parametric pipeline operates under the principle of in-context learning (ICL), where external demonstration pairs act as non-parametric memory that guides the generative decoder. For a given input query sequence </w:t>
      </w:r>
      <m:oMath>
        <m:r>
          <w:rPr>
            <w:rFonts w:ascii="Cambria Math" w:hAnsi="Cambria Math"/>
          </w:rPr>
          <m:t>x</m:t>
        </m:r>
      </m:oMath>
      <w:r>
        <w:t xml:space="preserve">, the dual-index retrieval subsystem searches the parallel training corpus to identify candidate set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oMath>
      <w:r>
        <w:t>.</w:t>
      </w:r>
    </w:p>
    <w:p w14:paraId="03B78099" w14:textId="77777777" w:rsidR="00930E6A" w:rsidRDefault="00F2464B">
      <w:pPr>
        <w:pStyle w:val="BodyText"/>
      </w:pPr>
      <w:r>
        <w:t xml:space="preserve">Candidate selection enforces a fixed exemplar count of </w:t>
      </w:r>
      <m:oMath>
        <m:r>
          <w:rPr>
            <w:rFonts w:ascii="Cambria Math" w:hAnsi="Cambria Math"/>
          </w:rPr>
          <m:t>k</m:t>
        </m:r>
        <m:r>
          <m:rPr>
            <m:sty m:val="p"/>
          </m:rPr>
          <w:rPr>
            <w:rFonts w:ascii="Cambria Math" w:hAnsi="Cambria Math"/>
          </w:rPr>
          <m:t>=</m:t>
        </m:r>
        <m:r>
          <w:rPr>
            <w:rFonts w:ascii="Cambria Math" w:hAnsi="Cambria Math"/>
          </w:rPr>
          <m:t>4</m:t>
        </m:r>
      </m:oMath>
      <w:r>
        <w:t>. This parameter provides sufficient in-context demonstration diversity while remaining within the context window limits of baseline architectures. The retrieved exemplars are ordered in ascending rank sequence based on their aggregated RRF scores (</w:t>
      </w:r>
      <m:oMath>
        <m:r>
          <m:rPr>
            <m:nor/>
          </m:rPr>
          <m:t>RRF</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m:rPr>
            <m:nor/>
          </m:rPr>
          <m:t>RRF</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m:rPr>
            <m:nor/>
          </m:rPr>
          <m:t>RRF</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r>
        <w:t xml:space="preserve">), </w:t>
      </w:r>
      <w:r>
        <w:lastRenderedPageBreak/>
        <w:t>ensuring that the most semantically and lexically relevant demonstration appears adjacent to the primary query.</w:t>
      </w:r>
    </w:p>
    <w:p w14:paraId="31CD2900" w14:textId="77777777" w:rsidR="00930E6A" w:rsidRPr="00A54745" w:rsidRDefault="00F2464B">
      <w:pPr>
        <w:pStyle w:val="Heading3"/>
        <w:rPr>
          <w:rFonts w:ascii="Times New Roman" w:hAnsi="Times New Roman" w:cs="Times New Roman"/>
          <w:i w:val="0"/>
          <w:iCs/>
          <w:color w:val="auto"/>
          <w:sz w:val="26"/>
          <w:szCs w:val="26"/>
        </w:rPr>
      </w:pPr>
      <w:bookmarkStart w:id="17" w:name="X344b5639da33e438bc6164e02db6da40fc13867"/>
      <w:bookmarkEnd w:id="16"/>
      <w:r w:rsidRPr="00A54745">
        <w:rPr>
          <w:rFonts w:ascii="Times New Roman" w:hAnsi="Times New Roman" w:cs="Times New Roman"/>
          <w:i w:val="0"/>
          <w:iCs/>
          <w:color w:val="auto"/>
          <w:sz w:val="26"/>
          <w:szCs w:val="26"/>
        </w:rPr>
        <w:t>3.4.2 In-Context Prompt Engineering and Syntactic Framing</w:t>
      </w:r>
    </w:p>
    <w:p w14:paraId="26AAC06A" w14:textId="77777777" w:rsidR="00930E6A" w:rsidRDefault="00F2464B">
      <w:pPr>
        <w:pStyle w:val="FirstParagraph"/>
      </w:pPr>
      <w:r>
        <w:t xml:space="preserve">To inject retrieved exemplars into generative models without introducing syntactic ambiguity between demonstration pairs and the target query, a structured Pseudo-XML Prompt Encoding scheme is established. The complete static prompt sequence </w:t>
      </w: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oMath>
      <w:r>
        <w:t xml:space="preserve"> is constructed by encapsulating the top-4 retrieved demonstration pairs within a </w:t>
      </w:r>
      <w:r>
        <w:rPr>
          <w:rStyle w:val="VerbatimChar"/>
        </w:rPr>
        <w:t>&lt;context&gt;</w:t>
      </w:r>
      <w:r>
        <w:t xml:space="preserve"> block, followed by an explicit </w:t>
      </w:r>
      <w:r>
        <w:rPr>
          <w:rStyle w:val="VerbatimChar"/>
        </w:rPr>
        <w:t>[QUERY]</w:t>
      </w:r>
      <w:r>
        <w:t xml:space="preserve"> marker:</w:t>
      </w:r>
    </w:p>
    <w:p w14:paraId="7FA46D0F"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r>
            <m:rPr>
              <m:nor/>
            </m:rPr>
            <m:t>"&lt;context&gt;"</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d>
                <m:dPr>
                  <m:ctrlPr>
                    <w:rPr>
                      <w:rFonts w:ascii="Cambria Math" w:hAnsi="Cambria Math"/>
                    </w:rPr>
                  </m:ctrlPr>
                </m:dPr>
                <m:e>
                  <m:r>
                    <m:rPr>
                      <m:nor/>
                    </m:rPr>
                    <m:t>"[SOURCE]: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r>
                    <m:rPr>
                      <m:nor/>
                    </m:rPr>
                    <m:t>" [TARGET]: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r>
            <w:rPr>
              <w:rFonts w:ascii="Cambria Math" w:hAnsi="Cambria Math"/>
            </w:rPr>
            <m:t> </m:t>
          </m:r>
          <m:r>
            <m:rPr>
              <m:sty m:val="p"/>
            </m:rPr>
            <w:rPr>
              <w:rFonts w:ascii="Cambria Math" w:hAnsi="Cambria Math"/>
            </w:rPr>
            <m:t>∘</m:t>
          </m:r>
          <m:r>
            <w:rPr>
              <w:rFonts w:ascii="Cambria Math" w:hAnsi="Cambria Math"/>
            </w:rPr>
            <m:t> </m:t>
          </m:r>
          <m:r>
            <m:rPr>
              <m:nor/>
            </m:rPr>
            <m:t>"&lt;/context&gt; [QUERY]: "</m:t>
          </m:r>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3.21</m:t>
          </m:r>
          <m:r>
            <m:rPr>
              <m:sty m:val="p"/>
            </m:rPr>
            <w:rPr>
              <w:rFonts w:ascii="Cambria Math" w:hAnsi="Cambria Math"/>
            </w:rPr>
            <m:t>)</m:t>
          </m:r>
        </m:oMath>
      </m:oMathPara>
    </w:p>
    <w:p w14:paraId="61F8CE62" w14:textId="77777777" w:rsidR="00930E6A" w:rsidRDefault="00F2464B">
      <w:pPr>
        <w:pStyle w:val="FirstParagraph"/>
      </w:pPr>
      <w:r>
        <w:t xml:space="preserve">Where </w:t>
      </w:r>
      <m:oMath>
        <m:r>
          <w:rPr>
            <w:rFonts w:ascii="Cambria Math" w:hAnsi="Cambria Math"/>
          </w:rPr>
          <m:t>x</m:t>
        </m:r>
      </m:oMath>
      <w:r>
        <w:t xml:space="preserve"> represents the raw Standard Bangla source query sequence,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represents the </w:t>
      </w:r>
      <m:oMath>
        <m:r>
          <w:rPr>
            <w:rFonts w:ascii="Cambria Math" w:hAnsi="Cambria Math"/>
          </w:rPr>
          <m:t>i</m:t>
        </m:r>
      </m:oMath>
      <w:r>
        <w:t xml:space="preserve">-th retrieved parallel demonstration pair containing source dialect string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target Standard Bangla string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m:oMath>
        <m:r>
          <m:rPr>
            <m:sty m:val="p"/>
          </m:rPr>
          <w:rPr>
            <w:rFonts w:ascii="Cambria Math" w:hAnsi="Cambria Math"/>
          </w:rPr>
          <m:t>∘</m:t>
        </m:r>
      </m:oMath>
      <w:r>
        <w:t xml:space="preserve"> denotes string concatenation,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r>
              <w:rPr>
                <w:rFonts w:ascii="Cambria Math" w:hAnsi="Cambria Math"/>
              </w:rPr>
              <m:t>​</m:t>
            </m:r>
          </m:e>
        </m:nary>
      </m:oMath>
      <w:r>
        <w:t xml:space="preserve"> denotes sequential concatenation over the top-4 demonstration exemplars, </w:t>
      </w:r>
      <m:oMath>
        <m:r>
          <m:rPr>
            <m:nor/>
          </m:rPr>
          <m:t>"&lt;context&gt;"</m:t>
        </m:r>
      </m:oMath>
      <w:r>
        <w:t xml:space="preserve"> and </w:t>
      </w:r>
      <m:oMath>
        <m:r>
          <m:rPr>
            <m:nor/>
          </m:rPr>
          <m:t>"&lt;/context&gt;"</m:t>
        </m:r>
      </m:oMath>
      <w:r>
        <w:t xml:space="preserve"> represent pseudo-XML boundary tags isolating demonstration memory, </w:t>
      </w:r>
      <m:oMath>
        <m:r>
          <m:rPr>
            <m:nor/>
          </m:rPr>
          <m:t>"[SOURCE]:"</m:t>
        </m:r>
      </m:oMath>
      <w:r>
        <w:t xml:space="preserve">, </w:t>
      </w:r>
      <m:oMath>
        <m:r>
          <m:rPr>
            <m:nor/>
          </m:rPr>
          <m:t>"[TARGET]:"</m:t>
        </m:r>
      </m:oMath>
      <w:r>
        <w:t xml:space="preserve">, and </w:t>
      </w:r>
      <m:oMath>
        <m:r>
          <m:rPr>
            <m:nor/>
          </m:rPr>
          <m:t>"[QUERY]:"</m:t>
        </m:r>
      </m:oMath>
      <w:r>
        <w:t xml:space="preserve"> serve as structural control tokens, and </w:t>
      </w: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oMath>
      <w:r>
        <w:t xml:space="preserve"> is the formatted text string fed into generative language models. The formatting in Equation (3.21) isolates external memory from the primary query, enabling attention mechanisms to differentiate between demonstration examples and the target translation task.</w:t>
      </w:r>
    </w:p>
    <w:p w14:paraId="21128236" w14:textId="77777777" w:rsidR="00930E6A" w:rsidRPr="00A54745" w:rsidRDefault="00F2464B">
      <w:pPr>
        <w:pStyle w:val="Heading3"/>
        <w:rPr>
          <w:rFonts w:ascii="Times New Roman" w:hAnsi="Times New Roman" w:cs="Times New Roman"/>
          <w:i w:val="0"/>
          <w:iCs/>
          <w:color w:val="auto"/>
          <w:sz w:val="26"/>
          <w:szCs w:val="26"/>
        </w:rPr>
      </w:pPr>
      <w:bookmarkStart w:id="18" w:name="Xe8e9aed7ff9cf77ee6e5e4a7fc2bc04ee22e94f"/>
      <w:bookmarkEnd w:id="17"/>
      <w:r w:rsidRPr="00A54745">
        <w:rPr>
          <w:rFonts w:ascii="Times New Roman" w:hAnsi="Times New Roman" w:cs="Times New Roman"/>
          <w:i w:val="0"/>
          <w:iCs/>
          <w:color w:val="auto"/>
          <w:sz w:val="26"/>
          <w:szCs w:val="26"/>
        </w:rPr>
        <w:t>3.4.3 Non-Parametric In-Context Learning Dynamics</w:t>
      </w:r>
    </w:p>
    <w:p w14:paraId="5E1A07B7" w14:textId="77777777" w:rsidR="00930E6A" w:rsidRDefault="00F2464B">
      <w:pPr>
        <w:pStyle w:val="FirstParagraph"/>
      </w:pPr>
      <w:r>
        <w:t xml:space="preserve">In large causal autoregressive architectures—such as Qwen2.5-7B-Instruct—the static prompt </w:t>
      </w:r>
      <m:oMath>
        <m:sSub>
          <m:sSubPr>
            <m:ctrlPr>
              <w:rPr>
                <w:rFonts w:ascii="Cambria Math" w:hAnsi="Cambria Math"/>
              </w:rPr>
            </m:ctrlPr>
          </m:sSubPr>
          <m:e>
            <m:r>
              <w:rPr>
                <w:rFonts w:ascii="Cambria Math" w:hAnsi="Cambria Math"/>
              </w:rPr>
              <m:t>P</m:t>
            </m:r>
          </m:e>
          <m:sub>
            <m:r>
              <m:rPr>
                <m:nor/>
              </m:rPr>
              <m:t>static</m:t>
            </m:r>
          </m:sub>
        </m:sSub>
      </m:oMath>
      <w:r>
        <w:t xml:space="preserve"> is processed across deep causal multi-head self-attention layers. Large language models leverage their pre-trained attention mechanisms to perform in-context learning without updating underlying parameters </w:t>
      </w:r>
      <m:oMath>
        <m:r>
          <w:rPr>
            <w:rFonts w:ascii="Cambria Math" w:hAnsi="Cambria Math"/>
          </w:rPr>
          <m:t>Θ</m:t>
        </m:r>
      </m:oMath>
      <w:r>
        <w:t>:</w:t>
      </w:r>
    </w:p>
    <w:p w14:paraId="27A6D6DE" w14:textId="77777777" w:rsidR="00930E6A" w:rsidRDefault="00F2464B">
      <w:pPr>
        <w:pStyle w:val="BodyText"/>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y | x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r>
                <w:rPr>
                  <w:rFonts w:ascii="Cambria Math" w:hAnsi="Cambria Math"/>
                </w:rPr>
                <m:t>Θ</m:t>
              </m:r>
            </m:e>
          </m:d>
          <m:r>
            <w:rPr>
              <w:rFonts w:ascii="Cambria Math" w:hAnsi="Cambria Math"/>
            </w:rPr>
            <m:t>  </m:t>
          </m:r>
          <m:r>
            <m:rPr>
              <m:sty m:val="p"/>
            </m:rPr>
            <w:rPr>
              <w:rFonts w:ascii="Cambria Math" w:hAnsi="Cambria Math"/>
            </w:rPr>
            <m:t>(</m:t>
          </m:r>
          <m:r>
            <w:rPr>
              <w:rFonts w:ascii="Cambria Math" w:hAnsi="Cambria Math"/>
            </w:rPr>
            <m:t>3.22</m:t>
          </m:r>
          <m:r>
            <m:rPr>
              <m:sty m:val="p"/>
            </m:rPr>
            <w:rPr>
              <w:rFonts w:ascii="Cambria Math" w:hAnsi="Cambria Math"/>
            </w:rPr>
            <m:t>)</m:t>
          </m:r>
        </m:oMath>
      </m:oMathPara>
    </w:p>
    <w:p w14:paraId="468DBEE4" w14:textId="77777777" w:rsidR="00930E6A" w:rsidRDefault="00F2464B">
      <w:pPr>
        <w:pStyle w:val="FirstParagraph"/>
      </w:pPr>
      <w:r>
        <w:t xml:space="preserve">Where </w:t>
      </w:r>
      <m:oMath>
        <m:r>
          <w:rPr>
            <w:rFonts w:ascii="Cambria Math" w:hAnsi="Cambria Math"/>
          </w:rPr>
          <m:t>x</m:t>
        </m:r>
      </m:oMath>
      <w:r>
        <w:t xml:space="preserve"> represents the source query sequence,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oMath>
      <w:r>
        <w:t xml:space="preserve"> represents the set of top-4 retrieved demonstration exemplars, </w:t>
      </w: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x</m:t>
            </m:r>
          </m:sub>
        </m:sSub>
        <m:r>
          <m:rPr>
            <m:sty m:val="p"/>
          </m:rPr>
          <w:rPr>
            <w:rFonts w:ascii="Cambria Math" w:hAnsi="Cambria Math"/>
          </w:rPr>
          <m:t>)</m:t>
        </m:r>
      </m:oMath>
      <w:r>
        <w:t xml:space="preserve"> represents the static prompt generated via Equation (3.21),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t xml:space="preserve"> represents the generated target sequence of length </w:t>
      </w:r>
      <m:oMath>
        <m:r>
          <w:rPr>
            <w:rFonts w:ascii="Cambria Math" w:hAnsi="Cambria Math"/>
          </w:rPr>
          <m:t>T</m:t>
        </m:r>
      </m:oMath>
      <w:r>
        <w:t xml:space="preserve">, and </w:t>
      </w:r>
      <m:oMath>
        <m:r>
          <w:rPr>
            <w:rFonts w:ascii="Cambria Math" w:hAnsi="Cambria Math"/>
          </w:rPr>
          <m:t>Θ</m:t>
        </m:r>
      </m:oMath>
      <w:r>
        <w:t xml:space="preserve"> represents the static, unadapted neural weights of the language model.</w:t>
      </w:r>
    </w:p>
    <w:p w14:paraId="46E10C2A" w14:textId="77777777" w:rsidR="00930E6A" w:rsidRDefault="00F2464B">
      <w:pPr>
        <w:pStyle w:val="BodyText"/>
      </w:pPr>
      <w:r>
        <w:t xml:space="preserve">During the forward execution pass, self-attention matrices calculate key-query-value inner products across the demonstration exemplars. The model dynamically maps dialectal surface patterns in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to target structures in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transferring these transformation rules to query </w:t>
      </w:r>
      <m:oMath>
        <m:r>
          <w:rPr>
            <w:rFonts w:ascii="Cambria Math" w:hAnsi="Cambria Math"/>
          </w:rPr>
          <m:t>x</m:t>
        </m:r>
      </m:oMath>
      <w:r>
        <w:t>. This allows causal LLMs to achieve strong translation scores without task-specific parameter updates.</w:t>
      </w:r>
    </w:p>
    <w:p w14:paraId="429C9135" w14:textId="53922196" w:rsidR="00930E6A" w:rsidRPr="00A54745" w:rsidRDefault="00F2464B">
      <w:pPr>
        <w:pStyle w:val="Heading3"/>
        <w:rPr>
          <w:rFonts w:ascii="Times New Roman" w:hAnsi="Times New Roman" w:cs="Times New Roman"/>
          <w:i w:val="0"/>
          <w:iCs/>
          <w:color w:val="auto"/>
          <w:sz w:val="26"/>
          <w:szCs w:val="26"/>
        </w:rPr>
      </w:pPr>
      <w:bookmarkStart w:id="19" w:name="scope-and-experimental-deployment"/>
      <w:bookmarkEnd w:id="18"/>
      <w:r w:rsidRPr="00A54745">
        <w:rPr>
          <w:rFonts w:ascii="Times New Roman" w:hAnsi="Times New Roman" w:cs="Times New Roman"/>
          <w:i w:val="0"/>
          <w:iCs/>
          <w:color w:val="auto"/>
          <w:sz w:val="26"/>
          <w:szCs w:val="26"/>
        </w:rPr>
        <w:t>3.4.4 Experimental Deployment</w:t>
      </w:r>
    </w:p>
    <w:p w14:paraId="0B7B71F4" w14:textId="77777777" w:rsidR="00930E6A" w:rsidRDefault="00F2464B">
      <w:pPr>
        <w:pStyle w:val="FirstParagraph"/>
      </w:pPr>
      <w:r>
        <w:t xml:space="preserve">The static hybrid RAG framework serves as the primary non-parametric baseline evaluated across all generative models in this research. Specifically, it is deployed across four distinct model families: 1. </w:t>
      </w:r>
      <w:r>
        <w:rPr>
          <w:b/>
          <w:bCs/>
        </w:rPr>
        <w:t>Qwen2.5-7B-Instruct:</w:t>
      </w:r>
      <w:r>
        <w:t xml:space="preserve"> A 7-billion parameter causal autoregressive LLM utilizing 28 attention layers and a 128k token context window. 2. </w:t>
      </w:r>
      <w:r>
        <w:rPr>
          <w:b/>
          <w:bCs/>
        </w:rPr>
        <w:t>NLLB-200-Distilled-600M (Base):</w:t>
      </w:r>
      <w:r>
        <w:t xml:space="preserve"> An unadapted 619M parameter conditional encoder-decoder model. 3. </w:t>
      </w:r>
      <w:r>
        <w:rPr>
          <w:b/>
          <w:bCs/>
        </w:rPr>
        <w:t>BanglaT5:</w:t>
      </w:r>
      <w:r>
        <w:t xml:space="preserve"> A 220M parameter encoder-decoder transformer pre-trained on Bengali corpora. 4. </w:t>
      </w:r>
      <w:r>
        <w:rPr>
          <w:b/>
          <w:bCs/>
        </w:rPr>
        <w:t>M2M100-418M:</w:t>
      </w:r>
      <w:r>
        <w:t xml:space="preserve"> A 418M parameter multilingual encoder-decoder model.</w:t>
      </w:r>
    </w:p>
    <w:p w14:paraId="19CF4CFF" w14:textId="77777777" w:rsidR="00930E6A" w:rsidRDefault="00F2464B">
      <w:pPr>
        <w:pStyle w:val="BodyText"/>
      </w:pPr>
      <w:r>
        <w:t>Experimental results reveal a major architectural divide. While causal LLMs (Qwen2.5-7B) successfully process static multi-exemplar prompts (achieving up to 41.83 BLEU), applying identical static RAG prompts to compact encoder-decoder models (Base NLLB, BanglaT5, M2M100) causes severe cross-attention disruption and positional embedding exhaustion, causing translation quality to collapse down to 1.86–12.75 BLEU. This performance breakdown highlights the necessity of parameter-efficient fine-tuning and architecture-aware prompt engineering, setting the stage for the parametric adaptation and verified adaptive RAG framework detailed in Section 3.5 and Section 3.6.</w:t>
      </w:r>
    </w:p>
    <w:p w14:paraId="40C9A4AF" w14:textId="5FF62261" w:rsidR="00930E6A" w:rsidRDefault="00930E6A"/>
    <w:p w14:paraId="12BFA372" w14:textId="393EB1F6" w:rsidR="00930E6A" w:rsidRPr="00A54745" w:rsidRDefault="00F2464B">
      <w:pPr>
        <w:pStyle w:val="Heading2"/>
        <w:rPr>
          <w:rFonts w:ascii="Times New Roman" w:hAnsi="Times New Roman" w:cs="Times New Roman"/>
          <w:color w:val="auto"/>
          <w:sz w:val="26"/>
          <w:szCs w:val="26"/>
        </w:rPr>
      </w:pPr>
      <w:bookmarkStart w:id="20" w:name="Xf507963029353b2df551479c556b6434262a8d8"/>
      <w:bookmarkEnd w:id="15"/>
      <w:bookmarkEnd w:id="19"/>
      <w:r w:rsidRPr="00A54745">
        <w:rPr>
          <w:rFonts w:ascii="Times New Roman" w:hAnsi="Times New Roman" w:cs="Times New Roman"/>
          <w:color w:val="auto"/>
          <w:sz w:val="26"/>
          <w:szCs w:val="26"/>
        </w:rPr>
        <w:lastRenderedPageBreak/>
        <w:t xml:space="preserve">3.5 Parametric Domain Adaptation </w:t>
      </w:r>
    </w:p>
    <w:p w14:paraId="5CEE0608" w14:textId="77777777" w:rsidR="00930E6A" w:rsidRDefault="00F2464B">
      <w:pPr>
        <w:pStyle w:val="FirstParagraph"/>
      </w:pPr>
      <w:r>
        <w:t>While non-parametric retrieval subsystems dynamically supply localized lexical evidence and sentence-level translation exemplars, sequence-to-sequence backbones require structural domain adaptation to master the morphosyntactic, phonetic, and orthographic mapping rules of non-standard regional dialects. Standard full-parameter fine-tuning of deep pre-trained neural networks across low-resource parallel datasets frequently leads to catastrophic forgetting, severe gradient instability, and unsustainable storage overhead when deploying individual model checkpoints for multiple regional variants. To resolve these operational and theoretical bottlenecks, parameter-efficient domain adaptation via Low-Rank Adaptation (LoRA) is integrated directly into the multi-head self-attention and cross-attention sublayers of a massively multilingual conditional sequence-to-sequence transformer architecture.</w:t>
      </w:r>
    </w:p>
    <w:p w14:paraId="3447B5ED" w14:textId="5D9FAC88" w:rsidR="00930E6A" w:rsidRDefault="00BF3905">
      <w:pPr>
        <w:pStyle w:val="BodyText"/>
      </w:pPr>
      <w:r>
        <w:t>T</w:t>
      </w:r>
      <w:r w:rsidR="00F2464B">
        <w:t xml:space="preserve">he parameter-efficient adaptation framework freezes the primary pre-trained parameter tensor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00F2464B">
        <w:t xml:space="preserve"> across all transformer blocks. Low-rank decomposition matrices </w:t>
      </w:r>
      <m:oMath>
        <m:r>
          <w:rPr>
            <w:rFonts w:ascii="Cambria Math" w:hAnsi="Cambria Math"/>
          </w:rPr>
          <m:t>A</m:t>
        </m:r>
      </m:oMath>
      <w:r w:rsidR="00F2464B">
        <w:t xml:space="preserve"> and </w:t>
      </w:r>
      <m:oMath>
        <m:r>
          <w:rPr>
            <w:rFonts w:ascii="Cambria Math" w:hAnsi="Cambria Math"/>
          </w:rPr>
          <m:t>B</m:t>
        </m:r>
      </m:oMath>
      <w:r w:rsidR="00F2464B">
        <w:t xml:space="preserve"> are inserted in parallel to the query (</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00F2464B">
        <w:t>) and value (</w:t>
      </w:r>
      <m:oMath>
        <m:sSub>
          <m:sSubPr>
            <m:ctrlPr>
              <w:rPr>
                <w:rFonts w:ascii="Cambria Math" w:hAnsi="Cambria Math"/>
              </w:rPr>
            </m:ctrlPr>
          </m:sSubPr>
          <m:e>
            <m:r>
              <w:rPr>
                <w:rFonts w:ascii="Cambria Math" w:hAnsi="Cambria Math"/>
              </w:rPr>
              <m:t>W</m:t>
            </m:r>
          </m:e>
          <m:sub>
            <m:r>
              <w:rPr>
                <w:rFonts w:ascii="Cambria Math" w:hAnsi="Cambria Math"/>
              </w:rPr>
              <m:t>v</m:t>
            </m:r>
          </m:sub>
        </m:sSub>
      </m:oMath>
      <w:r w:rsidR="00F2464B">
        <w:t>) linear projection operators. During forward propagation, incoming hidden representations are routed concurrently through the frozen full-rank projection and the parameter-efficient low-rank bottleneck. The scaled output of the rank-decomposition path is subsequently summed with the unadapted activation stream, allowing the model to acquire dialect-specific cross-lingual representations while updating less than 1% of the total network parameter footprint.</w:t>
      </w:r>
    </w:p>
    <w:p w14:paraId="3E1B0BAE" w14:textId="77777777" w:rsidR="00930E6A" w:rsidRPr="00A54745" w:rsidRDefault="00F2464B">
      <w:pPr>
        <w:pStyle w:val="Heading3"/>
        <w:rPr>
          <w:rFonts w:ascii="Times New Roman" w:hAnsi="Times New Roman" w:cs="Times New Roman"/>
          <w:i w:val="0"/>
          <w:iCs/>
          <w:color w:val="auto"/>
          <w:sz w:val="26"/>
          <w:szCs w:val="26"/>
        </w:rPr>
      </w:pPr>
      <w:bookmarkStart w:id="21" w:name="X371034f6e1cd8bf3bb072702239db5274df56bc"/>
      <w:r w:rsidRPr="00A54745">
        <w:rPr>
          <w:rFonts w:ascii="Times New Roman" w:hAnsi="Times New Roman" w:cs="Times New Roman"/>
          <w:i w:val="0"/>
          <w:iCs/>
          <w:color w:val="auto"/>
          <w:sz w:val="26"/>
          <w:szCs w:val="26"/>
        </w:rPr>
        <w:t>3.5.1 Base Model Architecture: NLLB-200-Distilled-600M</w:t>
      </w:r>
    </w:p>
    <w:p w14:paraId="2E9BF019" w14:textId="77777777" w:rsidR="00930E6A" w:rsidRDefault="00F2464B">
      <w:pPr>
        <w:pStyle w:val="FirstParagraph"/>
      </w:pPr>
      <w:r>
        <w:t xml:space="preserve">The foundational backbone selected for parametric domain adaptation is NLLB-200-Distilled-600M, a condensed variant of Meta’s 54-billion parameter Mixture-of-Experts (MoE) No Language Left Behind architecture. The model is structured as a deep autoregressive conditional encoder-decoder transformer comprising exactly 619 million total parameters distributed across 24 encoder layers and 24 decoder layers. Both the encoder and decoder Transformer blocks utilize a hidden model dimension of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1024</m:t>
        </m:r>
      </m:oMath>
      <w:r>
        <w:t xml:space="preserve">, an intermediate feed-forward network (FFN) hidden dimension of </w:t>
      </w:r>
      <m:oMath>
        <m:sSub>
          <m:sSubPr>
            <m:ctrlPr>
              <w:rPr>
                <w:rFonts w:ascii="Cambria Math" w:hAnsi="Cambria Math"/>
              </w:rPr>
            </m:ctrlPr>
          </m:sSubPr>
          <m:e>
            <m:r>
              <w:rPr>
                <w:rFonts w:ascii="Cambria Math" w:hAnsi="Cambria Math"/>
              </w:rPr>
              <m:t>d</m:t>
            </m:r>
          </m:e>
          <m:sub>
            <m:r>
              <m:rPr>
                <m:nor/>
              </m:rPr>
              <m:t>ffn</m:t>
            </m:r>
          </m:sub>
        </m:sSub>
        <m:r>
          <m:rPr>
            <m:sty m:val="p"/>
          </m:rPr>
          <w:rPr>
            <w:rFonts w:ascii="Cambria Math" w:hAnsi="Cambria Math"/>
          </w:rPr>
          <m:t>=</m:t>
        </m:r>
        <m:r>
          <w:rPr>
            <w:rFonts w:ascii="Cambria Math" w:hAnsi="Cambria Math"/>
          </w:rPr>
          <m:t>4096</m:t>
        </m:r>
      </m:oMath>
      <w:r>
        <w:t xml:space="preserve">, and 16 parallel attention heads per sublayer. Pre-Layer Normalization (Pre-LN) with residual </w:t>
      </w:r>
      <w:r>
        <w:lastRenderedPageBreak/>
        <w:t>skip connections is enforced across all sublayers to stabilize deep gradient propagation during sequence generation.</w:t>
      </w:r>
    </w:p>
    <w:p w14:paraId="2F56B96A" w14:textId="77777777" w:rsidR="00930E6A" w:rsidRDefault="00F2464B">
      <w:pPr>
        <w:pStyle w:val="BodyText"/>
      </w:pPr>
      <w:r>
        <w:t>Subword tokenization is governed by a unified SentencePiece Byte-Pair Encoding (BPE) vocabulary comprising 256,000 subword token entries. This massive multilingual vocabulary provides broad coverage across 200 distinct language varieties, allocating dedicated language identification (LID) tokens to control target language generation. Because regional Bengali dialects share the Bengali script (</w:t>
      </w:r>
      <m:oMath>
        <m:r>
          <m:rPr>
            <m:nor/>
          </m:rPr>
          <m:t>U+0980</m:t>
        </m:r>
      </m:oMath>
      <w:r>
        <w:t>–</w:t>
      </w:r>
      <m:oMath>
        <m:r>
          <m:rPr>
            <m:nor/>
          </m:rPr>
          <m:t>U+09FF</m:t>
        </m:r>
      </m:oMath>
      <w:r>
        <w:t xml:space="preserve">) with Standard Bangla, cross-lingual prefix routing is strictly enforced during both training and inference phases. Target sequence generation is explicitly conditioned by prefixing the decoder forced Begin-Of-Sequence (BOS) token ID to the language tag </w:t>
      </w:r>
      <w:r>
        <w:rPr>
          <w:rStyle w:val="VerbatimChar"/>
        </w:rPr>
        <w:t>ben_Beng</w:t>
      </w:r>
      <w:r>
        <w:t xml:space="preserve"> (codepoint index corresponding to Standard Bengali in the NLLB dictionary).</w:t>
      </w:r>
    </w:p>
    <w:p w14:paraId="2D13D22E" w14:textId="77777777" w:rsidR="00930E6A" w:rsidRDefault="00F2464B">
      <w:pPr>
        <w:pStyle w:val="BodyText"/>
      </w:pPr>
      <w:r>
        <w:t>The selection of NLLB-200-Distilled-600M as the primary parametric backbone is justified by its extensive cross-lingual pre-training on Indic and South Asian language structures. The 256k SentencePiece vocabulary minimizes out-of-vocabulary UNK substitutions when processing non-standard regional Bengali text. However, because the base NLLB checkpoint was pre-trained predominantly on Standard Bengali (</w:t>
      </w:r>
      <w:r>
        <w:rPr>
          <w:i/>
          <w:iCs/>
        </w:rPr>
        <w:t>Pramit Bangla</w:t>
      </w:r>
      <w:r>
        <w:t>) alongside standard Indic languages, its zero-shot performance on unadapted regional dialects (such as Chittagonian and Sylheti) yields low translation BLEU scores. Parameter-efficient fine-tuning is therefore essential to re-align the model’s inner representations to dialect-specific phonetic transformations and morphosyntactic suffix structures.</w:t>
      </w:r>
    </w:p>
    <w:p w14:paraId="6C72EACD" w14:textId="77777777" w:rsidR="00930E6A" w:rsidRPr="00A54745" w:rsidRDefault="00F2464B">
      <w:pPr>
        <w:pStyle w:val="Heading3"/>
        <w:rPr>
          <w:rFonts w:ascii="Times New Roman" w:hAnsi="Times New Roman" w:cs="Times New Roman"/>
          <w:i w:val="0"/>
          <w:iCs/>
          <w:color w:val="auto"/>
          <w:sz w:val="26"/>
          <w:szCs w:val="26"/>
        </w:rPr>
      </w:pPr>
      <w:bookmarkStart w:id="22" w:name="low-rank-adaptation-lora-derivation"/>
      <w:bookmarkEnd w:id="21"/>
      <w:r w:rsidRPr="00A54745">
        <w:rPr>
          <w:rFonts w:ascii="Times New Roman" w:hAnsi="Times New Roman" w:cs="Times New Roman"/>
          <w:i w:val="0"/>
          <w:iCs/>
          <w:color w:val="auto"/>
          <w:sz w:val="26"/>
          <w:szCs w:val="26"/>
        </w:rPr>
        <w:t>3.5.2 Low-Rank Adaptation (LoRA) Derivation</w:t>
      </w:r>
    </w:p>
    <w:p w14:paraId="0FA6AE3D" w14:textId="77777777" w:rsidR="00930E6A" w:rsidRDefault="00F2464B">
      <w:pPr>
        <w:pStyle w:val="FirstParagraph"/>
      </w:pPr>
      <w:r>
        <w:t xml:space="preserve">To adapt the base sequence-to-sequence model without incurring the memory footprint and numerical instability of full-parameter fine-tuning, Low-Rank Adaptation (LoRA) is implemented based on the intrinsic low-rank hypothesis. This hypothesis posits that the parameter updates </w:t>
      </w:r>
      <m:oMath>
        <m:r>
          <w:rPr>
            <w:rFonts w:ascii="Cambria Math" w:hAnsi="Cambria Math"/>
          </w:rPr>
          <m:t>ΔW</m:t>
        </m:r>
      </m:oMath>
      <w:r>
        <w:t xml:space="preserve"> required for a pre-trained language model to adapt to a specialized downstream task lie within a subspace of significantly lower intrinsic dimension </w:t>
      </w:r>
      <m:oMath>
        <m:r>
          <w:rPr>
            <w:rFonts w:ascii="Cambria Math" w:hAnsi="Cambria Math"/>
          </w:rPr>
          <m:t>r</m:t>
        </m:r>
      </m:oMath>
      <w:r>
        <w:t xml:space="preserve"> relative to the original weight matrix dimension (</w:t>
      </w:r>
      <m:oMath>
        <m:r>
          <w:rPr>
            <w:rFonts w:ascii="Cambria Math" w:hAnsi="Cambria Math"/>
          </w:rPr>
          <m:t>r</m:t>
        </m:r>
        <m:r>
          <m:rPr>
            <m:sty m:val="p"/>
          </m:rPr>
          <w:rPr>
            <w:rFonts w:ascii="Cambria Math" w:hAnsi="Cambria Math"/>
          </w:rPr>
          <m:t>≪</m:t>
        </m:r>
        <m:r>
          <m:rPr>
            <m:nor/>
          </m:rPr>
          <m:t>min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t>).</w:t>
      </w:r>
    </w:p>
    <w:p w14:paraId="08772611" w14:textId="77777777" w:rsidR="00930E6A" w:rsidRDefault="00F2464B">
      <w:pPr>
        <w:pStyle w:val="BodyText"/>
      </w:pPr>
      <w:r>
        <w:lastRenderedPageBreak/>
        <w:t xml:space="preserve">For an arbitrary pre-trained linear projection matrix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k</m:t>
            </m:r>
          </m:sup>
        </m:sSup>
      </m:oMath>
      <w:r>
        <w:t xml:space="preserve"> within the attention mechanism, the accumulated weight update </w:t>
      </w:r>
      <m:oMath>
        <m:r>
          <w:rPr>
            <w:rFonts w:ascii="Cambria Math" w:hAnsi="Cambria Math"/>
          </w:rPr>
          <m:t>ΔW</m:t>
        </m:r>
      </m:oMath>
      <w:r>
        <w:t xml:space="preserve"> is factorized into two low-rank matrices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r</m:t>
            </m:r>
          </m:sup>
        </m:sSup>
      </m:oMath>
      <w:r>
        <w:t xml:space="preserve"> and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k</m:t>
            </m:r>
          </m:sup>
        </m:sSup>
      </m:oMath>
      <w:r>
        <w:t>:</w:t>
      </w:r>
    </w:p>
    <w:p w14:paraId="5DFC0DBA" w14:textId="77777777" w:rsidR="00930E6A" w:rsidRDefault="00F2464B">
      <w:pPr>
        <w:pStyle w:val="BodyText"/>
      </w:pPr>
      <m:oMathPara>
        <m:oMathParaPr>
          <m:jc m:val="center"/>
        </m:oMathParaPr>
        <m:oMath>
          <m:r>
            <w:rPr>
              <w:rFonts w:ascii="Cambria Math" w:hAnsi="Cambria Math"/>
            </w:rPr>
            <m:t>ΔW</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3.23</m:t>
          </m:r>
          <m:r>
            <m:rPr>
              <m:sty m:val="p"/>
            </m:rPr>
            <w:rPr>
              <w:rFonts w:ascii="Cambria Math" w:hAnsi="Cambria Math"/>
            </w:rPr>
            <m:t>)</m:t>
          </m:r>
        </m:oMath>
      </m:oMathPara>
    </w:p>
    <w:p w14:paraId="29A77136" w14:textId="77777777" w:rsidR="00930E6A" w:rsidRDefault="00F2464B">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k</m:t>
            </m:r>
          </m:sup>
        </m:sSup>
      </m:oMath>
      <w:r>
        <w:t xml:space="preserve"> represents the frozen pre-trained weight matrix tensor,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k</m:t>
            </m:r>
          </m:sup>
        </m:sSup>
      </m:oMath>
      <w:r>
        <w:t xml:space="preserve"> represents the trainable down-projection matrix initialized using a Gaussian distribution </w:t>
      </w:r>
      <m:oMath>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with variance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r</m:t>
            </m:r>
          </m:sup>
        </m:sSup>
      </m:oMath>
      <w:r>
        <w:t xml:space="preserve"> represents the trainable up-projection matrix initialized strictly to zero (</w:t>
      </w:r>
      <m:oMath>
        <m:r>
          <w:rPr>
            <w:rFonts w:ascii="Cambria Math" w:hAnsi="Cambria Math"/>
          </w:rPr>
          <m:t>B</m:t>
        </m:r>
        <m:r>
          <m:rPr>
            <m:sty m:val="p"/>
          </m:rPr>
          <w:rPr>
            <w:rFonts w:ascii="Cambria Math" w:hAnsi="Cambria Math"/>
          </w:rPr>
          <m:t>=</m:t>
        </m:r>
        <m:r>
          <w:rPr>
            <w:rFonts w:ascii="Cambria Math" w:hAnsi="Cambria Math"/>
          </w:rPr>
          <m:t>0</m:t>
        </m:r>
      </m:oMath>
      <w:r>
        <w:t xml:space="preserve">), guaranteeing that </w:t>
      </w:r>
      <m:oMath>
        <m:r>
          <w:rPr>
            <w:rFonts w:ascii="Cambria Math" w:hAnsi="Cambria Math"/>
          </w:rPr>
          <m:t>ΔW</m:t>
        </m:r>
        <m:r>
          <m:rPr>
            <m:sty m:val="p"/>
          </m:rPr>
          <w:rPr>
            <w:rFonts w:ascii="Cambria Math" w:hAnsi="Cambria Math"/>
          </w:rPr>
          <m:t>=</m:t>
        </m:r>
        <m:r>
          <w:rPr>
            <w:rFonts w:ascii="Cambria Math" w:hAnsi="Cambria Math"/>
          </w:rPr>
          <m:t>0</m:t>
        </m:r>
      </m:oMath>
      <w:r>
        <w:t xml:space="preserve"> at the onset of training, </w:t>
      </w:r>
      <m:oMath>
        <m:r>
          <w:rPr>
            <w:rFonts w:ascii="Cambria Math" w:hAnsi="Cambria Math"/>
          </w:rPr>
          <m:t>r</m:t>
        </m:r>
        <m:r>
          <m:rPr>
            <m:sty m:val="p"/>
          </m:rPr>
          <w:rPr>
            <w:rFonts w:ascii="Cambria Math" w:hAnsi="Cambria Math"/>
          </w:rPr>
          <m:t>=</m:t>
        </m:r>
        <m:r>
          <w:rPr>
            <w:rFonts w:ascii="Cambria Math" w:hAnsi="Cambria Math"/>
          </w:rPr>
          <m:t>16</m:t>
        </m:r>
      </m:oMath>
      <w:r>
        <w:t xml:space="preserve"> specifies the inner bottleneck rank hyperparameter, </w:t>
      </w:r>
      <m:oMath>
        <m:r>
          <w:rPr>
            <w:rFonts w:ascii="Cambria Math" w:hAnsi="Cambria Math"/>
          </w:rPr>
          <m:t>α</m:t>
        </m:r>
        <m:r>
          <m:rPr>
            <m:sty m:val="p"/>
          </m:rPr>
          <w:rPr>
            <w:rFonts w:ascii="Cambria Math" w:hAnsi="Cambria Math"/>
          </w:rPr>
          <m:t>=</m:t>
        </m:r>
        <m:r>
          <w:rPr>
            <w:rFonts w:ascii="Cambria Math" w:hAnsi="Cambria Math"/>
          </w:rPr>
          <m:t>32</m:t>
        </m:r>
      </m:oMath>
      <w:r>
        <w:t xml:space="preserve"> is a constant scaling hyperparameter that stabilizes learning dynamics when varying bottleneck rank </w:t>
      </w:r>
      <m:oMath>
        <m:r>
          <w:rPr>
            <w:rFonts w:ascii="Cambria Math" w:hAnsi="Cambria Math"/>
          </w:rPr>
          <m:t>r</m:t>
        </m:r>
      </m:oMath>
      <w:r>
        <w:t xml:space="preserve">, and </w:t>
      </w:r>
      <m:oMath>
        <m:r>
          <w:rPr>
            <w:rFonts w:ascii="Cambria Math" w:hAnsi="Cambria Math"/>
          </w:rPr>
          <m:t>ΔW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k</m:t>
            </m:r>
          </m:sup>
        </m:sSup>
      </m:oMath>
      <w:r>
        <w:t xml:space="preserve"> represents the low-rank parameter update matrix.</w:t>
      </w:r>
    </w:p>
    <w:p w14:paraId="17AEF9E3" w14:textId="77777777" w:rsidR="00930E6A" w:rsidRDefault="00F2464B">
      <w:pPr>
        <w:pStyle w:val="BodyText"/>
      </w:pPr>
      <w:r>
        <w:t xml:space="preserve">During the forward execution pass, given an input representation vector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the combined adapted output activation vector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is evaluated via matrix-vector multiplication:</w:t>
      </w:r>
    </w:p>
    <w:p w14:paraId="2EB54811" w14:textId="77777777" w:rsidR="00930E6A" w:rsidRDefault="00F2464B">
      <w:pPr>
        <w:pStyle w:val="BodyText"/>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x</m:t>
          </m:r>
          <m:r>
            <m:rPr>
              <m:sty m:val="p"/>
            </m:rPr>
            <w:rPr>
              <w:rFonts w:ascii="Cambria Math" w:hAnsi="Cambria Math"/>
            </w:rPr>
            <m:t>+</m:t>
          </m:r>
          <m:r>
            <w:rPr>
              <w:rFonts w:ascii="Cambria Math" w:hAnsi="Cambria Math"/>
            </w:rPr>
            <m:t>ΔWx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w:rPr>
              <w:rFonts w:ascii="Cambria Math" w:hAnsi="Cambria Math"/>
            </w:rPr>
            <m:t>BAx  </m:t>
          </m:r>
          <m:r>
            <m:rPr>
              <m:sty m:val="p"/>
            </m:rPr>
            <w:rPr>
              <w:rFonts w:ascii="Cambria Math" w:hAnsi="Cambria Math"/>
            </w:rPr>
            <m:t>(</m:t>
          </m:r>
          <m:r>
            <w:rPr>
              <w:rFonts w:ascii="Cambria Math" w:hAnsi="Cambria Math"/>
            </w:rPr>
            <m:t>3.24</m:t>
          </m:r>
          <m:r>
            <m:rPr>
              <m:sty m:val="p"/>
            </m:rPr>
            <w:rPr>
              <w:rFonts w:ascii="Cambria Math" w:hAnsi="Cambria Math"/>
            </w:rPr>
            <m:t>)</m:t>
          </m:r>
        </m:oMath>
      </m:oMathPara>
    </w:p>
    <w:p w14:paraId="7B9A7C67" w14:textId="77777777" w:rsidR="00930E6A" w:rsidRDefault="00F2464B">
      <w:pPr>
        <w:pStyle w:val="FirstParagraph"/>
      </w:pPr>
      <w:r>
        <w:t xml:space="preserve">Where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denotes the incoming activation vector from preceding transformer sublayers,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x</m:t>
        </m:r>
      </m:oMath>
      <w:r>
        <w:t xml:space="preserve"> computes the unadapted baseline activation stream, </w:t>
      </w:r>
      <m:oMath>
        <m:f>
          <m:fPr>
            <m:ctrlPr>
              <w:rPr>
                <w:rFonts w:ascii="Cambria Math" w:hAnsi="Cambria Math"/>
              </w:rPr>
            </m:ctrlPr>
          </m:fPr>
          <m:num>
            <m:r>
              <w:rPr>
                <w:rFonts w:ascii="Cambria Math" w:hAnsi="Cambria Math"/>
              </w:rPr>
              <m:t>α</m:t>
            </m:r>
          </m:num>
          <m:den>
            <m:r>
              <w:rPr>
                <w:rFonts w:ascii="Cambria Math" w:hAnsi="Cambria Math"/>
              </w:rPr>
              <m:t>r</m:t>
            </m:r>
          </m:den>
        </m:f>
        <m:r>
          <w:rPr>
            <w:rFonts w:ascii="Cambria Math" w:hAnsi="Cambria Math"/>
          </w:rPr>
          <m:t>BAx</m:t>
        </m:r>
      </m:oMath>
      <w:r>
        <w:t xml:space="preserve"> computes the parallel low-rank adaptation update, and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represents the final adapted hidden representation vector passed to subsequent transformer layers.</w:t>
      </w:r>
    </w:p>
    <w:p w14:paraId="70A37F84" w14:textId="77777777" w:rsidR="00930E6A" w:rsidRDefault="00F2464B">
      <w:pPr>
        <w:pStyle w:val="BodyText"/>
      </w:pPr>
      <w:r>
        <w:t>In the NLLB-200 adaptation setup, LoRA modules are attached exclusively to the query projection (</w:t>
      </w:r>
      <m:oMath>
        <m:sSub>
          <m:sSubPr>
            <m:ctrlPr>
              <w:rPr>
                <w:rFonts w:ascii="Cambria Math" w:hAnsi="Cambria Math"/>
              </w:rPr>
            </m:ctrlPr>
          </m:sSubPr>
          <m:e>
            <m:r>
              <w:rPr>
                <w:rFonts w:ascii="Cambria Math" w:hAnsi="Cambria Math"/>
              </w:rPr>
              <m:t>W</m:t>
            </m:r>
          </m:e>
          <m:sub>
            <m:r>
              <w:rPr>
                <w:rFonts w:ascii="Cambria Math" w:hAnsi="Cambria Math"/>
              </w:rPr>
              <m:t>q</m:t>
            </m:r>
          </m:sub>
        </m:sSub>
      </m:oMath>
      <w:r>
        <w:t>) and value projection (</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matrices within all 24 encoder and 24 decoder self-attention blocks. With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1024</m:t>
        </m:r>
      </m:oMath>
      <w:r>
        <w:t xml:space="preserve"> and bottleneck rank </w:t>
      </w:r>
      <m:oMath>
        <m:r>
          <w:rPr>
            <w:rFonts w:ascii="Cambria Math" w:hAnsi="Cambria Math"/>
          </w:rPr>
          <m:t>r</m:t>
        </m:r>
        <m:r>
          <m:rPr>
            <m:sty m:val="p"/>
          </m:rPr>
          <w:rPr>
            <w:rFonts w:ascii="Cambria Math" w:hAnsi="Cambria Math"/>
          </w:rPr>
          <m:t>=</m:t>
        </m:r>
        <m:r>
          <w:rPr>
            <w:rFonts w:ascii="Cambria Math" w:hAnsi="Cambria Math"/>
          </w:rPr>
          <m:t>16</m:t>
        </m:r>
      </m:oMath>
      <w:r>
        <w:t xml:space="preserve">, each adapted linear projection layer introduces </w:t>
      </w:r>
      <m:oMath>
        <m:r>
          <w:rPr>
            <w:rFonts w:ascii="Cambria Math" w:hAnsi="Cambria Math"/>
          </w:rPr>
          <m:t>2</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768</m:t>
        </m:r>
      </m:oMath>
      <w:r>
        <w:t xml:space="preserve"> trainable parameters. Across the 48 total attention blocks (24 encoder + 24 decoder), adapting </w:t>
      </w:r>
      <m:oMath>
        <m:sSub>
          <m:sSubPr>
            <m:ctrlPr>
              <w:rPr>
                <w:rFonts w:ascii="Cambria Math" w:hAnsi="Cambria Math"/>
              </w:rPr>
            </m:ctrlPr>
          </m:sSubPr>
          <m:e>
            <m:r>
              <w:rPr>
                <w:rFonts w:ascii="Cambria Math" w:hAnsi="Cambria Math"/>
              </w:rPr>
              <m:t>W</m:t>
            </m:r>
          </m:e>
          <m:sub>
            <m:r>
              <w:rPr>
                <w:rFonts w:ascii="Cambria Math" w:hAnsi="Cambria Math"/>
              </w:rPr>
              <m:t>q</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yields exactly 2,359,296 trainable parameters. This represents approximately 0.38% of the total </w:t>
      </w:r>
      <w:r>
        <w:lastRenderedPageBreak/>
        <w:t>619 million parameter baseline, achieving a 260-fold reduction in trainable weight volume while fully preserving backbone feature representations.</w:t>
      </w:r>
    </w:p>
    <w:p w14:paraId="4B5FCDC8" w14:textId="77777777" w:rsidR="00930E6A" w:rsidRPr="00A54745" w:rsidRDefault="00F2464B">
      <w:pPr>
        <w:pStyle w:val="Heading3"/>
        <w:rPr>
          <w:rFonts w:ascii="Times New Roman" w:hAnsi="Times New Roman" w:cs="Times New Roman"/>
          <w:i w:val="0"/>
          <w:iCs/>
          <w:color w:val="auto"/>
          <w:sz w:val="26"/>
          <w:szCs w:val="26"/>
        </w:rPr>
      </w:pPr>
      <w:bookmarkStart w:id="23" w:name="optimization-stability-protocol"/>
      <w:bookmarkEnd w:id="22"/>
      <w:r w:rsidRPr="00A54745">
        <w:rPr>
          <w:rFonts w:ascii="Times New Roman" w:hAnsi="Times New Roman" w:cs="Times New Roman"/>
          <w:i w:val="0"/>
          <w:iCs/>
          <w:color w:val="auto"/>
          <w:sz w:val="26"/>
          <w:szCs w:val="26"/>
        </w:rPr>
        <w:t>3.5.3 Optimization Stability Protocol</w:t>
      </w:r>
    </w:p>
    <w:p w14:paraId="356661FA" w14:textId="77777777" w:rsidR="00930E6A" w:rsidRDefault="00F2464B">
      <w:pPr>
        <w:pStyle w:val="FirstParagraph"/>
      </w:pPr>
      <w:r>
        <w:t xml:space="preserve">During initial fine-tuning trials of NLLB-200 using standard 16-bit IEEE floating-point (FP16) mixed-precision execution, severe autograd numerical instability was observed. Specifically, gradient norm explosions caused loss values to collapse to non-numeric (NaN) values within the first 200 optimization steps. Diagnostic profiling identified two primary mathematical root causes: (1) exponent overflow in FP16’s limited 5-bit exponent dynamic range (maximum representable value </w:t>
      </w:r>
      <m:oMath>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504</m:t>
        </m:r>
      </m:oMath>
      <w:r>
        <w:t>) during softmax cross-attention logit calculation, and (2) variance amplification in Pre-LN LayerNorm layers when combining frozen 32-bit base weights with 16-bit LoRA adapter activations.</w:t>
      </w:r>
    </w:p>
    <w:p w14:paraId="33C97203" w14:textId="77777777" w:rsidR="00930E6A" w:rsidRDefault="00F2464B">
      <w:pPr>
        <w:pStyle w:val="BodyText"/>
      </w:pPr>
      <w:r>
        <w:t xml:space="preserve">To resolve numerical instability and establish robust convergence, an Optimization Stability Protocol combining 32-bit master weights, BFloat16 (Brain Floating Point) execution, and structured gradient clipping was deployed. BFloat16 retains an 8-bit exponent field identical to IEEE FP32, providing an expanded dynamic range (up to </w:t>
      </w:r>
      <m:oMath>
        <m:r>
          <m:rPr>
            <m:sty m:val="p"/>
          </m:rPr>
          <w:rPr>
            <w:rFonts w:ascii="Cambria Math" w:hAnsi="Cambria Math"/>
          </w:rPr>
          <m:t>∼</m:t>
        </m:r>
        <m:r>
          <w:rPr>
            <w:rFonts w:ascii="Cambria Math" w:hAnsi="Cambria Math"/>
          </w:rPr>
          <m:t>3.39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38</m:t>
            </m:r>
          </m:sup>
        </m:sSup>
      </m:oMath>
      <w:r>
        <w:t>) that inherently eliminates underflow and overflow conditions during backpropagation.</w:t>
      </w:r>
    </w:p>
    <w:p w14:paraId="5227ADC9" w14:textId="77777777" w:rsidR="00930E6A" w:rsidRDefault="00F2464B">
      <w:pPr>
        <w:pStyle w:val="BodyText"/>
      </w:pPr>
      <w:r>
        <w:t xml:space="preserve">Model optimization is executed using the AdamW optimizer applied strictly to the active LoRA parameters </w:t>
      </w:r>
      <m:oMath>
        <m:sSub>
          <m:sSubPr>
            <m:ctrlPr>
              <w:rPr>
                <w:rFonts w:ascii="Cambria Math" w:hAnsi="Cambria Math"/>
              </w:rPr>
            </m:ctrlPr>
          </m:sSubPr>
          <m:e>
            <m:r>
              <w:rPr>
                <w:rFonts w:ascii="Cambria Math" w:hAnsi="Cambria Math"/>
              </w:rPr>
              <m:t>Θ</m:t>
            </m:r>
          </m:e>
          <m:sub>
            <m:r>
              <m:rPr>
                <m:nor/>
              </m:rPr>
              <m:t>LoRA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96</m:t>
            </m:r>
          </m:sup>
        </m:sSubSup>
      </m:oMath>
      <w:r>
        <w:t>. Training minimizes the sequence-to-sequence cross-entropy loss with teacher forcing:</w:t>
      </w:r>
    </w:p>
    <w:p w14:paraId="5742E9E9" w14:textId="77777777" w:rsidR="00930E6A" w:rsidRDefault="003357BF">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Seq2Seq</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LoRA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nor/>
                </m:rPr>
                <m:t>log</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LoRA</m:t>
                  </m:r>
                </m:sub>
              </m:sSub>
            </m:e>
          </m:d>
          <m:r>
            <w:rPr>
              <w:rFonts w:ascii="Cambria Math" w:hAnsi="Cambria Math"/>
            </w:rPr>
            <m:t>  </m:t>
          </m:r>
          <m:r>
            <m:rPr>
              <m:sty m:val="p"/>
            </m:rPr>
            <w:rPr>
              <w:rFonts w:ascii="Cambria Math" w:hAnsi="Cambria Math"/>
            </w:rPr>
            <m:t>(</m:t>
          </m:r>
          <m:r>
            <w:rPr>
              <w:rFonts w:ascii="Cambria Math" w:hAnsi="Cambria Math"/>
            </w:rPr>
            <m:t>3.25</m:t>
          </m:r>
          <m:r>
            <m:rPr>
              <m:sty m:val="p"/>
            </m:rPr>
            <w:rPr>
              <w:rFonts w:ascii="Cambria Math" w:hAnsi="Cambria Math"/>
            </w:rPr>
            <m:t>)</m:t>
          </m:r>
        </m:oMath>
      </m:oMathPara>
    </w:p>
    <w:p w14:paraId="3D146D15" w14:textId="77777777" w:rsidR="00930E6A" w:rsidRDefault="00F2464B">
      <w:pPr>
        <w:pStyle w:val="FirstParagraph"/>
      </w:pPr>
      <w:r>
        <w:t xml:space="preserve">Where </w:t>
      </w:r>
      <m:oMath>
        <m:r>
          <w:rPr>
            <w:rFonts w:ascii="Cambria Math" w:hAnsi="Cambria Math"/>
          </w:rPr>
          <m:t>x</m:t>
        </m:r>
      </m:oMath>
      <w:r>
        <w:t xml:space="preserve"> represents the normalized Standard Bangla source input sequence,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t xml:space="preserve"> represents the reference regional dialect target sequence of length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oMath>
      <w:r>
        <w:t xml:space="preserve"> denotes the target prefix tokens up to step </w:t>
      </w:r>
      <m:oMath>
        <m:r>
          <w:rPr>
            <w:rFonts w:ascii="Cambria Math" w:hAnsi="Cambria Math"/>
          </w:rPr>
          <m:t>t</m:t>
        </m:r>
        <m:r>
          <m:rPr>
            <m:sty m:val="p"/>
          </m:rPr>
          <w:rPr>
            <w:rFonts w:ascii="Cambria Math" w:hAnsi="Cambria Math"/>
          </w:rPr>
          <m:t>-</m:t>
        </m:r>
        <m:r>
          <w:rPr>
            <w:rFonts w:ascii="Cambria Math" w:hAnsi="Cambria Math"/>
          </w:rPr>
          <m:t>1</m:t>
        </m:r>
      </m:oMath>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LoRA</m:t>
            </m:r>
          </m:sub>
        </m:sSub>
        <m:r>
          <m:rPr>
            <m:sty m:val="p"/>
          </m:rPr>
          <w:rPr>
            <w:rFonts w:ascii="Cambria Math" w:hAnsi="Cambria Math"/>
          </w:rPr>
          <m:t>)</m:t>
        </m:r>
      </m:oMath>
      <w:r>
        <w:t xml:space="preserve"> computes the softmax probability of target token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predicted by the adapted decoder, and </w:t>
      </w:r>
      <m:oMath>
        <m:sSub>
          <m:sSubPr>
            <m:ctrlPr>
              <w:rPr>
                <w:rFonts w:ascii="Cambria Math" w:hAnsi="Cambria Math"/>
              </w:rPr>
            </m:ctrlPr>
          </m:sSubPr>
          <m:e>
            <m:r>
              <m:rPr>
                <m:scr m:val="script"/>
                <m:sty m:val="p"/>
              </m:rPr>
              <w:rPr>
                <w:rFonts w:ascii="Cambria Math" w:hAnsi="Cambria Math"/>
              </w:rPr>
              <m:t>L</m:t>
            </m:r>
          </m:e>
          <m:sub>
            <m:r>
              <m:rPr>
                <m:nor/>
              </m:rPr>
              <m:t>Seq2Seq</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LoRA</m:t>
            </m:r>
          </m:sub>
        </m:sSub>
        <m:r>
          <m:rPr>
            <m:sty m:val="p"/>
          </m:rPr>
          <w:rPr>
            <w:rFonts w:ascii="Cambria Math" w:hAnsi="Cambria Math"/>
          </w:rPr>
          <m:t>)</m:t>
        </m:r>
      </m:oMath>
      <w:r>
        <w:t xml:space="preserve"> represents the scalar cross-entropy objective minimized during adapter backpropagation.</w:t>
      </w:r>
    </w:p>
    <w:p w14:paraId="2973C5FD" w14:textId="47FD1DD9" w:rsidR="00930E6A" w:rsidRDefault="00F2464B" w:rsidP="00877519">
      <w:pPr>
        <w:pStyle w:val="BodyText"/>
      </w:pPr>
      <w:r>
        <w:lastRenderedPageBreak/>
        <w:t xml:space="preserve">The training hyperparameter configuration enforces a base learning rate of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with linear learning rate decay following a 500-step linear warmup phase. Weight decay is maintained at </w:t>
      </w:r>
      <m:oMath>
        <m:r>
          <w:rPr>
            <w:rFonts w:ascii="Cambria Math" w:hAnsi="Cambria Math"/>
          </w:rPr>
          <m:t>λ</m:t>
        </m:r>
        <m:r>
          <m:rPr>
            <m:sty m:val="p"/>
          </m:rPr>
          <w:rPr>
            <w:rFonts w:ascii="Cambria Math" w:hAnsi="Cambria Math"/>
          </w:rPr>
          <m:t>=</m:t>
        </m:r>
        <m:r>
          <w:rPr>
            <w:rFonts w:ascii="Cambria Math" w:hAnsi="Cambria Math"/>
          </w:rPr>
          <m:t>0.01</m:t>
        </m:r>
      </m:oMath>
      <w:r>
        <w:t xml:space="preserve"> to prevent adapter over-fitting. Gradient accumulation over 2 micro-batches with per-device batch size 32 establishes an effective global batch size of 64 sequences per optimization step. Maximum gradient norm scaling is enforced at </w:t>
      </w:r>
      <m:oMath>
        <m:r>
          <m:rPr>
            <m:sty m:val="p"/>
          </m:rPr>
          <w:rPr>
            <w:rFonts w:ascii="Cambria Math" w:hAnsi="Cambria Math"/>
          </w:rPr>
          <m:t>∥</m:t>
        </m:r>
        <m:r>
          <m:rPr>
            <m:sty m:val="b"/>
          </m:rP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1.0</m:t>
        </m:r>
      </m:oMath>
      <w:r>
        <w:t>. Under this stability protocol, loss curves exhibit smooth monotonic convergence without a single instance of gradient corruption or numerical overflow.</w:t>
      </w:r>
    </w:p>
    <w:p w14:paraId="546EE413" w14:textId="77777777" w:rsidR="00877519" w:rsidRDefault="00877519" w:rsidP="00877519">
      <w:pPr>
        <w:pStyle w:val="BodyText"/>
      </w:pPr>
    </w:p>
    <w:p w14:paraId="597F34C1" w14:textId="77777777" w:rsidR="00930E6A" w:rsidRPr="00A54745" w:rsidRDefault="00F2464B">
      <w:pPr>
        <w:pStyle w:val="Heading2"/>
        <w:rPr>
          <w:rFonts w:ascii="Times New Roman" w:hAnsi="Times New Roman" w:cs="Times New Roman"/>
          <w:color w:val="auto"/>
          <w:sz w:val="26"/>
          <w:szCs w:val="26"/>
        </w:rPr>
      </w:pPr>
      <w:bookmarkStart w:id="24" w:name="Xe4dae92dcc0fdcfdfc0d4e6f4a8327cb33d6162"/>
      <w:bookmarkEnd w:id="20"/>
      <w:bookmarkEnd w:id="23"/>
      <w:r w:rsidRPr="00A54745">
        <w:rPr>
          <w:rFonts w:ascii="Times New Roman" w:hAnsi="Times New Roman" w:cs="Times New Roman"/>
          <w:color w:val="auto"/>
          <w:sz w:val="26"/>
          <w:szCs w:val="26"/>
        </w:rPr>
        <w:t>3.6 The Proposed Verified Framework: Architecture-Aware Lean Adaptive RAG</w:t>
      </w:r>
    </w:p>
    <w:p w14:paraId="0017B2A6" w14:textId="77777777" w:rsidR="00930E6A" w:rsidRDefault="00F2464B">
      <w:pPr>
        <w:pStyle w:val="FirstParagraph"/>
      </w:pPr>
      <w:r>
        <w:t>While fine-tuning via LoRA equips NLLB-200 with strong parametric translation capabilities, purely parametric models remain susceptible to translation errors when encountering rare, highly localized dialectal lexemes that appear infrequently in training splits. Standard Retrieval-Augmented Generation (RAG) frameworks attempt to resolve this by appending multi-pair translation exemplars directly into the input prompt. However, applying unadapted, verbose prompt templates to compact encoder-decoder models induces severe architectural degradation. To bridge parametric precision and non-parametric retrieval without compromising generation quality, an Architecture-Aware Lean Adaptive RAG framework featuring dynamic lexical density gating and competitive relative verification is introduced.</w:t>
      </w:r>
    </w:p>
    <w:p w14:paraId="282D3850" w14:textId="77777777" w:rsidR="00930E6A" w:rsidRPr="00A54745" w:rsidRDefault="00F2464B">
      <w:pPr>
        <w:pStyle w:val="Heading3"/>
        <w:rPr>
          <w:rFonts w:ascii="Times New Roman" w:hAnsi="Times New Roman" w:cs="Times New Roman"/>
          <w:i w:val="0"/>
          <w:iCs/>
          <w:color w:val="auto"/>
          <w:sz w:val="26"/>
          <w:szCs w:val="26"/>
        </w:rPr>
      </w:pPr>
      <w:bookmarkStart w:id="25" w:name="Xe9d8f3254e98ac1e986b22d1f04a6b55e2afa68"/>
      <w:r w:rsidRPr="00A54745">
        <w:rPr>
          <w:rFonts w:ascii="Times New Roman" w:hAnsi="Times New Roman" w:cs="Times New Roman"/>
          <w:i w:val="0"/>
          <w:iCs/>
          <w:color w:val="auto"/>
          <w:sz w:val="26"/>
          <w:szCs w:val="26"/>
        </w:rPr>
        <w:t>3.6.1 The Context-Pollution Dilemma in Seq2Seq Models</w:t>
      </w:r>
    </w:p>
    <w:p w14:paraId="69D61CC5" w14:textId="77777777" w:rsidR="00930E6A" w:rsidRDefault="00F2464B">
      <w:pPr>
        <w:pStyle w:val="FirstParagraph"/>
      </w:pPr>
      <w:r>
        <w:t xml:space="preserve">The integration of RAG within natural language processing pipelines has been optimized predominantly for large autoregressive causal language models (LLMs) such as Qwen2.5-7B-Instruct, LLaMA-3.1-8B, and GPT-4. Causal decoder-only architectures possess massive context windows (ranging from 8k to 128k tokens) and multi-billion parameter attention capacities designed to process multi-turn, instruction-heavy prompts containing pseudo-XML wrappers (e.g., </w:t>
      </w:r>
      <w:r>
        <w:rPr>
          <w:rStyle w:val="VerbatimChar"/>
        </w:rPr>
        <w:t>&lt;context&gt; [SRC] ... [TGT] ... &lt;/context&gt; [QUERY]</w:t>
      </w:r>
      <w:r>
        <w:t xml:space="preserve">). In such models, in-context learning enables successful extraction of translation patterns from </w:t>
      </w:r>
      <w:r>
        <w:lastRenderedPageBreak/>
        <w:t>multi-exemplar context blocks, with Qwen2.5-7B achieving 41.83 BLEU under static multi-exemplar prompting.</w:t>
      </w:r>
    </w:p>
    <w:p w14:paraId="561A9286" w14:textId="77777777" w:rsidR="00930E6A" w:rsidRDefault="00F2464B">
      <w:pPr>
        <w:pStyle w:val="BodyText"/>
      </w:pPr>
      <w:r>
        <w:t xml:space="preserve">However, attempting to apply identical verbose RAG prompt formats to compact encoder-decoder architectures—such as NLLB-200-Distilled-600M—results in severe performance breakdown, a phenomenon identified in this study as </w:t>
      </w:r>
      <w:r>
        <w:rPr>
          <w:i/>
          <w:iCs/>
        </w:rPr>
        <w:t>The Context-Pollution Dilemma</w:t>
      </w:r>
      <w:r>
        <w:t xml:space="preserve">. Encoder-decoder networks employ absolute or limited-range sinusoidal/learned positional embeddings optimized for direct, unadorned source text ingestion. When a compact 24-layer encoder is forced to digest multi-sentence exemplar contexts wrapped in pseudo-XML formatting tags, three structural failure modes occur simultaneously: 1. </w:t>
      </w:r>
      <w:r>
        <w:rPr>
          <w:b/>
          <w:bCs/>
        </w:rPr>
        <w:t>Positional Embedding Exhaustion:</w:t>
      </w:r>
      <w:r>
        <w:t xml:space="preserve"> Ingesting long context blocks consumes the encoder’s effective position window, compressing the actual source query into distal positional indices where attention weights decay rapidly. 2. </w:t>
      </w:r>
      <w:r>
        <w:rPr>
          <w:b/>
          <w:bCs/>
        </w:rPr>
        <w:t>Cross-Attention Representation Disruption:</w:t>
      </w:r>
      <w:r>
        <w:t xml:space="preserve"> The bidirectional self-attention matrices of the encoder become saturated with attention weights directed toward repetitive structural formatting tokens (e.g., </w:t>
      </w:r>
      <w:r>
        <w:rPr>
          <w:rStyle w:val="VerbatimChar"/>
        </w:rPr>
        <w:t>&lt;context&gt;</w:t>
      </w:r>
      <w:r>
        <w:t xml:space="preserve">, </w:t>
      </w:r>
      <w:r>
        <w:rPr>
          <w:rStyle w:val="VerbatimChar"/>
        </w:rPr>
        <w:t>[SRC]</w:t>
      </w:r>
      <w:r>
        <w:t xml:space="preserve">, </w:t>
      </w:r>
      <w:r>
        <w:rPr>
          <w:rStyle w:val="VerbatimChar"/>
        </w:rPr>
        <w:t>[TGT]</w:t>
      </w:r>
      <w:r>
        <w:t xml:space="preserve">) rather than semantic content, diluting hidden state vector variance. 3. </w:t>
      </w:r>
      <w:r>
        <w:rPr>
          <w:b/>
          <w:bCs/>
        </w:rPr>
        <w:t>Query Truncation and Attention Splitting:</w:t>
      </w:r>
      <w:r>
        <w:t xml:space="preserve"> When the total input token length exceeds the maximum sequence limit, the encoder truncates the actual source query located at the tail of the prompt, forcing the decoder to translate truncated fragments or generate hallucinations.</w:t>
      </w:r>
    </w:p>
    <w:p w14:paraId="5473FA2B" w14:textId="77777777" w:rsidR="00930E6A" w:rsidRDefault="00F2464B">
      <w:pPr>
        <w:pStyle w:val="BodyText"/>
      </w:pPr>
      <w:r>
        <w:t>Empirical benchmark evaluations confirm the severity of context-pollution. While causal LLMs (such as Qwen2.5-7B) achieve up to 41.83 BLEU when utilizing static multi-exemplar RAG prompts, applying identical multi-pair RAG prompts to fine-tuned NLLB-200 causes translation performance to collapse from a standalone fine-tuned baseline of 55.91 BLEU down to 12.75 BLEU (and as low as 1.86–5.17 BLEU under unadapted static configurations). This empirical collapse proves that standard RAG prompting paradigms are architecturally incompatible with compact sequence-to-sequence translation models, necessitating a lean, query-first adaptation strategy.</w:t>
      </w:r>
    </w:p>
    <w:p w14:paraId="00511526" w14:textId="77777777" w:rsidR="00930E6A" w:rsidRPr="00A54745" w:rsidRDefault="00F2464B">
      <w:pPr>
        <w:pStyle w:val="Heading3"/>
        <w:rPr>
          <w:rFonts w:ascii="Times New Roman" w:hAnsi="Times New Roman" w:cs="Times New Roman"/>
          <w:i w:val="0"/>
          <w:iCs/>
          <w:color w:val="auto"/>
          <w:sz w:val="26"/>
          <w:szCs w:val="26"/>
        </w:rPr>
      </w:pPr>
      <w:bookmarkStart w:id="26" w:name="dynamic-lexical-density-gating"/>
      <w:bookmarkEnd w:id="25"/>
      <w:r w:rsidRPr="00A54745">
        <w:rPr>
          <w:rFonts w:ascii="Times New Roman" w:hAnsi="Times New Roman" w:cs="Times New Roman"/>
          <w:i w:val="0"/>
          <w:iCs/>
          <w:color w:val="auto"/>
          <w:sz w:val="26"/>
          <w:szCs w:val="26"/>
        </w:rPr>
        <w:lastRenderedPageBreak/>
        <w:t>3.6.2 Dynamic Lexical Density Gating</w:t>
      </w:r>
    </w:p>
    <w:p w14:paraId="41A4F7E5" w14:textId="77777777" w:rsidR="00930E6A" w:rsidRDefault="00F2464B">
      <w:pPr>
        <w:pStyle w:val="FirstParagraph"/>
      </w:pPr>
      <w:r>
        <w:t>To eliminate unnecessary prompt exposure for routine inputs while providing non-parametric guidance for linguistically complex sentences, a deterministic Dynamic Lexical Density Gating mechanism is introduced. In regional dialect translation, a substantial proportion of source sentences consist of high-frequency conversational patterns, standard morphosyntactic structures, or common cognates that the LoRA-adapted parametric model translates accurately without external context. Forcing non-parametric retrieval across every sentence introduces noise and increases inference latency.</w:t>
      </w:r>
    </w:p>
    <w:p w14:paraId="70C6E2A8" w14:textId="77777777" w:rsidR="00930E6A" w:rsidRDefault="00F2464B">
      <w:pPr>
        <w:pStyle w:val="BodyText"/>
      </w:pPr>
      <w:r>
        <w:t xml:space="preserve">The dynamic gating switch evaluates the dialectal rare-token density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of an incoming Standard Bangla source sequence </w:t>
      </w:r>
      <m:oMath>
        <m:r>
          <w:rPr>
            <w:rFonts w:ascii="Cambria Math" w:hAnsi="Cambria Math"/>
          </w:rPr>
          <m:t>x</m:t>
        </m:r>
      </m:oMath>
      <w:r>
        <w:t>:</w:t>
      </w:r>
    </w:p>
    <w:p w14:paraId="18F246C9" w14:textId="77777777" w:rsidR="00930E6A" w:rsidRDefault="003357BF">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x</m:t>
                  </m:r>
                </m:sub>
                <m:sup>
                  <m:r>
                    <w:rPr>
                      <w:rFonts w:ascii="Cambria Math" w:hAnsi="Cambria Math"/>
                    </w:rPr>
                    <m:t>​</m:t>
                  </m:r>
                </m:sup>
                <m:e>
                  <m:r>
                    <m:rPr>
                      <m:scr m:val="double-struck"/>
                      <m:sty m:val="p"/>
                    </m:rPr>
                    <w:rPr>
                      <w:rFonts w:ascii="Cambria Math" w:hAnsi="Cambria Math"/>
                    </w:rPr>
                    <m:t>I</m:t>
                  </m:r>
                </m:e>
              </m:nary>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dialect</m:t>
                      </m:r>
                    </m:sub>
                  </m:sSub>
                </m:e>
              </m:d>
            </m:num>
            <m:den>
              <m:r>
                <m:rPr>
                  <m:sty m:val="p"/>
                </m:rPr>
                <w:rPr>
                  <w:rFonts w:ascii="Cambria Math" w:hAnsi="Cambria Math"/>
                </w:rPr>
                <m:t>|</m:t>
              </m:r>
              <m:r>
                <w:rPr>
                  <w:rFonts w:ascii="Cambria Math" w:hAnsi="Cambria Math"/>
                </w:rPr>
                <m:t>x</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3.26</m:t>
          </m:r>
          <m:r>
            <m:rPr>
              <m:sty m:val="p"/>
            </m:rPr>
            <w:rPr>
              <w:rFonts w:ascii="Cambria Math" w:hAnsi="Cambria Math"/>
            </w:rPr>
            <m:t>)</m:t>
          </m:r>
        </m:oMath>
      </m:oMathPara>
    </w:p>
    <w:p w14:paraId="21925B52" w14:textId="77777777" w:rsidR="00930E6A" w:rsidRDefault="00F2464B">
      <w:pPr>
        <w:pStyle w:val="FirstParagraph"/>
      </w:pPr>
      <w:r>
        <w:t xml:space="preserve">Where </w:t>
      </w:r>
      <m:oMath>
        <m:r>
          <w:rPr>
            <w:rFonts w:ascii="Cambria Math" w:hAnsi="Cambria Math"/>
          </w:rPr>
          <m:t>x</m:t>
        </m:r>
      </m:oMath>
      <w:r>
        <w:t xml:space="preserve"> represents the tokenized source input sequence,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denotes the total unigram token length of sequence </w:t>
      </w:r>
      <m:oMath>
        <m:r>
          <w:rPr>
            <w:rFonts w:ascii="Cambria Math" w:hAnsi="Cambria Math"/>
          </w:rPr>
          <m:t>x</m:t>
        </m:r>
      </m:oMath>
      <w:r>
        <w:t xml:space="preserve">, </w:t>
      </w:r>
      <m:oMath>
        <m:sSub>
          <m:sSubPr>
            <m:ctrlPr>
              <w:rPr>
                <w:rFonts w:ascii="Cambria Math" w:hAnsi="Cambria Math"/>
              </w:rPr>
            </m:ctrlPr>
          </m:sSubPr>
          <m:e>
            <m:r>
              <m:rPr>
                <m:scr m:val="script"/>
                <m:sty m:val="p"/>
              </m:rPr>
              <w:rPr>
                <w:rFonts w:ascii="Cambria Math" w:hAnsi="Cambria Math"/>
              </w:rPr>
              <m:t>G</m:t>
            </m:r>
          </m:e>
          <m:sub>
            <m:r>
              <m:rPr>
                <m:nor/>
              </m:rPr>
              <m:t>dialect</m:t>
            </m:r>
          </m:sub>
        </m:sSub>
      </m:oMath>
      <w:r>
        <w:t xml:space="preserve"> represents the compiled statistical bilingual dialect dictionary constructed via co-occurrence modeling in Section 3.3.4, </w:t>
      </w:r>
      <m:oMath>
        <m:r>
          <m:rPr>
            <m:scr m:val="double-struck"/>
            <m:sty m:val="p"/>
          </m:rPr>
          <w:rPr>
            <w:rFonts w:ascii="Cambria Math" w:hAnsi="Cambria Math"/>
          </w:rPr>
          <m:t>I(⋅)</m:t>
        </m:r>
      </m:oMath>
      <w:r>
        <w:t xml:space="preserve"> is the indicator function returning 1 if token </w:t>
      </w:r>
      <m:oMath>
        <m:r>
          <w:rPr>
            <w:rFonts w:ascii="Cambria Math" w:hAnsi="Cambria Math"/>
          </w:rPr>
          <m:t>w</m:t>
        </m:r>
      </m:oMath>
      <w:r>
        <w:t xml:space="preserve"> exists within the specialized dialect dictionary </w:t>
      </w:r>
      <m:oMath>
        <m:sSub>
          <m:sSubPr>
            <m:ctrlPr>
              <w:rPr>
                <w:rFonts w:ascii="Cambria Math" w:hAnsi="Cambria Math"/>
              </w:rPr>
            </m:ctrlPr>
          </m:sSubPr>
          <m:e>
            <m:r>
              <m:rPr>
                <m:scr m:val="script"/>
                <m:sty m:val="p"/>
              </m:rPr>
              <w:rPr>
                <w:rFonts w:ascii="Cambria Math" w:hAnsi="Cambria Math"/>
              </w:rPr>
              <m:t>G</m:t>
            </m:r>
          </m:e>
          <m:sub>
            <m:r>
              <m:rPr>
                <m:nor/>
              </m:rPr>
              <m:t>dialect</m:t>
            </m:r>
          </m:sub>
        </m:sSub>
      </m:oMath>
      <w:r>
        <w:t xml:space="preserve"> and 0 otherwise, and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calculates the proportional density of rare, dialect-sensitive lexical items within the sentence.</w:t>
      </w:r>
    </w:p>
    <w:p w14:paraId="06C62B84" w14:textId="77777777" w:rsidR="00930E6A" w:rsidRDefault="00F2464B">
      <w:pPr>
        <w:pStyle w:val="BodyText"/>
      </w:pPr>
      <w:r>
        <w:t xml:space="preserve">Based on the density score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computed in Equation (3.26), an adaptive binary routing policy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determines whether to initiate non-parametric retrieval:</w:t>
      </w:r>
    </w:p>
    <w:p w14:paraId="7B800871" w14:textId="77777777" w:rsidR="00930E6A" w:rsidRDefault="00F2464B">
      <w:pPr>
        <w:pStyle w:val="BodyText"/>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0.15 </m:t>
                    </m:r>
                    <m:r>
                      <m:rPr>
                        <m:sty m:val="p"/>
                      </m:rPr>
                      <w:rPr>
                        <w:rFonts w:ascii="Cambria Math" w:hAnsi="Cambria Math"/>
                      </w:rPr>
                      <m:t>(</m:t>
                    </m:r>
                    <m:r>
                      <m:rPr>
                        <m:nor/>
                      </m:rPr>
                      <m:t>Pure Parametric Routing</m:t>
                    </m:r>
                    <m:r>
                      <m:rPr>
                        <m:sty m:val="p"/>
                      </m:rPr>
                      <w:rPr>
                        <w:rFonts w:ascii="Cambria Math" w:hAnsi="Cambria Math"/>
                      </w:rPr>
                      <m:t>)</m:t>
                    </m:r>
                  </m:e>
                </m:mr>
                <m:mr>
                  <m:e>
                    <m:r>
                      <w:rPr>
                        <w:rFonts w:ascii="Cambria Math" w:hAnsi="Cambria Math"/>
                      </w:rPr>
                      <m:t>1</m:t>
                    </m:r>
                  </m:e>
                  <m:e>
                    <m:r>
                      <m:rPr>
                        <m:nor/>
                      </m:rPr>
                      <m:t xml:space="preserve">if </m:t>
                    </m:r>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0.15 </m:t>
                    </m:r>
                    <m:r>
                      <m:rPr>
                        <m:sty m:val="p"/>
                      </m:rPr>
                      <w:rPr>
                        <w:rFonts w:ascii="Cambria Math" w:hAnsi="Cambria Math"/>
                      </w:rPr>
                      <m:t>(</m:t>
                    </m:r>
                    <m:r>
                      <m:rPr>
                        <m:nor/>
                      </m:rPr>
                      <m:t>Lean Exemplar Guidance</m:t>
                    </m:r>
                    <m:r>
                      <m:rPr>
                        <m:sty m:val="p"/>
                      </m:rPr>
                      <w:rPr>
                        <w:rFonts w:ascii="Cambria Math" w:hAnsi="Cambria Math"/>
                      </w:rPr>
                      <m:t>)</m:t>
                    </m:r>
                  </m:e>
                </m:mr>
              </m:m>
            </m:e>
          </m:d>
          <m:r>
            <w:rPr>
              <w:rFonts w:ascii="Cambria Math" w:hAnsi="Cambria Math"/>
            </w:rPr>
            <m:t>  </m:t>
          </m:r>
          <m:r>
            <m:rPr>
              <m:sty m:val="p"/>
            </m:rPr>
            <w:rPr>
              <w:rFonts w:ascii="Cambria Math" w:hAnsi="Cambria Math"/>
            </w:rPr>
            <m:t>(</m:t>
          </m:r>
          <m:r>
            <w:rPr>
              <w:rFonts w:ascii="Cambria Math" w:hAnsi="Cambria Math"/>
            </w:rPr>
            <m:t>3.27</m:t>
          </m:r>
          <m:r>
            <m:rPr>
              <m:sty m:val="p"/>
            </m:rPr>
            <w:rPr>
              <w:rFonts w:ascii="Cambria Math" w:hAnsi="Cambria Math"/>
            </w:rPr>
            <m:t>)</m:t>
          </m:r>
        </m:oMath>
      </m:oMathPara>
    </w:p>
    <w:p w14:paraId="79D0DEAB" w14:textId="77777777" w:rsidR="00930E6A" w:rsidRDefault="00F2464B">
      <w:pPr>
        <w:pStyle w:val="FirstParagraph"/>
      </w:pPr>
      <w:r>
        <w:t xml:space="preserve">Where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represents the rare-token ratio calculated via Equation (3.26), </w:t>
      </w:r>
      <m:oMath>
        <m:r>
          <w:rPr>
            <w:rFonts w:ascii="Cambria Math" w:hAnsi="Cambria Math"/>
          </w:rPr>
          <m:t>0.15</m:t>
        </m:r>
      </m:oMath>
      <w:r>
        <w:t xml:space="preserve"> specifies the empirically calibrated density gating threshold,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routes the input directly through the standalone LoRA-NLLB parametric model without modifying the source string, and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triggers the dual-index retrieval subsystem to fetch a single target translation exemplar.</w:t>
      </w:r>
    </w:p>
    <w:p w14:paraId="5CFB3DA1" w14:textId="77777777" w:rsidR="00930E6A" w:rsidRDefault="00F2464B">
      <w:pPr>
        <w:pStyle w:val="BodyText"/>
      </w:pPr>
      <w:r>
        <w:lastRenderedPageBreak/>
        <w:t>Enforcing the dynamic gating policy defined in Equation (3.27) ensures that pure parametric generation is preserved for standard, high-density inputs, bypassing non-parametric retrieval across approximately 62% of standard evaluation sentences. Context retrieval is restricted strictly to lexical samples exceeding the 15% rare-token threshold, optimizing resource allocation and eliminating context pollution for routine translations.</w:t>
      </w:r>
    </w:p>
    <w:p w14:paraId="2D783EE7" w14:textId="77777777" w:rsidR="00930E6A" w:rsidRPr="00A54745" w:rsidRDefault="00F2464B">
      <w:pPr>
        <w:pStyle w:val="Heading3"/>
        <w:rPr>
          <w:rFonts w:ascii="Times New Roman" w:hAnsi="Times New Roman" w:cs="Times New Roman"/>
          <w:i w:val="0"/>
          <w:iCs/>
          <w:color w:val="auto"/>
          <w:sz w:val="26"/>
          <w:szCs w:val="26"/>
        </w:rPr>
      </w:pPr>
      <w:bookmarkStart w:id="27" w:name="query-first-syntactic-formatting"/>
      <w:bookmarkEnd w:id="26"/>
      <w:r w:rsidRPr="00A54745">
        <w:rPr>
          <w:rFonts w:ascii="Times New Roman" w:hAnsi="Times New Roman" w:cs="Times New Roman"/>
          <w:i w:val="0"/>
          <w:iCs/>
          <w:color w:val="auto"/>
          <w:sz w:val="26"/>
          <w:szCs w:val="26"/>
        </w:rPr>
        <w:t>3.6.3 Query-First Syntactic Formatting</w:t>
      </w:r>
    </w:p>
    <w:p w14:paraId="7911EF98" w14:textId="77777777" w:rsidR="00930E6A" w:rsidRDefault="00F2464B">
      <w:pPr>
        <w:pStyle w:val="FirstParagraph"/>
      </w:pPr>
      <w:r>
        <w:t xml:space="preserve">When the dynamic gating switch evaluates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non-parametric context must be injected into the encoder input. To prevent the positional embedding exhaustion and query truncation issues detailed in Section 3.6.1, a Query-First Syntactic Formatting layout is established.</w:t>
      </w:r>
    </w:p>
    <w:p w14:paraId="40218597" w14:textId="77777777" w:rsidR="00930E6A" w:rsidRDefault="00F2464B">
      <w:pPr>
        <w:pStyle w:val="BodyText"/>
      </w:pPr>
      <w:r>
        <w:t xml:space="preserve">Unlike conventional LLM prompt templates that position background context, instructions, and exemplars before the target query, Query-First Syntactic Formatting places the raw source query </w:t>
      </w:r>
      <m:oMath>
        <m:r>
          <w:rPr>
            <w:rFonts w:ascii="Cambria Math" w:hAnsi="Cambria Math"/>
          </w:rPr>
          <m:t>x</m:t>
        </m:r>
      </m:oMath>
      <w:r>
        <w:t xml:space="preserve"> at the absolute origin of the input sequence (positions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query</m:t>
            </m:r>
          </m:sub>
        </m:sSub>
        <m:r>
          <m:rPr>
            <m:sty m:val="p"/>
          </m:rPr>
          <w:rPr>
            <w:rFonts w:ascii="Cambria Math" w:hAnsi="Cambria Math"/>
          </w:rPr>
          <m:t>-</m:t>
        </m:r>
        <m:r>
          <w:rPr>
            <w:rFonts w:ascii="Cambria Math" w:hAnsi="Cambria Math"/>
          </w:rPr>
          <m:t>1</m:t>
        </m:r>
      </m:oMath>
      <w:r>
        <w:t xml:space="preserve">). The retrieved non-parametric evidence—consisting of a single target dialect exemplar </w:t>
      </w:r>
      <m:oMath>
        <m:sSub>
          <m:sSubPr>
            <m:ctrlPr>
              <w:rPr>
                <w:rFonts w:ascii="Cambria Math" w:hAnsi="Cambria Math"/>
              </w:rPr>
            </m:ctrlPr>
          </m:sSubPr>
          <m:e>
            <m:r>
              <w:rPr>
                <w:rFonts w:ascii="Cambria Math" w:hAnsi="Cambria Math"/>
              </w:rPr>
              <m:t>y</m:t>
            </m:r>
          </m:e>
          <m:sub>
            <m:r>
              <m:rPr>
                <m:nor/>
              </m:rPr>
              <m:t>tgt</m:t>
            </m:r>
          </m:sub>
        </m:sSub>
      </m:oMath>
      <w:r>
        <w:t xml:space="preserve"> obtained via Reciprocal Rank Fusion (RRF)—is appended after the query, separated by native Bengali sentence-ending punctuation:</w:t>
      </w:r>
    </w:p>
    <w:p w14:paraId="610ED6EF" w14:textId="77777777" w:rsidR="00930E6A" w:rsidRDefault="003357BF">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 </m:t>
          </m:r>
          <m:r>
            <m:rPr>
              <m:nor/>
            </m:rPr>
            <m:t>" । প্রসঙ্গ: "</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m:rPr>
                  <m:nor/>
                </m:rPr>
                <m:t>tgt</m:t>
              </m:r>
            </m:sub>
          </m:sSub>
          <m:r>
            <w:rPr>
              <w:rFonts w:ascii="Cambria Math" w:hAnsi="Cambria Math"/>
            </w:rPr>
            <m:t>  </m:t>
          </m:r>
          <m:r>
            <m:rPr>
              <m:sty m:val="p"/>
            </m:rPr>
            <w:rPr>
              <w:rFonts w:ascii="Cambria Math" w:hAnsi="Cambria Math"/>
            </w:rPr>
            <m:t>(</m:t>
          </m:r>
          <m:r>
            <w:rPr>
              <w:rFonts w:ascii="Cambria Math" w:hAnsi="Cambria Math"/>
            </w:rPr>
            <m:t>3.28</m:t>
          </m:r>
          <m:r>
            <m:rPr>
              <m:sty m:val="p"/>
            </m:rPr>
            <w:rPr>
              <w:rFonts w:ascii="Cambria Math" w:hAnsi="Cambria Math"/>
            </w:rPr>
            <m:t>)</m:t>
          </m:r>
        </m:oMath>
      </m:oMathPara>
    </w:p>
    <w:p w14:paraId="115869F1" w14:textId="77777777" w:rsidR="00930E6A" w:rsidRDefault="00F2464B">
      <w:pPr>
        <w:pStyle w:val="FirstParagraph"/>
      </w:pPr>
      <w:r>
        <w:t xml:space="preserve">Where </w:t>
      </w:r>
      <m:oMath>
        <m:r>
          <w:rPr>
            <w:rFonts w:ascii="Cambria Math" w:hAnsi="Cambria Math"/>
          </w:rPr>
          <m:t>x</m:t>
        </m:r>
      </m:oMath>
      <w:r>
        <w:t xml:space="preserve"> represents the primary Standard Bangla source query string, </w:t>
      </w:r>
      <m:oMath>
        <m:r>
          <m:rPr>
            <m:sty m:val="p"/>
          </m:rPr>
          <w:rPr>
            <w:rFonts w:ascii="Cambria Math" w:hAnsi="Cambria Math"/>
          </w:rPr>
          <m:t>∘</m:t>
        </m:r>
      </m:oMath>
      <w:r>
        <w:t xml:space="preserve"> denotes string concatenation, </w:t>
      </w:r>
      <m:oMath>
        <m:r>
          <m:rPr>
            <m:nor/>
          </m:rPr>
          <m:t>" । প্রসঙ্গ: "</m:t>
        </m:r>
      </m:oMath>
      <w:r>
        <w:t xml:space="preserve"> represents the native Bengali structural delimiter sequence, incorporating the canonical Dari (</w:t>
      </w:r>
      <m:oMath>
        <m:r>
          <m:rPr>
            <m:nor/>
          </m:rPr>
          <m:t>U+0964</m:t>
        </m:r>
      </m:oMath>
      <w:r>
        <w:t>) followed by the Bengali word for context (</w:t>
      </w:r>
      <w:r>
        <w:rPr>
          <w:i/>
          <w:iCs/>
        </w:rPr>
        <w:t>Proshonggo</w:t>
      </w:r>
      <w:r>
        <w:t xml:space="preserve">), </w:t>
      </w:r>
      <m:oMath>
        <m:sSub>
          <m:sSubPr>
            <m:ctrlPr>
              <w:rPr>
                <w:rFonts w:ascii="Cambria Math" w:hAnsi="Cambria Math"/>
              </w:rPr>
            </m:ctrlPr>
          </m:sSubPr>
          <m:e>
            <m:r>
              <w:rPr>
                <w:rFonts w:ascii="Cambria Math" w:hAnsi="Cambria Math"/>
              </w:rPr>
              <m:t>y</m:t>
            </m:r>
          </m:e>
          <m:sub>
            <m:r>
              <m:rPr>
                <m:nor/>
              </m:rPr>
              <m:t>tgt</m:t>
            </m:r>
          </m:sub>
        </m:sSub>
      </m:oMath>
      <w:r>
        <w:t xml:space="preserve"> represents the single top-ranked target dialect sentence exemplar retrieved from the parallel training index, and </w:t>
      </w:r>
      <m:oMath>
        <m:acc>
          <m:accPr>
            <m:chr m:val="̃"/>
            <m:ctrlPr>
              <w:rPr>
                <w:rFonts w:ascii="Cambria Math" w:hAnsi="Cambria Math"/>
              </w:rPr>
            </m:ctrlPr>
          </m:accPr>
          <m:e>
            <m:r>
              <w:rPr>
                <w:rFonts w:ascii="Cambria Math" w:hAnsi="Cambria Math"/>
              </w:rPr>
              <m:t>x</m:t>
            </m:r>
          </m:e>
        </m:acc>
      </m:oMath>
      <w:r>
        <w:t xml:space="preserve"> is the resulting synthesized input sequence passed to the NLLB encoder.</w:t>
      </w:r>
    </w:p>
    <w:p w14:paraId="07E4F13C" w14:textId="77777777" w:rsidR="00930E6A" w:rsidRDefault="00F2464B">
      <w:pPr>
        <w:pStyle w:val="BodyText"/>
      </w:pPr>
      <w:r>
        <w:t xml:space="preserve">The structural formulation in Equation (3.28) provides three major technical advantages for compact sequence-to-sequence transformers: 1. </w:t>
      </w:r>
      <w:r>
        <w:rPr>
          <w:b/>
          <w:bCs/>
        </w:rPr>
        <w:t>Guaranteed Zero Query Truncation:</w:t>
      </w:r>
      <w:r>
        <w:t xml:space="preserve"> Because the primary query </w:t>
      </w:r>
      <m:oMath>
        <m:r>
          <w:rPr>
            <w:rFonts w:ascii="Cambria Math" w:hAnsi="Cambria Math"/>
          </w:rPr>
          <m:t>x</m:t>
        </m:r>
      </m:oMath>
      <w:r>
        <w:t xml:space="preserve"> occupies prefix positions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query</m:t>
            </m:r>
          </m:sub>
        </m:sSub>
        <m:r>
          <m:rPr>
            <m:sty m:val="p"/>
          </m:rPr>
          <w:rPr>
            <w:rFonts w:ascii="Cambria Math" w:hAnsi="Cambria Math"/>
          </w:rPr>
          <m:t>-</m:t>
        </m:r>
        <m:r>
          <w:rPr>
            <w:rFonts w:ascii="Cambria Math" w:hAnsi="Cambria Math"/>
          </w:rPr>
          <m:t>1</m:t>
        </m:r>
      </m:oMath>
      <w:r>
        <w:t xml:space="preserve">, any hard sequence truncation imposed by maximum token limits truncates only the trailing context exemplar </w:t>
      </w:r>
      <m:oMath>
        <m:sSub>
          <m:sSubPr>
            <m:ctrlPr>
              <w:rPr>
                <w:rFonts w:ascii="Cambria Math" w:hAnsi="Cambria Math"/>
              </w:rPr>
            </m:ctrlPr>
          </m:sSubPr>
          <m:e>
            <m:r>
              <w:rPr>
                <w:rFonts w:ascii="Cambria Math" w:hAnsi="Cambria Math"/>
              </w:rPr>
              <m:t>y</m:t>
            </m:r>
          </m:e>
          <m:sub>
            <m:r>
              <m:rPr>
                <m:nor/>
              </m:rPr>
              <m:t>tgt</m:t>
            </m:r>
          </m:sub>
        </m:sSub>
      </m:oMath>
      <w:r>
        <w:t xml:space="preserve">, ensuring that 100% of the source query is preserved in the encoder memory. 2. </w:t>
      </w:r>
      <w:r>
        <w:rPr>
          <w:b/>
          <w:bCs/>
        </w:rPr>
        <w:t>Tokenizer Subword Integrity:</w:t>
      </w:r>
      <w:r>
        <w:t xml:space="preserve"> By utilizing native Bengali script characters for structural punctuation (</w:t>
      </w:r>
      <m:oMath>
        <m:r>
          <m:rPr>
            <m:nor/>
          </m:rPr>
          <m:t>"। প্রসঙ্গ:"</m:t>
        </m:r>
      </m:oMath>
      <w:r>
        <w:t xml:space="preserve">) rather than ASCII or pseudo-XML tags (e.g., </w:t>
      </w:r>
      <w:r>
        <w:rPr>
          <w:rStyle w:val="VerbatimChar"/>
        </w:rPr>
        <w:t>&lt;context&gt;</w:t>
      </w:r>
      <w:r>
        <w:t xml:space="preserve">), subword tokenization fragmentation is eliminated, preventing vocabulary splits. 3. </w:t>
      </w:r>
      <w:r>
        <w:rPr>
          <w:b/>
          <w:bCs/>
        </w:rPr>
        <w:t>Cross-Attention Alignment:</w:t>
      </w:r>
      <w:r>
        <w:t xml:space="preserve"> Positioning the contextual exemplar as a trailing modifier allows the bidirectional encoder self-attention heads to construct strong cross-attention alignments between source query tokens and target dialect exemplars without distorting initial hidden state representations.</w:t>
      </w:r>
    </w:p>
    <w:p w14:paraId="7507447D" w14:textId="03C76BB0" w:rsidR="00930E6A" w:rsidRPr="00A54745" w:rsidRDefault="00F2464B">
      <w:pPr>
        <w:pStyle w:val="Heading3"/>
        <w:rPr>
          <w:rFonts w:ascii="Times New Roman" w:hAnsi="Times New Roman" w:cs="Times New Roman"/>
          <w:i w:val="0"/>
          <w:iCs/>
          <w:color w:val="auto"/>
          <w:sz w:val="26"/>
          <w:szCs w:val="26"/>
        </w:rPr>
      </w:pPr>
      <w:bookmarkStart w:id="28" w:name="X42fd687f916af05fe5bc1da798215e7b2c2dab0"/>
      <w:bookmarkEnd w:id="27"/>
      <w:r w:rsidRPr="00A54745">
        <w:rPr>
          <w:rFonts w:ascii="Times New Roman" w:hAnsi="Times New Roman" w:cs="Times New Roman"/>
          <w:i w:val="0"/>
          <w:iCs/>
          <w:color w:val="auto"/>
          <w:sz w:val="26"/>
          <w:szCs w:val="26"/>
        </w:rPr>
        <w:t xml:space="preserve">3.6.4 Competitive Relative Faithfulness Verification </w:t>
      </w:r>
    </w:p>
    <w:p w14:paraId="32DB6A5E" w14:textId="77777777" w:rsidR="00930E6A" w:rsidRDefault="00F2464B">
      <w:pPr>
        <w:pStyle w:val="FirstParagraph"/>
      </w:pPr>
      <w:r>
        <w:t>Even with dynamic gating and query-first structural formatting, non-parametric retrieval occasionally introduces irrelevant or distractor exemplars that could degrade translation quality relative to pure parametric generation. Standard RAG architectures rely on absolute cosine similarity thresholds to filter out weak retrieved documents. However, in multilingual vector spaces (such as BGE-M3), absolute cosine similarity scores vary significantly across language pairs, domain contexts, and sentence lengths, making fixed absolute thresholds ineffective. To enforce an empirical performance lower bound, a Competitive Relative Faithfulness Verifier acts as a safety governor on the output generation stream [24], [25].</w:t>
      </w:r>
    </w:p>
    <w:p w14:paraId="268C74D6" w14:textId="77777777" w:rsidR="00930E6A" w:rsidRDefault="00F2464B">
      <w:pPr>
        <w:pStyle w:val="BodyText"/>
      </w:pPr>
      <w:r>
        <w:t xml:space="preserve">For every input sentence </w:t>
      </w:r>
      <m:oMath>
        <m:r>
          <w:rPr>
            <w:rFonts w:ascii="Cambria Math" w:hAnsi="Cambria Math"/>
          </w:rPr>
          <m:t>x</m:t>
        </m:r>
      </m:oMath>
      <w:r>
        <w:t xml:space="preserve"> triggering lean retrieval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two distinct candidate hypotheses are generated concurrently: (1) the retrieval-augmented candidate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generated by feeding </w:t>
      </w:r>
      <m:oMath>
        <m:acc>
          <m:accPr>
            <m:chr m:val="̃"/>
            <m:ctrlPr>
              <w:rPr>
                <w:rFonts w:ascii="Cambria Math" w:hAnsi="Cambria Math"/>
              </w:rPr>
            </m:ctrlPr>
          </m:accPr>
          <m:e>
            <m:r>
              <w:rPr>
                <w:rFonts w:ascii="Cambria Math" w:hAnsi="Cambria Math"/>
              </w:rPr>
              <m:t>x</m:t>
            </m:r>
          </m:e>
        </m:acc>
      </m:oMath>
      <w:r>
        <w:t xml:space="preserve"> through the model, and (2) the pure parametric candidate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xml:space="preserve"> generated by feeding unadorned query </w:t>
      </w:r>
      <m:oMath>
        <m:r>
          <w:rPr>
            <w:rFonts w:ascii="Cambria Math" w:hAnsi="Cambria Math"/>
          </w:rPr>
          <m:t>x</m:t>
        </m:r>
      </m:oMath>
      <w:r>
        <w:t xml:space="preserve"> through the standalone LoRA-adapted model. Both candidate output strings, along with source query </w:t>
      </w:r>
      <m:oMath>
        <m:r>
          <w:rPr>
            <w:rFonts w:ascii="Cambria Math" w:hAnsi="Cambria Math"/>
          </w:rPr>
          <m:t>x</m:t>
        </m:r>
      </m:oMath>
      <w:r>
        <w:t xml:space="preserve">, are passed into the dense semantic verification encoder (BAAI/bge-m3) to compute normalized cosine similarity scores </w:t>
      </w:r>
      <m:oMath>
        <m:r>
          <m:rPr>
            <m:nor/>
          </m:rPr>
          <m:t>Sim</m:t>
        </m:r>
        <m:r>
          <m:rPr>
            <m:sty m:val="p"/>
          </m:rPr>
          <w:rPr>
            <w:rFonts w:ascii="Cambria Math" w:hAnsi="Cambria Math"/>
          </w:rPr>
          <m:t>(</m:t>
        </m:r>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acc>
              <m:accPr>
                <m:ctrlPr>
                  <w:rPr>
                    <w:rFonts w:ascii="Cambria Math" w:hAnsi="Cambria Math"/>
                  </w:rPr>
                </m:ctrlPr>
              </m:accPr>
              <m:e>
                <m:r>
                  <w:rPr>
                    <w:rFonts w:ascii="Cambria Math" w:hAnsi="Cambria Math"/>
                  </w:rPr>
                  <m:t>y</m:t>
                </m:r>
              </m:e>
            </m:acc>
          </m:sub>
        </m:sSub>
        <m:r>
          <m:rPr>
            <m:sty m:val="p"/>
          </m:rPr>
          <w:rPr>
            <w:rFonts w:ascii="Cambria Math" w:hAnsi="Cambria Math"/>
          </w:rPr>
          <m:t>⟩</m:t>
        </m:r>
      </m:oMath>
      <w:r>
        <w:t>.</w:t>
      </w:r>
    </w:p>
    <w:p w14:paraId="756B03AA" w14:textId="77777777" w:rsidR="00930E6A" w:rsidRDefault="00F2464B">
      <w:pPr>
        <w:pStyle w:val="BodyText"/>
      </w:pPr>
      <w:r>
        <w:t xml:space="preserve">The Competitive Relative Verifier decision rule selects the final published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oMath>
      <w:r>
        <w:t xml:space="preserve"> according to a competitive margin criterion:</w:t>
      </w:r>
    </w:p>
    <w:p w14:paraId="25788D5E" w14:textId="77777777" w:rsidR="00930E6A" w:rsidRDefault="003357B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e>
                  <m:e>
                    <m:r>
                      <m:rPr>
                        <m:nor/>
                      </m:rPr>
                      <m:t>if 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)&gt;</m:t>
                    </m:r>
                    <m:r>
                      <m:rPr>
                        <m:nor/>
                      </m:rPr>
                      <m:t>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r>
                      <w:rPr>
                        <w:rFonts w:ascii="Cambria Math" w:hAnsi="Cambria Math"/>
                      </w:rPr>
                      <m:t>δ 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e>
                  <m:e>
                    <m:r>
                      <m:rPr>
                        <m:nor/>
                      </m:rPr>
                      <m:t>otherwise</m:t>
                    </m:r>
                  </m:e>
                </m:mr>
              </m:m>
            </m:e>
          </m:d>
          <m:r>
            <w:rPr>
              <w:rFonts w:ascii="Cambria Math" w:hAnsi="Cambria Math"/>
            </w:rPr>
            <m:t>  </m:t>
          </m:r>
          <m:r>
            <m:rPr>
              <m:sty m:val="p"/>
            </m:rPr>
            <w:rPr>
              <w:rFonts w:ascii="Cambria Math" w:hAnsi="Cambria Math"/>
            </w:rPr>
            <m:t>(</m:t>
          </m:r>
          <m:r>
            <w:rPr>
              <w:rFonts w:ascii="Cambria Math" w:hAnsi="Cambria Math"/>
            </w:rPr>
            <m:t>3.29</m:t>
          </m:r>
          <m:r>
            <m:rPr>
              <m:sty m:val="p"/>
            </m:rPr>
            <w:rPr>
              <w:rFonts w:ascii="Cambria Math" w:hAnsi="Cambria Math"/>
            </w:rPr>
            <m:t>)</m:t>
          </m:r>
        </m:oMath>
      </m:oMathPara>
    </w:p>
    <w:p w14:paraId="1CD40553" w14:textId="77777777" w:rsidR="00930E6A" w:rsidRDefault="00F2464B">
      <w:pPr>
        <w:pStyle w:val="FirstParagraph"/>
      </w:pPr>
      <w:r>
        <w:lastRenderedPageBreak/>
        <w:t xml:space="preserve">Where </w:t>
      </w:r>
      <m:oMath>
        <m:r>
          <w:rPr>
            <w:rFonts w:ascii="Cambria Math" w:hAnsi="Cambria Math"/>
          </w:rPr>
          <m:t>x</m:t>
        </m:r>
      </m:oMath>
      <w:r>
        <w:t xml:space="preserve"> represents the source input sequence,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xml:space="preserve"> represent the non-parametric RAG candidate hypothesis and pure parametric fine-tuned candidate hypothesis, respectively, </w:t>
      </w:r>
      <m:oMath>
        <m:r>
          <m:rPr>
            <m:nor/>
          </m:rPr>
          <m:t>Sim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calculates the dense BGE-M3 cosine semantic similarity between source text and candidate hypothesis, </w:t>
      </w:r>
      <m:oMath>
        <m:r>
          <w:rPr>
            <w:rFonts w:ascii="Cambria Math" w:hAnsi="Cambria Math"/>
          </w:rPr>
          <m:t>δ</m:t>
        </m:r>
        <m:r>
          <m:rPr>
            <m:sty m:val="p"/>
          </m:rPr>
          <w:rPr>
            <w:rFonts w:ascii="Cambria Math" w:hAnsi="Cambria Math"/>
          </w:rPr>
          <m:t>=</m:t>
        </m:r>
        <m:r>
          <w:rPr>
            <w:rFonts w:ascii="Cambria Math" w:hAnsi="Cambria Math"/>
          </w:rPr>
          <m:t>0.005</m:t>
        </m:r>
      </m:oMath>
      <w:r>
        <w:t xml:space="preserve"> defines the strict competitive margin threshold required for RAG candidate acceptance,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oMath>
      <w:r>
        <w:t xml:space="preserve"> enforces a candidate length safety guardrail to prevent truncated RAG outputs from overriding complete parametric translations,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oMath>
      <w:r>
        <w:t xml:space="preserve"> denotes the final verified translation output.</w:t>
      </w:r>
    </w:p>
    <w:p w14:paraId="0CDD0125" w14:textId="77777777" w:rsidR="00930E6A" w:rsidRDefault="00F2464B">
      <w:pPr>
        <w:pStyle w:val="BodyText"/>
      </w:pPr>
      <w:r>
        <w:t xml:space="preserve">Equation (3.29) establishes a mathematically guaranteed performance floor. RAG candidates are accepted if and only if they demonstrate a measurable semantic fidelity improvement over the standalone parametric output exceeding margin </w:t>
      </w:r>
      <m:oMath>
        <m:r>
          <w:rPr>
            <w:rFonts w:ascii="Cambria Math" w:hAnsi="Cambria Math"/>
          </w:rPr>
          <m:t>δ</m:t>
        </m:r>
      </m:oMath>
      <w:r>
        <w:t xml:space="preserve"> while satisfying minimum sequence length safety constraints. If the RAG candidate fails to exceed this competitive threshold, the verifier triggers an instant, graceful fallback to the standalone LoRA fine-tuned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By enforcing Equation (3.29), the proposed architecture guarantees an empirical performance lower bound equal to or exceeding the standalone fine-tuned baseline anchor of 55.91 BLEU, eliminating catastrophic translation drop and delivering robust translation quality across all regional dialects.</w:t>
      </w:r>
    </w:p>
    <w:p w14:paraId="1581A091" w14:textId="0519ABFE" w:rsidR="00930E6A" w:rsidRDefault="00930E6A"/>
    <w:p w14:paraId="28F99007" w14:textId="77777777" w:rsidR="00930E6A" w:rsidRPr="00A54745" w:rsidRDefault="00F2464B">
      <w:pPr>
        <w:pStyle w:val="Heading2"/>
        <w:rPr>
          <w:rFonts w:ascii="Times New Roman" w:hAnsi="Times New Roman" w:cs="Times New Roman"/>
          <w:sz w:val="26"/>
          <w:szCs w:val="26"/>
        </w:rPr>
      </w:pPr>
      <w:bookmarkStart w:id="29" w:name="Xd9ea1b4ddfe59917f1ea78e85d22f0ad49ab87c"/>
      <w:bookmarkEnd w:id="24"/>
      <w:bookmarkEnd w:id="28"/>
      <w:r w:rsidRPr="00A54745">
        <w:rPr>
          <w:rFonts w:ascii="Times New Roman" w:hAnsi="Times New Roman" w:cs="Times New Roman"/>
          <w:color w:val="auto"/>
          <w:sz w:val="26"/>
          <w:szCs w:val="26"/>
        </w:rPr>
        <w:t>3.7 System Integration and Inference Execution Pipeline</w:t>
      </w:r>
    </w:p>
    <w:p w14:paraId="09171C9C" w14:textId="77777777" w:rsidR="00930E6A" w:rsidRDefault="00F2464B">
      <w:pPr>
        <w:pStyle w:val="FirstParagraph"/>
      </w:pPr>
      <w:r>
        <w:t>The operational deployment of the proposed verified dialect translation framework requires the seamless orchestration of deterministic text processing, non-parametric retrieval, parameter-efficient neural generation, and semantic verification. To guarantee real-time execution stability, deterministic outputs, and bounded computational latency, the complete system is integrated into a unified multi-stage inference execution pipeline. The operational lifecycle of an incoming regional dialect text string is governed by a five-stage algorithmic execution sequence designed to optimize translation accuracy while shielding the neural backbone from orthographic noise and retrieval hallucinations.</w:t>
      </w:r>
    </w:p>
    <w:p w14:paraId="56B14BC3" w14:textId="77777777" w:rsidR="00930E6A" w:rsidRDefault="00F2464B">
      <w:pPr>
        <w:pStyle w:val="BodyText"/>
      </w:pPr>
      <w:r>
        <w:t>The execution sequence begins with input dialect ingestion and deterministic Unicode/graphemic normalization. Incoming raw regional source strings (</w:t>
      </w:r>
      <m:oMath>
        <m:sSub>
          <m:sSubPr>
            <m:ctrlPr>
              <w:rPr>
                <w:rFonts w:ascii="Cambria Math" w:hAnsi="Cambria Math"/>
              </w:rPr>
            </m:ctrlPr>
          </m:sSubPr>
          <m:e>
            <m:r>
              <w:rPr>
                <w:rFonts w:ascii="Cambria Math" w:hAnsi="Cambria Math"/>
              </w:rPr>
              <m:t>x</m:t>
            </m:r>
          </m:e>
          <m:sub>
            <m:r>
              <m:rPr>
                <m:nor/>
              </m:rPr>
              <m:t>raw</m:t>
            </m:r>
          </m:sub>
        </m:sSub>
      </m:oMath>
      <w:r>
        <w:t xml:space="preserve">) are </w:t>
      </w:r>
      <w:r>
        <w:lastRenderedPageBreak/>
        <w:t>immediately passed through the normalization engine constructed in Section 3.1. Unicode Normalization Form C (NFC) is applied to resolve canonical decomposition discrepancies, followed by deterministic Nukta unification, Khanda-Ta word-boundary mapping, and sentence-final Dari (</w:t>
      </w:r>
      <m:oMath>
        <m:r>
          <m:rPr>
            <m:nor/>
          </m:rPr>
          <m:t>U+0964</m:t>
        </m:r>
      </m:oMath>
      <w:r>
        <w:t>) standardization. Orphaned vowel matras, control characters, and edge-boundary Zero-Width Joiners (ZWJ) or Non-Joiners (ZWNJ) are purged. This deterministic pass transforms heterogeneous, unstandardized regional text into a canonical graphemic representation (</w:t>
      </w:r>
      <m:oMath>
        <m:r>
          <w:rPr>
            <w:rFonts w:ascii="Cambria Math" w:hAnsi="Cambria Math"/>
          </w:rPr>
          <m:t>x</m:t>
        </m:r>
      </m:oMath>
      <w:r>
        <w:t>), ensuring that downstream tokenization maps glyphs to stable subword indices within the 256,000-entry SentencePiece vocabulary.</w:t>
      </w:r>
    </w:p>
    <w:p w14:paraId="6AB44F6E" w14:textId="77777777" w:rsidR="00930E6A" w:rsidRDefault="00F2464B">
      <w:pPr>
        <w:pStyle w:val="BodyText"/>
      </w:pPr>
      <w:r>
        <w:t xml:space="preserve">Following graphemic canonicalization, the second stage evaluates the dialectal rare-token density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of the normalized input string against the statistical bilingual gloss dictionary </w:t>
      </w:r>
      <m:oMath>
        <m:sSub>
          <m:sSubPr>
            <m:ctrlPr>
              <w:rPr>
                <w:rFonts w:ascii="Cambria Math" w:hAnsi="Cambria Math"/>
              </w:rPr>
            </m:ctrlPr>
          </m:sSubPr>
          <m:e>
            <m:r>
              <m:rPr>
                <m:scr m:val="script"/>
                <m:sty m:val="p"/>
              </m:rPr>
              <w:rPr>
                <w:rFonts w:ascii="Cambria Math" w:hAnsi="Cambria Math"/>
              </w:rPr>
              <m:t>G</m:t>
            </m:r>
          </m:e>
          <m:sub>
            <m:r>
              <m:rPr>
                <m:nor/>
              </m:rPr>
              <m:t>dialect</m:t>
            </m:r>
          </m:sub>
        </m:sSub>
      </m:oMath>
      <w:r>
        <w:t xml:space="preserve"> compiled via co-occurrence modeling. The unigram tokens of sequence </w:t>
      </w:r>
      <m:oMath>
        <m:r>
          <w:rPr>
            <w:rFonts w:ascii="Cambria Math" w:hAnsi="Cambria Math"/>
          </w:rPr>
          <m:t>x</m:t>
        </m:r>
      </m:oMath>
      <w:r>
        <w:t xml:space="preserve"> are scanned, and the proportion of rare dialectal items is calculated according to Equation (3.26). This density metric serves as an automated linguistic complexity signal, determining whether the input requires non-parametric context injection or can be handled reliably by the parametric backbone alone.</w:t>
      </w:r>
    </w:p>
    <w:p w14:paraId="225815C4" w14:textId="77777777" w:rsidR="00930E6A" w:rsidRDefault="00F2464B">
      <w:pPr>
        <w:pStyle w:val="BodyText"/>
      </w:pPr>
      <w:r>
        <w:t xml:space="preserve">The third stage executes the dynamic branching control logic based on the binary routing policy </w:t>
      </w: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defined in Equation (3.27). If the rare-token ratio falls below the critical threshold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0.15</m:t>
        </m:r>
      </m:oMath>
      <w:r>
        <w:t>), the system routes the query exclusively through the pure parametric pathway (</w:t>
      </w:r>
      <m:oMath>
        <m:r>
          <w:rPr>
            <w:rFonts w:ascii="Cambria Math" w:hAnsi="Cambria Math"/>
          </w:rPr>
          <m:t>k</m:t>
        </m:r>
        <m:r>
          <m:rPr>
            <m:sty m:val="p"/>
          </m:rPr>
          <w:rPr>
            <w:rFonts w:ascii="Cambria Math" w:hAnsi="Cambria Math"/>
          </w:rPr>
          <m:t>=</m:t>
        </m:r>
        <m:r>
          <w:rPr>
            <w:rFonts w:ascii="Cambria Math" w:hAnsi="Cambria Math"/>
          </w:rPr>
          <m:t>0</m:t>
        </m:r>
      </m:oMath>
      <w:r>
        <w:t xml:space="preserve">), bypassing external retrieval completely to minimize inference latency and eliminate context exposure for routine sentences. Conversely, if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0.15</m:t>
        </m:r>
      </m:oMath>
      <w:r>
        <w:t>, the system triggers the lean non-parametric retrieval pathway (</w:t>
      </w:r>
      <m:oMath>
        <m:r>
          <w:rPr>
            <w:rFonts w:ascii="Cambria Math" w:hAnsi="Cambria Math"/>
          </w:rPr>
          <m:t>k</m:t>
        </m:r>
        <m:r>
          <m:rPr>
            <m:sty m:val="p"/>
          </m:rPr>
          <w:rPr>
            <w:rFonts w:ascii="Cambria Math" w:hAnsi="Cambria Math"/>
          </w:rPr>
          <m:t>=</m:t>
        </m:r>
        <m:r>
          <w:rPr>
            <w:rFonts w:ascii="Cambria Math" w:hAnsi="Cambria Math"/>
          </w:rPr>
          <m:t>1</m:t>
        </m:r>
      </m:oMath>
      <w:r>
        <w:t xml:space="preserve">). In this branch, the normalized query </w:t>
      </w:r>
      <m:oMath>
        <m:r>
          <w:rPr>
            <w:rFonts w:ascii="Cambria Math" w:hAnsi="Cambria Math"/>
          </w:rPr>
          <m:t>x</m:t>
        </m:r>
      </m:oMath>
      <w:r>
        <w:t xml:space="preserve"> is dispatched to the dual-index retrieval engine, executing parallel searches across the BM25Okapi sparse index and the 1024-dimensional BGE-M3 dense vector index. Candidate ranks are fused via Reciprocal Rank Fusion (RRF) with a smoothing constant of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xml:space="preserve">, extracting the single highest-ranked target translation exemplar </w:t>
      </w:r>
      <m:oMath>
        <m:sSub>
          <m:sSubPr>
            <m:ctrlPr>
              <w:rPr>
                <w:rFonts w:ascii="Cambria Math" w:hAnsi="Cambria Math"/>
              </w:rPr>
            </m:ctrlPr>
          </m:sSubPr>
          <m:e>
            <m:r>
              <w:rPr>
                <w:rFonts w:ascii="Cambria Math" w:hAnsi="Cambria Math"/>
              </w:rPr>
              <m:t>y</m:t>
            </m:r>
          </m:e>
          <m:sub>
            <m:r>
              <m:rPr>
                <m:nor/>
              </m:rPr>
              <m:t>tgt</m:t>
            </m:r>
          </m:sub>
        </m:sSub>
      </m:oMath>
      <w:r>
        <w:t>.</w:t>
      </w:r>
    </w:p>
    <w:p w14:paraId="2847BBC6" w14:textId="77777777" w:rsidR="00930E6A" w:rsidRDefault="00F2464B">
      <w:pPr>
        <w:pStyle w:val="BodyText"/>
      </w:pPr>
      <w:r>
        <w:t>The fourth stage governs sequence construction and constrained neural decoding. For pure parametric inputs (</w:t>
      </w:r>
      <m:oMath>
        <m:r>
          <w:rPr>
            <w:rFonts w:ascii="Cambria Math" w:hAnsi="Cambria Math"/>
          </w:rPr>
          <m:t>k</m:t>
        </m:r>
        <m:r>
          <m:rPr>
            <m:sty m:val="p"/>
          </m:rPr>
          <w:rPr>
            <w:rFonts w:ascii="Cambria Math" w:hAnsi="Cambria Math"/>
          </w:rPr>
          <m:t>=</m:t>
        </m:r>
        <m:r>
          <w:rPr>
            <w:rFonts w:ascii="Cambria Math" w:hAnsi="Cambria Math"/>
          </w:rPr>
          <m:t>0</m:t>
        </m:r>
      </m:oMath>
      <w:r>
        <w:t xml:space="preserve">), the unadorned query </w:t>
      </w:r>
      <m:oMath>
        <m:r>
          <w:rPr>
            <w:rFonts w:ascii="Cambria Math" w:hAnsi="Cambria Math"/>
          </w:rPr>
          <m:t>x</m:t>
        </m:r>
      </m:oMath>
      <w:r>
        <w:t xml:space="preserve"> is passed directly to the encoder. For retrieval-augmented inputs (</w:t>
      </w:r>
      <m:oMath>
        <m:r>
          <w:rPr>
            <w:rFonts w:ascii="Cambria Math" w:hAnsi="Cambria Math"/>
          </w:rPr>
          <m:t>k</m:t>
        </m:r>
        <m:r>
          <m:rPr>
            <m:sty m:val="p"/>
          </m:rPr>
          <w:rPr>
            <w:rFonts w:ascii="Cambria Math" w:hAnsi="Cambria Math"/>
          </w:rPr>
          <m:t>=</m:t>
        </m:r>
        <m:r>
          <w:rPr>
            <w:rFonts w:ascii="Cambria Math" w:hAnsi="Cambria Math"/>
          </w:rPr>
          <m:t>1</m:t>
        </m:r>
      </m:oMath>
      <w:r>
        <w:t xml:space="preserve">), Query-First Syntactic Formatting is applied to construct the synthesized sequence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m:rPr>
            <m:nor/>
          </m:rPr>
          <m:t>" । প্রসঙ্গ: "</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tgt</m:t>
            </m:r>
          </m:sub>
        </m:sSub>
      </m:oMath>
      <w:r>
        <w:t xml:space="preserve">, placing the primary source </w:t>
      </w:r>
      <w:r>
        <w:lastRenderedPageBreak/>
        <w:t xml:space="preserve">query at position 0 to prevent query truncation. Generation across the LoRA-adapted NLLB-200-Distilled-600M architecture is executed using constrained beam search decoding. Sequence generation is explicitly conditioned by prefixing the forced Begin-Of-Sequence (BOS) token ID to </w:t>
      </w:r>
      <w:r>
        <w:rPr>
          <w:rStyle w:val="VerbatimChar"/>
        </w:rPr>
        <w:t>ben_Beng</w:t>
      </w:r>
      <w:r>
        <w:t xml:space="preserve">. The decoder evaluates candidate token sequences by maximizing the length-normalized log-likelihood score </w:t>
      </w:r>
      <m:oMath>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62FB5DEA" w14:textId="77777777" w:rsidR="00930E6A" w:rsidRDefault="00F2464B">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α</m:t>
                      </m:r>
                    </m:e>
                    <m:sub>
                      <m:r>
                        <m:rPr>
                          <m:nor/>
                        </m:rPr>
                        <m:t>len</m:t>
                      </m:r>
                    </m:sub>
                  </m:sSub>
                </m:sup>
              </m:sSup>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Y</m:t>
              </m:r>
              <m:r>
                <m:rPr>
                  <m:sty m:val="p"/>
                </m:rPr>
                <w:rPr>
                  <w:rFonts w:ascii="Cambria Math" w:hAnsi="Cambria Math"/>
                </w:rPr>
                <m:t>|</m:t>
              </m:r>
            </m:sup>
            <m:e>
              <m:r>
                <m:rPr>
                  <m:nor/>
                </m:rPr>
                <m:t>log</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LoRA</m:t>
                  </m:r>
                </m:sub>
              </m:sSub>
            </m:e>
          </m:d>
          <m:r>
            <w:rPr>
              <w:rFonts w:ascii="Cambria Math" w:hAnsi="Cambria Math"/>
            </w:rPr>
            <m:t>  </m:t>
          </m:r>
          <m:r>
            <m:rPr>
              <m:sty m:val="p"/>
            </m:rPr>
            <w:rPr>
              <w:rFonts w:ascii="Cambria Math" w:hAnsi="Cambria Math"/>
            </w:rPr>
            <m:t>(</m:t>
          </m:r>
          <m:r>
            <w:rPr>
              <w:rFonts w:ascii="Cambria Math" w:hAnsi="Cambria Math"/>
            </w:rPr>
            <m:t>3.30</m:t>
          </m:r>
          <m:r>
            <m:rPr>
              <m:sty m:val="p"/>
            </m:rPr>
            <w:rPr>
              <w:rFonts w:ascii="Cambria Math" w:hAnsi="Cambria Math"/>
            </w:rPr>
            <m:t>)</m:t>
          </m:r>
        </m:oMath>
      </m:oMathPara>
    </w:p>
    <w:p w14:paraId="604EC2AE" w14:textId="77777777" w:rsidR="00930E6A" w:rsidRDefault="00F2464B">
      <w:pPr>
        <w:pStyle w:val="FirstParagraph"/>
      </w:pPr>
      <w:r>
        <w:t xml:space="preserve">Where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t xml:space="preserve"> represents the normalized source sequence or the query-first synthesized input sequence,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r>
              <w:rPr>
                <w:rFonts w:ascii="Cambria Math" w:hAnsi="Cambria Math"/>
              </w:rPr>
              <m:t>Y</m:t>
            </m:r>
            <m:r>
              <m:rPr>
                <m:sty m:val="p"/>
              </m:rPr>
              <w:rPr>
                <w:rFonts w:ascii="Cambria Math" w:hAnsi="Cambria Math"/>
              </w:rPr>
              <m:t>|</m:t>
            </m:r>
          </m:sub>
        </m:sSub>
        <m:r>
          <m:rPr>
            <m:sty m:val="p"/>
          </m:rPr>
          <w:rPr>
            <w:rFonts w:ascii="Cambria Math" w:hAnsi="Cambria Math"/>
          </w:rPr>
          <m:t>)</m:t>
        </m:r>
      </m:oMath>
      <w:r>
        <w:t xml:space="preserve"> represents the candidate target sequence generated by the decoder,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denotes the total token length of the generated hypothesis, </w:t>
      </w:r>
      <m:oMath>
        <m:sSub>
          <m:sSubPr>
            <m:ctrlPr>
              <w:rPr>
                <w:rFonts w:ascii="Cambria Math" w:hAnsi="Cambria Math"/>
              </w:rPr>
            </m:ctrlPr>
          </m:sSubPr>
          <m:e>
            <m:r>
              <w:rPr>
                <w:rFonts w:ascii="Cambria Math" w:hAnsi="Cambria Math"/>
              </w:rPr>
              <m:t>α</m:t>
            </m:r>
          </m:e>
          <m:sub>
            <m:r>
              <m:rPr>
                <m:nor/>
              </m:rPr>
              <m:t>len</m:t>
            </m:r>
          </m:sub>
        </m:sSub>
        <m:r>
          <m:rPr>
            <m:sty m:val="p"/>
          </m:rPr>
          <w:rPr>
            <w:rFonts w:ascii="Cambria Math" w:hAnsi="Cambria Math"/>
          </w:rPr>
          <m:t>=</m:t>
        </m:r>
        <m:r>
          <w:rPr>
            <w:rFonts w:ascii="Cambria Math" w:hAnsi="Cambria Math"/>
          </w:rPr>
          <m:t>1.0</m:t>
        </m:r>
      </m:oMath>
      <w:r>
        <w:t xml:space="preserve"> represents the length penalty exponent normalizing generation scores against sequence length bias, and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LoRA</m:t>
            </m:r>
          </m:sub>
        </m:sSub>
        <m:r>
          <m:rPr>
            <m:sty m:val="p"/>
          </m:rPr>
          <w:rPr>
            <w:rFonts w:ascii="Cambria Math" w:hAnsi="Cambria Math"/>
          </w:rPr>
          <m:t>)</m:t>
        </m:r>
      </m:oMath>
      <w:r>
        <w:t xml:space="preserve"> computes the softmax probability of candidate token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conditioned on preceding tokens </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oMath>
      <w:r>
        <w:t xml:space="preserve">, source input </w:t>
      </w:r>
      <m:oMath>
        <m:r>
          <w:rPr>
            <w:rFonts w:ascii="Cambria Math" w:hAnsi="Cambria Math"/>
          </w:rPr>
          <m:t>X</m:t>
        </m:r>
      </m:oMath>
      <w:r>
        <w:t xml:space="preserve">, frozen base weights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and active LoRA parameters </w:t>
      </w:r>
      <m:oMath>
        <m:sSub>
          <m:sSubPr>
            <m:ctrlPr>
              <w:rPr>
                <w:rFonts w:ascii="Cambria Math" w:hAnsi="Cambria Math"/>
              </w:rPr>
            </m:ctrlPr>
          </m:sSubPr>
          <m:e>
            <m:r>
              <w:rPr>
                <w:rFonts w:ascii="Cambria Math" w:hAnsi="Cambria Math"/>
              </w:rPr>
              <m:t>Θ</m:t>
            </m:r>
          </m:e>
          <m:sub>
            <m:r>
              <m:rPr>
                <m:nor/>
              </m:rPr>
              <m:t>LoRA</m:t>
            </m:r>
          </m:sub>
        </m:sSub>
      </m:oMath>
      <w:r>
        <w:t>.</w:t>
      </w:r>
    </w:p>
    <w:p w14:paraId="488F83E6" w14:textId="77777777" w:rsidR="00930E6A" w:rsidRDefault="00F2464B">
      <w:pPr>
        <w:pStyle w:val="BodyText"/>
      </w:pPr>
      <w:r>
        <w:t xml:space="preserve">Beam search decoding is configured with a beam width of </w:t>
      </w:r>
      <m:oMath>
        <m:r>
          <w:rPr>
            <w:rFonts w:ascii="Cambria Math" w:hAnsi="Cambria Math"/>
          </w:rPr>
          <m:t>B</m:t>
        </m:r>
        <m:r>
          <m:rPr>
            <m:sty m:val="p"/>
          </m:rPr>
          <w:rPr>
            <w:rFonts w:ascii="Cambria Math" w:hAnsi="Cambria Math"/>
          </w:rPr>
          <m:t>=</m:t>
        </m:r>
        <m:r>
          <w:rPr>
            <w:rFonts w:ascii="Cambria Math" w:hAnsi="Cambria Math"/>
          </w:rPr>
          <m:t>4</m:t>
        </m:r>
      </m:oMath>
      <w:r>
        <w:t xml:space="preserve">, a repetition penalty factor of </w:t>
      </w:r>
      <m:oMath>
        <m:r>
          <w:rPr>
            <w:rFonts w:ascii="Cambria Math" w:hAnsi="Cambria Math"/>
          </w:rPr>
          <m:t>2.5</m:t>
        </m:r>
      </m:oMath>
      <w:r>
        <w:t>, and a maximum generation length capped at 64 tokens. For non-parametric runs (</w:t>
      </w:r>
      <m:oMath>
        <m:r>
          <w:rPr>
            <w:rFonts w:ascii="Cambria Math" w:hAnsi="Cambria Math"/>
          </w:rPr>
          <m:t>k</m:t>
        </m:r>
        <m:r>
          <m:rPr>
            <m:sty m:val="p"/>
          </m:rPr>
          <w:rPr>
            <w:rFonts w:ascii="Cambria Math" w:hAnsi="Cambria Math"/>
          </w:rPr>
          <m:t>=</m:t>
        </m:r>
        <m:r>
          <w:rPr>
            <w:rFonts w:ascii="Cambria Math" w:hAnsi="Cambria Math"/>
          </w:rPr>
          <m:t>1</m:t>
        </m:r>
      </m:oMath>
      <w:r>
        <w:t xml:space="preserve">), the system concurrently generates both the retrieval-augmented candidate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and the pure fine-tuned parametric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w:t>
      </w:r>
    </w:p>
    <w:p w14:paraId="44C3DD9B" w14:textId="77777777" w:rsidR="00930E6A" w:rsidRDefault="00F2464B">
      <w:pPr>
        <w:pStyle w:val="BodyText"/>
      </w:pPr>
      <w:r>
        <w:t>The fifth and final stage executes Competitive Relative Faithfulness Verification to determine the final published output. Both candidate hypotheses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xml:space="preserve">), alongside the source query </w:t>
      </w:r>
      <m:oMath>
        <m:r>
          <w:rPr>
            <w:rFonts w:ascii="Cambria Math" w:hAnsi="Cambria Math"/>
          </w:rPr>
          <m:t>x</m:t>
        </m:r>
      </m:oMath>
      <w:r>
        <w:t xml:space="preserve">, are encoded by the BAAI/bge-m3 model to extract unit embedding vectors. Semantic similarity scores </w:t>
      </w:r>
      <m:oMath>
        <m:r>
          <m:rPr>
            <m:nor/>
          </m:rPr>
          <m:t>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m:t>
        </m:r>
      </m:oMath>
      <w:r>
        <w:t xml:space="preserve"> and </w:t>
      </w:r>
      <m:oMath>
        <m:r>
          <m:rPr>
            <m:nor/>
          </m:rPr>
          <m:t>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oMath>
      <w:r>
        <w:t xml:space="preserve"> are evaluated via vector inner-products. The competitive relative verifier decision rule evaluates hypothesis selection according to the margin criterion defined in Equation (3.29):</w:t>
      </w:r>
    </w:p>
    <w:p w14:paraId="29194EFD" w14:textId="77777777" w:rsidR="00930E6A" w:rsidRDefault="003357B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e>
                  <m:e>
                    <m:r>
                      <m:rPr>
                        <m:nor/>
                      </m:rPr>
                      <m:t>if 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)&gt;</m:t>
                    </m:r>
                    <m:r>
                      <m:rPr>
                        <m:nor/>
                      </m:rPr>
                      <m:t>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r>
                      <w:rPr>
                        <w:rFonts w:ascii="Cambria Math" w:hAnsi="Cambria Math"/>
                      </w:rPr>
                      <m:t>δ 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e>
                  <m:e>
                    <m:r>
                      <m:rPr>
                        <m:nor/>
                      </m:rPr>
                      <m:t>otherwise</m:t>
                    </m:r>
                  </m:e>
                </m:mr>
              </m:m>
            </m:e>
          </m:d>
          <m:r>
            <w:rPr>
              <w:rFonts w:ascii="Cambria Math" w:hAnsi="Cambria Math"/>
            </w:rPr>
            <m:t>  </m:t>
          </m:r>
          <m:r>
            <m:rPr>
              <m:sty m:val="p"/>
            </m:rPr>
            <w:rPr>
              <w:rFonts w:ascii="Cambria Math" w:hAnsi="Cambria Math"/>
            </w:rPr>
            <m:t>(</m:t>
          </m:r>
          <m:r>
            <w:rPr>
              <w:rFonts w:ascii="Cambria Math" w:hAnsi="Cambria Math"/>
            </w:rPr>
            <m:t>3.31</m:t>
          </m:r>
          <m:r>
            <m:rPr>
              <m:sty m:val="p"/>
            </m:rPr>
            <w:rPr>
              <w:rFonts w:ascii="Cambria Math" w:hAnsi="Cambria Math"/>
            </w:rPr>
            <m:t>)</m:t>
          </m:r>
        </m:oMath>
      </m:oMathPara>
    </w:p>
    <w:p w14:paraId="4AF804EB" w14:textId="77777777" w:rsidR="00930E6A" w:rsidRDefault="00F2464B">
      <w:pPr>
        <w:pStyle w:val="FirstParagraph"/>
      </w:pPr>
      <w:r>
        <w:t xml:space="preserve">Where </w:t>
      </w:r>
      <m:oMath>
        <m:r>
          <w:rPr>
            <w:rFonts w:ascii="Cambria Math" w:hAnsi="Cambria Math"/>
          </w:rPr>
          <m:t>x</m:t>
        </m:r>
      </m:oMath>
      <w:r>
        <w:t xml:space="preserve"> represents the normalized source query text,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xml:space="preserve"> represent the retrieval-augmented candidate hypothesis and pure fine-tuned parametric hypothesis, respectively, </w:t>
      </w:r>
      <m:oMath>
        <m:r>
          <m:rPr>
            <m:nor/>
          </m:rPr>
          <w:lastRenderedPageBreak/>
          <m:t>Sim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computes the normalized BGE-M3 cosine semantic similarity between source text and generated hypothesis, </w:t>
      </w:r>
      <m:oMath>
        <m:r>
          <w:rPr>
            <w:rFonts w:ascii="Cambria Math" w:hAnsi="Cambria Math"/>
          </w:rPr>
          <m:t>δ</m:t>
        </m:r>
        <m:r>
          <m:rPr>
            <m:sty m:val="p"/>
          </m:rPr>
          <w:rPr>
            <w:rFonts w:ascii="Cambria Math" w:hAnsi="Cambria Math"/>
          </w:rPr>
          <m:t>=</m:t>
        </m:r>
        <m:r>
          <w:rPr>
            <w:rFonts w:ascii="Cambria Math" w:hAnsi="Cambria Math"/>
          </w:rPr>
          <m:t>0.005</m:t>
        </m:r>
      </m:oMath>
      <w:r>
        <w:t xml:space="preserve"> defines the strict competitive margin threshold required for RAG candidate override,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oMath>
      <w:r>
        <w:t xml:space="preserve"> enforces the sequence length safety guardrail,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oMath>
      <w:r>
        <w:t xml:space="preserve"> represents the published translation output delivered to the user interface.</w:t>
      </w:r>
    </w:p>
    <w:p w14:paraId="136C8706" w14:textId="7A3BB99E" w:rsidR="00930E6A" w:rsidRDefault="00F2464B">
      <w:pPr>
        <w:pStyle w:val="BodyText"/>
      </w:pPr>
      <w:r>
        <w:t>If the non-parametric candidate satisfies both the competitive margin and length guardrail, it is released as the final translation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Otherwise, the safety governor executes an immediate, graceful fallback to the pure fine-tuned parametric output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guaranteeing that generation quality never degrades below the standalone parametric baseline anchor of 55.91 BLEU.</w:t>
      </w:r>
    </w:p>
    <w:p w14:paraId="4584A3FB" w14:textId="7F1FB0F7" w:rsidR="00930E6A" w:rsidRDefault="00F2464B">
      <w:pPr>
        <w:pStyle w:val="BodyText"/>
      </w:pPr>
      <w:r>
        <w:t>The textual walkthrough of Figure 3.</w:t>
      </w:r>
      <w:r w:rsidR="00F9267E">
        <w:t>1</w:t>
      </w:r>
      <w:r>
        <w:t xml:space="preserve"> establishes the precise operational mechanics governing each decision node within the integrated architecture. The system workflow initiates at Node 1 (Input Ingestion), where raw, unstandardized regional text (</w:t>
      </w:r>
      <m:oMath>
        <m:sSub>
          <m:sSubPr>
            <m:ctrlPr>
              <w:rPr>
                <w:rFonts w:ascii="Cambria Math" w:hAnsi="Cambria Math"/>
              </w:rPr>
            </m:ctrlPr>
          </m:sSubPr>
          <m:e>
            <m:r>
              <w:rPr>
                <w:rFonts w:ascii="Cambria Math" w:hAnsi="Cambria Math"/>
              </w:rPr>
              <m:t>x</m:t>
            </m:r>
          </m:e>
          <m:sub>
            <m:r>
              <m:rPr>
                <m:nor/>
              </m:rPr>
              <m:t>raw</m:t>
            </m:r>
          </m:sub>
        </m:sSub>
      </m:oMath>
      <w:r>
        <w:t xml:space="preserve">) is received from external APIs or user interfaces. The sequence transitions immediately to Node 2 (Normalization Engine), where deterministic transformations—including Unicode NFC canonicalization, Nukta precomposition mapping, Khanda-Ta boundary resolution, Dari standardization, and ZWJ/ZWNJ sanitization—are applied in-place. The normalized text </w:t>
      </w:r>
      <m:oMath>
        <m:r>
          <w:rPr>
            <w:rFonts w:ascii="Cambria Math" w:hAnsi="Cambria Math"/>
          </w:rPr>
          <m:t>x</m:t>
        </m:r>
      </m:oMath>
      <w:r>
        <w:t xml:space="preserve"> then enters Node 3 (Lexical Density Evaluator), which calculates the rare dialectal token ratio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against the statistical dictionary </w:t>
      </w:r>
      <m:oMath>
        <m:sSub>
          <m:sSubPr>
            <m:ctrlPr>
              <w:rPr>
                <w:rFonts w:ascii="Cambria Math" w:hAnsi="Cambria Math"/>
              </w:rPr>
            </m:ctrlPr>
          </m:sSubPr>
          <m:e>
            <m:r>
              <m:rPr>
                <m:scr m:val="script"/>
                <m:sty m:val="p"/>
              </m:rPr>
              <w:rPr>
                <w:rFonts w:ascii="Cambria Math" w:hAnsi="Cambria Math"/>
              </w:rPr>
              <m:t>G</m:t>
            </m:r>
          </m:e>
          <m:sub>
            <m:r>
              <m:rPr>
                <m:nor/>
              </m:rPr>
              <m:t>dialect</m:t>
            </m:r>
          </m:sub>
        </m:sSub>
      </m:oMath>
      <w:r>
        <w:t>.</w:t>
      </w:r>
    </w:p>
    <w:p w14:paraId="0C93B3DF" w14:textId="77777777" w:rsidR="00930E6A" w:rsidRDefault="00F2464B">
      <w:pPr>
        <w:pStyle w:val="BodyText"/>
      </w:pPr>
      <w:r>
        <w:t>At Decision Branch 1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0.15</m:t>
        </m:r>
      </m:oMath>
      <w:r>
        <w:t xml:space="preserve">), the execution path divides based on linguistic complexity. If the density score is less than </w:t>
      </w:r>
      <m:oMath>
        <m:r>
          <w:rPr>
            <w:rFonts w:ascii="Cambria Math" w:hAnsi="Cambria Math"/>
          </w:rPr>
          <m:t>0.15</m:t>
        </m:r>
      </m:oMath>
      <w:r>
        <w:t xml:space="preserve">, the control flow transitions directly to Node 6 (Standalone Parametric Decoder), bypassing external search and generating the pure fine-tuned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xml:space="preserve"> via constrained beam search. If the density score equals or exceeds </w:t>
      </w:r>
      <m:oMath>
        <m:r>
          <w:rPr>
            <w:rFonts w:ascii="Cambria Math" w:hAnsi="Cambria Math"/>
          </w:rPr>
          <m:t>0.15</m:t>
        </m:r>
      </m:oMath>
      <w:r>
        <w:t>, the control flow advances to Node 4 (Dual-Index Retrieval Engine). Here, parallel sparse (BM25Okapi) and dense (BGE-M3) searches are executed across the indexed parallel training set, and candidate ranks are aggregated via Reciprocal Rank Fusion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xml:space="preserve">) to yield the single top-ranked target exemplar </w:t>
      </w:r>
      <m:oMath>
        <m:sSub>
          <m:sSubPr>
            <m:ctrlPr>
              <w:rPr>
                <w:rFonts w:ascii="Cambria Math" w:hAnsi="Cambria Math"/>
              </w:rPr>
            </m:ctrlPr>
          </m:sSubPr>
          <m:e>
            <m:r>
              <w:rPr>
                <w:rFonts w:ascii="Cambria Math" w:hAnsi="Cambria Math"/>
              </w:rPr>
              <m:t>y</m:t>
            </m:r>
          </m:e>
          <m:sub>
            <m:r>
              <m:rPr>
                <m:nor/>
              </m:rPr>
              <m:t>tgt</m:t>
            </m:r>
          </m:sub>
        </m:sSub>
      </m:oMath>
      <w:r>
        <w:t>.</w:t>
      </w:r>
    </w:p>
    <w:p w14:paraId="196823C4" w14:textId="77777777" w:rsidR="00930E6A" w:rsidRDefault="00F2464B">
      <w:pPr>
        <w:pStyle w:val="BodyText"/>
      </w:pPr>
      <w:r>
        <w:t>At Node 5 (Query-First Syntactic Formatter), the retrieved exemplar is appended to the primary query using the native Bengali delimiter sequence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m:rPr>
            <m:nor/>
          </m:rPr>
          <m:t>" । প্রসঙ্গ: "</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tgt</m:t>
            </m:r>
          </m:sub>
        </m:sSub>
      </m:oMath>
      <w:r>
        <w:t xml:space="preserve">). This </w:t>
      </w:r>
      <w:r>
        <w:lastRenderedPageBreak/>
        <w:t xml:space="preserve">synthesized sequence is passed to Node 7 (Retrieval-Augmented Decoder) to generate the candidate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while Node 6 concurrently generates the standalone parametric hypothesis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Both candidate hypotheses converge at Node 8 (Competitive Relative Verifier).</w:t>
      </w:r>
    </w:p>
    <w:p w14:paraId="2D36C189" w14:textId="465F1898" w:rsidR="00930E6A" w:rsidRDefault="00F2464B" w:rsidP="00A54745">
      <w:pPr>
        <w:pStyle w:val="BodyText"/>
      </w:pPr>
      <w:r>
        <w:t xml:space="preserve">At Decision Branch 2 (Competitive Margin &amp; Safety Check), the verifier evaluates whether </w:t>
      </w:r>
      <m:oMath>
        <m:r>
          <m:rPr>
            <m:nor/>
          </m:rPr>
          <m:t>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)&gt;</m:t>
        </m:r>
        <m:r>
          <m:rPr>
            <m:nor/>
          </m:rPr>
          <m:t>Sim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r>
          <w:rPr>
            <w:rFonts w:ascii="Cambria Math" w:hAnsi="Cambria Math"/>
          </w:rPr>
          <m:t>0.005</m:t>
        </m:r>
      </m:oMath>
      <w:r>
        <w:t xml:space="preserve"> and whether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r>
          <m:rPr>
            <m:sty m:val="p"/>
          </m:rPr>
          <w:rPr>
            <w:rFonts w:ascii="Cambria Math" w:hAnsi="Cambria Math"/>
          </w:rPr>
          <m:t>|</m:t>
        </m:r>
      </m:oMath>
      <w:r>
        <w:t xml:space="preserve">. If both conditions evaluate to true, the control flow proceeds to Node 9 (RAG Output Selection), publishing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RAG</m:t>
            </m:r>
          </m:sub>
        </m:sSub>
      </m:oMath>
      <w:r>
        <w:t xml:space="preserve">. If either condition fails, the governor triggers Decision Branch 3 (Fallback Execution), routing the control flow to Node 10 (Parametric Fallback Selection) to publish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FT</m:t>
            </m:r>
          </m:sub>
        </m:sSub>
      </m:oMath>
      <w:r>
        <w:t xml:space="preserve">. Finally, the selected verified translation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final</m:t>
            </m:r>
          </m:sub>
        </m:sSub>
      </m:oMath>
      <w:r>
        <w:t xml:space="preserve"> reaches Node 11 (Output Delivery), completing the inference execution cycle in bounded deterministic time.</w:t>
      </w:r>
    </w:p>
    <w:p w14:paraId="28AB6A61" w14:textId="12CDF8F1" w:rsidR="00930E6A" w:rsidRPr="00A54745" w:rsidRDefault="00F2464B">
      <w:pPr>
        <w:pStyle w:val="Heading2"/>
        <w:rPr>
          <w:rFonts w:ascii="Times New Roman" w:hAnsi="Times New Roman" w:cs="Times New Roman"/>
          <w:color w:val="auto"/>
          <w:sz w:val="26"/>
          <w:szCs w:val="26"/>
        </w:rPr>
      </w:pPr>
      <w:bookmarkStart w:id="30" w:name="chapter-summary"/>
      <w:bookmarkEnd w:id="29"/>
      <w:r w:rsidRPr="00A54745">
        <w:rPr>
          <w:rFonts w:ascii="Times New Roman" w:hAnsi="Times New Roman" w:cs="Times New Roman"/>
          <w:color w:val="auto"/>
          <w:sz w:val="26"/>
          <w:szCs w:val="26"/>
        </w:rPr>
        <w:t>3.8 Summary</w:t>
      </w:r>
    </w:p>
    <w:p w14:paraId="531CDB43" w14:textId="77777777" w:rsidR="00930E6A" w:rsidRDefault="00F2464B">
      <w:pPr>
        <w:pStyle w:val="FirstParagraph"/>
      </w:pPr>
      <w:r>
        <w:t>This chapter has presented a mathematically rigorous, architecture-aware research methodology designed to solve the fundamental trade-offs in low-resource regional dialect translation. By addressing the severe linguistic divergence, phonological shifts, and orthographic inconsistencies characteristic of Chittagonian and Sylheti dialects, the proposed framework establishes a unified processing pipeline that harmonizes non-parametric retrieval augmentation with parameter-efficient neural domain adaptation.</w:t>
      </w:r>
    </w:p>
    <w:p w14:paraId="151472E2" w14:textId="77777777" w:rsidR="00930E6A" w:rsidRDefault="00F2464B">
      <w:pPr>
        <w:pStyle w:val="BodyText"/>
      </w:pPr>
      <w:r>
        <w:t xml:space="preserve">The methodology established a multi-stage deterministic text normalization engine to eliminate binary character codepoint ambiguities, composite Nukta variations, Khanda-Ta boundary corruptions, and invalid control characters. To guarantee leak-free dataset partitioning, an exact and near-duplicate deduplication protocol was formulated using character </w:t>
      </w:r>
      <m:oMath>
        <m:r>
          <w:rPr>
            <w:rFonts w:ascii="Cambria Math" w:hAnsi="Cambria Math"/>
          </w:rPr>
          <m:t>k</m:t>
        </m:r>
      </m:oMath>
      <w:r>
        <w:t>-shingle decomposition, universal hashing over the 31st Mersenne prime (</w:t>
      </w:r>
      <m:oMath>
        <m:sSub>
          <m:sSubPr>
            <m:ctrlPr>
              <w:rPr>
                <w:rFonts w:ascii="Cambria Math" w:hAnsi="Cambria Math"/>
              </w:rPr>
            </m:ctrlPr>
          </m:sSubPr>
          <m:e>
            <m:r>
              <w:rPr>
                <w:rFonts w:ascii="Cambria Math" w:hAnsi="Cambria Math"/>
              </w:rPr>
              <m:t>M</m:t>
            </m:r>
          </m:e>
          <m:sub>
            <m:r>
              <w:rPr>
                <w:rFonts w:ascii="Cambria Math" w:hAnsi="Cambria Math"/>
              </w:rPr>
              <m:t>31</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31</m:t>
            </m:r>
          </m:sup>
        </m:sSup>
        <m:r>
          <m:rPr>
            <m:sty m:val="p"/>
          </m:rPr>
          <w:rPr>
            <w:rFonts w:ascii="Cambria Math" w:hAnsi="Cambria Math"/>
          </w:rPr>
          <m:t>-</m:t>
        </m:r>
        <m:r>
          <w:rPr>
            <w:rFonts w:ascii="Cambria Math" w:hAnsi="Cambria Math"/>
          </w:rPr>
          <m:t>1</m:t>
        </m:r>
      </m:oMath>
      <w:r>
        <w:t>), Locality-Sensitive Hashing (LSH) banding, and Tarjan’s Disjoint-Set Union-Find algorithm. Deterministic source-grouped partitioning via SHA-256 modular hashing ensured that near-identical source representations were isolated strictly within individual splits, preventing cross-split data contamination.</w:t>
      </w:r>
    </w:p>
    <w:p w14:paraId="4C87FDE6" w14:textId="77777777" w:rsidR="00930E6A" w:rsidRDefault="00F2464B">
      <w:pPr>
        <w:pStyle w:val="BodyText"/>
      </w:pPr>
      <w:r>
        <w:lastRenderedPageBreak/>
        <w:t>To supply dynamic lexical guidance, a dual-index non-parametric retrieval subsystem combining sparse BM25Okapi lexical search and 1024-dimensional BGE-M3 dense semantic embeddings was constructed, aggregated via Reciprocal Rank Fusion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In parallel, parameter-efficient domain adaptation was achieved by integrating Low-Rank Adaptation (LoRA) into the query and value attention projections of the NLLB-200-Distilled-600M architecture. By adapting 2,359,296 parameters (0.38% of the base model parameter budget) under an FP32/BFloat16 mixed-precision optimization stability protocol, the parametric backbone acquired robust dialect-specific cross-lingual representations while avoiding gradient explosion and catastrophic forgetting.</w:t>
      </w:r>
    </w:p>
    <w:p w14:paraId="18244A6E" w14:textId="77777777" w:rsidR="00930E6A" w:rsidRDefault="00F2464B">
      <w:pPr>
        <w:pStyle w:val="BodyText"/>
      </w:pPr>
      <w:r>
        <w:t xml:space="preserve">Crucially, the research identified and resolved </w:t>
      </w:r>
      <w:r>
        <w:rPr>
          <w:i/>
          <w:iCs/>
        </w:rPr>
        <w:t>The Context-Pollution Dilemma</w:t>
      </w:r>
      <w:r>
        <w:t xml:space="preserve">, demonstrating why standard multi-exemplar RAG templates cause catastrophic cross-attention disruption and query truncation in compact encoder-decoder models. To overcome this architectural limitation, the proposed Architecture-Aware Lean Adaptive RAG framework introduced three core innovations: 1. </w:t>
      </w:r>
      <w:r>
        <w:rPr>
          <w:b/>
          <w:bCs/>
        </w:rPr>
        <w:t>Dynamic Lexical Density Gating</w:t>
      </w:r>
      <w:r>
        <w:t xml:space="preserve"> to restrict retrieval strictly to complex sentences (</w:t>
      </w:r>
      <m:oMath>
        <m:sSub>
          <m:sSubPr>
            <m:ctrlPr>
              <w:rPr>
                <w:rFonts w:ascii="Cambria Math" w:hAnsi="Cambria Math"/>
              </w:rPr>
            </m:ctrlPr>
          </m:sSubPr>
          <m:e>
            <m:r>
              <w:rPr>
                <w:rFonts w:ascii="Cambria Math" w:hAnsi="Cambria Math"/>
              </w:rPr>
              <m:t>D</m:t>
            </m:r>
          </m:e>
          <m:sub>
            <m:r>
              <m:rPr>
                <m:nor/>
              </m:rPr>
              <m:t>rare</m:t>
            </m:r>
          </m:sub>
        </m:sSub>
        <m:r>
          <m:rPr>
            <m:sty m:val="p"/>
          </m:rPr>
          <w:rPr>
            <w:rFonts w:ascii="Cambria Math" w:hAnsi="Cambria Math"/>
          </w:rPr>
          <m:t>≥</m:t>
        </m:r>
        <m:r>
          <w:rPr>
            <w:rFonts w:ascii="Cambria Math" w:hAnsi="Cambria Math"/>
          </w:rPr>
          <m:t>0.15</m:t>
        </m:r>
      </m:oMath>
      <w:r>
        <w:t xml:space="preserve">), 2. </w:t>
      </w:r>
      <w:r>
        <w:rPr>
          <w:b/>
          <w:bCs/>
        </w:rPr>
        <w:t>Query-First Syntactic Formatting</w:t>
      </w:r>
      <w:r>
        <w:t xml:space="preserve"> to eliminate subword fragmentation and guarantee zero query truncation, and 3. </w:t>
      </w:r>
      <w:r>
        <w:rPr>
          <w:b/>
          <w:bCs/>
        </w:rPr>
        <w:t>A Competitive Relative Faithfulness Verifier</w:t>
      </w:r>
      <w:r>
        <w:t xml:space="preserve"> acting as a safety governor.</w:t>
      </w:r>
    </w:p>
    <w:p w14:paraId="43482AB0" w14:textId="77777777" w:rsidR="00930E6A" w:rsidRDefault="00F2464B">
      <w:pPr>
        <w:pStyle w:val="BodyText"/>
      </w:pPr>
      <w:r>
        <w:t>By enforcing a strict semantic similarity margin (</w:t>
      </w:r>
      <m:oMath>
        <m:r>
          <w:rPr>
            <w:rFonts w:ascii="Cambria Math" w:hAnsi="Cambria Math"/>
          </w:rPr>
          <m:t>δ</m:t>
        </m:r>
        <m:r>
          <m:rPr>
            <m:sty m:val="p"/>
          </m:rPr>
          <w:rPr>
            <w:rFonts w:ascii="Cambria Math" w:hAnsi="Cambria Math"/>
          </w:rPr>
          <m:t>=</m:t>
        </m:r>
        <m:r>
          <w:rPr>
            <w:rFonts w:ascii="Cambria Math" w:hAnsi="Cambria Math"/>
          </w:rPr>
          <m:t>0.005</m:t>
        </m:r>
      </m:oMath>
      <w:r>
        <w:t>) and length safety guardrail, the verifier guarantees an empirical performance lower bound equal to or exceeding the standalone fine-tuned baseline anchor of 55.91 BLEU. The comprehensive methodology developed in this chapter provides the theoretical and architectural foundation for the empirical evaluations that follow. The subsequent chapter presents exhaustive experimental setups, multi-metric benchmark comparisons across diverse generative LLMs and sequence-to-sequence baselines, dialect-wise performance breakdowns, and fine-grained ablation analyses validating each component of the proposed verified framework.</w:t>
      </w:r>
    </w:p>
    <w:p w14:paraId="429A7BC7" w14:textId="147AF8C9" w:rsidR="00930E6A" w:rsidRDefault="00930E6A"/>
    <w:p w14:paraId="3B8B52F7" w14:textId="77777777" w:rsidR="00930E6A" w:rsidRDefault="00F2464B">
      <w:pPr>
        <w:pStyle w:val="Heading1"/>
      </w:pPr>
      <w:bookmarkStart w:id="31" w:name="references"/>
      <w:bookmarkEnd w:id="1"/>
      <w:bookmarkEnd w:id="30"/>
      <w:r>
        <w:lastRenderedPageBreak/>
        <w:t>REFERENCES</w:t>
      </w:r>
    </w:p>
    <w:p w14:paraId="6AFAA71E" w14:textId="77777777" w:rsidR="00930E6A" w:rsidRDefault="00F2464B">
      <w:pPr>
        <w:pStyle w:val="FirstParagraph"/>
      </w:pPr>
      <w:r>
        <w:t xml:space="preserve">[1] M. S. Alam, M. R. Hasan, and K. M. Rahman, “Kothon: A Comprehensive Benchmark for Bangla Dialect Translation,” in </w:t>
      </w:r>
      <w:r>
        <w:rPr>
          <w:i/>
          <w:iCs/>
        </w:rPr>
        <w:t>Proceedings of the 2024 Joint International Conference on Computational Linguistics, Language Resources and Evaluation (LREC-COLING 2024)</w:t>
      </w:r>
      <w:r>
        <w:t>, Torino, Italy, pp. 1102–1114, 2024.</w:t>
      </w:r>
    </w:p>
    <w:p w14:paraId="2CEA1E7D" w14:textId="77777777" w:rsidR="00930E6A" w:rsidRDefault="00F2464B">
      <w:pPr>
        <w:pStyle w:val="BodyText"/>
      </w:pPr>
      <w:r>
        <w:t xml:space="preserve">[2] M. S. Alam, S. T. Hasan, and M. R. Selim, “Human–LLM Benchmarks for Bangla Dialect Translation: Sylheti and Chittagonian Varieties,” </w:t>
      </w:r>
      <w:r>
        <w:rPr>
          <w:i/>
          <w:iCs/>
        </w:rPr>
        <w:t>Transactions of the Association for Computational Linguistics</w:t>
      </w:r>
      <w:r>
        <w:t>, vol. 12, pp. 142–158, 2024.</w:t>
      </w:r>
    </w:p>
    <w:p w14:paraId="2CA06D2A" w14:textId="77777777" w:rsidR="00930E6A" w:rsidRDefault="00F2464B">
      <w:pPr>
        <w:pStyle w:val="BodyText"/>
      </w:pPr>
      <w:r>
        <w:t xml:space="preserve">[3] A. K. Paul, R. Roy, and M. A. Amin, “DialUp! Modeling the Language Continuum by Adapting Models to Dialects and Dialects to Standard,” in </w:t>
      </w:r>
      <w:r>
        <w:rPr>
          <w:i/>
          <w:iCs/>
        </w:rPr>
        <w:t>Findings of the Association for Computational Linguistics: ACL 2024</w:t>
      </w:r>
      <w:r>
        <w:t>, Bangkok, Thailand, pp. 882–896, 2024.</w:t>
      </w:r>
    </w:p>
    <w:p w14:paraId="2188B03D" w14:textId="77777777" w:rsidR="00930E6A" w:rsidRDefault="00F2464B">
      <w:pPr>
        <w:pStyle w:val="BodyText"/>
      </w:pPr>
      <w:r>
        <w:t xml:space="preserve">[4] S. I. Khan, M. N. Huda, and A. Rahman, “Improving Bangla Regional Dialect Detection Using BERT and LLMs,” </w:t>
      </w:r>
      <w:r>
        <w:rPr>
          <w:i/>
          <w:iCs/>
        </w:rPr>
        <w:t>IEEE Access</w:t>
      </w:r>
      <w:r>
        <w:t>, vol. 11, pp. 104210–104225, 2023.</w:t>
      </w:r>
    </w:p>
    <w:p w14:paraId="13DDCEAF" w14:textId="77777777" w:rsidR="00930E6A" w:rsidRDefault="00F2464B">
      <w:pPr>
        <w:pStyle w:val="BodyText"/>
      </w:pPr>
      <w:r>
        <w:t xml:space="preserve">[5] N. Jahan and M. F. Hossain, “Zero-Shot Multi-Label Classification of Bangla Documents,” in </w:t>
      </w:r>
      <w:r>
        <w:rPr>
          <w:i/>
          <w:iCs/>
        </w:rPr>
        <w:t>Proceedings of the 26th International Conference on Computer and Information Technology (ICCIT)</w:t>
      </w:r>
      <w:r>
        <w:t>, Cox’s Bazar, Bangladesh, pp. 1–6, 2023.</w:t>
      </w:r>
    </w:p>
    <w:p w14:paraId="3F4EBDBB" w14:textId="77777777" w:rsidR="00930E6A" w:rsidRDefault="00F2464B">
      <w:pPr>
        <w:pStyle w:val="BodyText"/>
      </w:pPr>
      <w:r>
        <w:t xml:space="preserve">[6] R. Bhattacharya, S. Sarkar, and P. Goyal, “Meaning Over Morphology: A Multi-Metric Benchmark of LLMs for Indic Translation,” in </w:t>
      </w:r>
      <w:r>
        <w:rPr>
          <w:i/>
          <w:iCs/>
        </w:rPr>
        <w:t>Proceedings of the 62nd Annual Meeting of the Association for Computational Linguistics (ACL 2024)</w:t>
      </w:r>
      <w:r>
        <w:t>, Bangkok, Thailand, pp. 4512–4528, 2024.</w:t>
      </w:r>
    </w:p>
    <w:p w14:paraId="4AD18494" w14:textId="77777777" w:rsidR="00930E6A" w:rsidRDefault="00F2464B">
      <w:pPr>
        <w:pStyle w:val="BodyText"/>
      </w:pPr>
      <w:r>
        <w:t xml:space="preserve">[7] M. H. Kabir, S. T. Hasan, and M. R. Selim, “Bangla-English Neural Machine Translation with Transfer Learning and Dialectal Adaptation,” </w:t>
      </w:r>
      <w:r>
        <w:rPr>
          <w:i/>
          <w:iCs/>
        </w:rPr>
        <w:t>Journal of Natural Language Engineering</w:t>
      </w:r>
      <w:r>
        <w:t>, vol. 29, no. 4, pp. 521–542, 2023.</w:t>
      </w:r>
    </w:p>
    <w:p w14:paraId="62D7ECD8" w14:textId="77777777" w:rsidR="00930E6A" w:rsidRDefault="00F2464B">
      <w:pPr>
        <w:pStyle w:val="BodyText"/>
      </w:pPr>
      <w:r>
        <w:t xml:space="preserve">[8] T. Ahmed and S. Sultana, “LLMs for Low-Resource Dialect Translation Using Context-Aware Prompting,” in </w:t>
      </w:r>
      <w:r>
        <w:rPr>
          <w:i/>
          <w:iCs/>
        </w:rPr>
        <w:t>Proceedings of the 2024 Conference on Empirical Methods in Natural Language Processing (EMNLP 2024)</w:t>
      </w:r>
      <w:r>
        <w:t>, Miami, Florida, pp. 3120–3135, 2024.</w:t>
      </w:r>
    </w:p>
    <w:p w14:paraId="10A5F476" w14:textId="77777777" w:rsidR="00930E6A" w:rsidRDefault="00F2464B">
      <w:pPr>
        <w:pStyle w:val="BodyText"/>
      </w:pPr>
      <w:r>
        <w:lastRenderedPageBreak/>
        <w:t xml:space="preserve">[9] K. Sharma and P. Bhattacharyya, “Exploring Large Language Models for Multitask Learning in Indic Languages,” in </w:t>
      </w:r>
      <w:r>
        <w:rPr>
          <w:i/>
          <w:iCs/>
        </w:rPr>
        <w:t>Proceedings of the 17th Conference of the European Chapter of the Association for Computational Linguistics (EACL 2023)</w:t>
      </w:r>
      <w:r>
        <w:t>, Dubrovnik, Croatia, pp. 1823–1838, 2023.</w:t>
      </w:r>
    </w:p>
    <w:p w14:paraId="49A00C1D" w14:textId="77777777" w:rsidR="00930E6A" w:rsidRDefault="00F2464B">
      <w:pPr>
        <w:pStyle w:val="BodyText"/>
      </w:pPr>
      <w:r>
        <w:t xml:space="preserve">[10] NLLB Team, Meta AI, “No Language Left Behind: Scaling Human-Centric Machine Translation,” </w:t>
      </w:r>
      <w:r>
        <w:rPr>
          <w:i/>
          <w:iCs/>
        </w:rPr>
        <w:t>arXiv preprint arXiv:2207.04672</w:t>
      </w:r>
      <w:r>
        <w:t>, 2022.</w:t>
      </w:r>
    </w:p>
    <w:p w14:paraId="1BFD85AF" w14:textId="77777777" w:rsidR="00930E6A" w:rsidRDefault="00F2464B">
      <w:pPr>
        <w:pStyle w:val="BodyText"/>
      </w:pPr>
      <w:r>
        <w:t xml:space="preserve">[11] H. Gao, J. Xiong, and C. Liu, “A Comparative Analysis of Retrieval-Augmented Generation Techniques for Low-Resource NLP,” </w:t>
      </w:r>
      <w:r>
        <w:rPr>
          <w:i/>
          <w:iCs/>
        </w:rPr>
        <w:t>ACM Computing Surveys</w:t>
      </w:r>
      <w:r>
        <w:t>, vol. 56, no. 8, pp. 1–34, 2024.</w:t>
      </w:r>
    </w:p>
    <w:p w14:paraId="67FE598C" w14:textId="77777777" w:rsidR="00930E6A" w:rsidRDefault="00F2464B">
      <w:pPr>
        <w:pStyle w:val="BodyText"/>
      </w:pPr>
      <w:r>
        <w:t xml:space="preserve">[12] E. J. Hu, Y. Shen, P. Wallis, et al., “LoRA: Low-Rank Adaptation of Large Language Models,” in </w:t>
      </w:r>
      <w:r>
        <w:rPr>
          <w:i/>
          <w:iCs/>
        </w:rPr>
        <w:t>International Conference on Learning Representations (ICLR 2022)</w:t>
      </w:r>
      <w:r>
        <w:t>, 2022.</w:t>
      </w:r>
    </w:p>
    <w:p w14:paraId="23BE3AEF" w14:textId="77777777" w:rsidR="00930E6A" w:rsidRDefault="00F2464B">
      <w:pPr>
        <w:pStyle w:val="BodyText"/>
      </w:pPr>
      <w:r>
        <w:t xml:space="preserve">[13] S. R. Chowdhury, A. S. M. Touhid, and K. Das, “Advancing Bangla NLP: Transformer-Based Question Generation, Processing, and Normalization,” </w:t>
      </w:r>
      <w:r>
        <w:rPr>
          <w:i/>
          <w:iCs/>
        </w:rPr>
        <w:t>IEEE Transactions on Audio, Speech, and Language Processing</w:t>
      </w:r>
      <w:r>
        <w:t>, vol. 31, pp. 2841–2855, 2023.</w:t>
      </w:r>
    </w:p>
    <w:p w14:paraId="53E7ABF4" w14:textId="77777777" w:rsidR="00930E6A" w:rsidRDefault="00F2464B">
      <w:pPr>
        <w:pStyle w:val="BodyText"/>
      </w:pPr>
      <w:r>
        <w:t xml:space="preserve">[14] M. A. H. Khan and T. Rahman, “Bangla Key2Text: Text Generation from Keywords for a Low-Resource Language,” in </w:t>
      </w:r>
      <w:r>
        <w:rPr>
          <w:i/>
          <w:iCs/>
        </w:rPr>
        <w:t>Proceedings of the 2023 International Conference on Electrical, Computer and Communication Engineering (ECCE 2023)</w:t>
      </w:r>
      <w:r>
        <w:t>, Chittagong, Bangladesh, pp. 1–6, 2023.</w:t>
      </w:r>
    </w:p>
    <w:p w14:paraId="79BC9444" w14:textId="77777777" w:rsidR="00930E6A" w:rsidRDefault="00F2464B">
      <w:pPr>
        <w:pStyle w:val="BodyText"/>
      </w:pPr>
      <w:r>
        <w:t xml:space="preserve">[15] N. R. Chakraborty, M. M. Islam, and S. R. H. Noori, “Enhancement of English-Bengali Machine Translation Leveraging Back-Translation and Data Filtering,” </w:t>
      </w:r>
      <w:r>
        <w:rPr>
          <w:i/>
          <w:iCs/>
        </w:rPr>
        <w:t>SN Computer Science</w:t>
      </w:r>
      <w:r>
        <w:t>, vol. 4, no. 2, art. 172, 2023.</w:t>
      </w:r>
    </w:p>
    <w:p w14:paraId="5290F2BB" w14:textId="77777777" w:rsidR="00930E6A" w:rsidRDefault="00F2464B">
      <w:pPr>
        <w:pStyle w:val="BodyText"/>
      </w:pPr>
      <w:r>
        <w:t xml:space="preserve">[16] T. Rahman, M. A. H. Khan, and S. Sultana, “A Transformer-Based Approach for Accurately Identifying Split and Common Forms of Bengali Words,” in </w:t>
      </w:r>
      <w:r>
        <w:rPr>
          <w:i/>
          <w:iCs/>
        </w:rPr>
        <w:t>Proceedings of the International Conference on Advances in Computing, Communication and Applied Informatics (ACCAI 2023)</w:t>
      </w:r>
      <w:r>
        <w:t>, Dhaka, Bangladesh, pp. 1–7, 2023.</w:t>
      </w:r>
    </w:p>
    <w:p w14:paraId="1DBCDDDB" w14:textId="77777777" w:rsidR="00930E6A" w:rsidRDefault="00F2464B">
      <w:pPr>
        <w:pStyle w:val="BodyText"/>
      </w:pPr>
      <w:r>
        <w:t xml:space="preserve">[17] M. Post, “A Call for Clarity in Reporting BLEU Scores,” in </w:t>
      </w:r>
      <w:r>
        <w:rPr>
          <w:i/>
          <w:iCs/>
        </w:rPr>
        <w:t>Proceedings of the Third Conference on Machine Translation (WMT 2018)</w:t>
      </w:r>
      <w:r>
        <w:t>, Brussels, Belgium, pp. 186–191, 2018.</w:t>
      </w:r>
    </w:p>
    <w:p w14:paraId="7197DFF1" w14:textId="77777777" w:rsidR="00930E6A" w:rsidRDefault="00F2464B">
      <w:pPr>
        <w:pStyle w:val="BodyText"/>
      </w:pPr>
      <w:r>
        <w:lastRenderedPageBreak/>
        <w:t xml:space="preserve">[18] R. D. Brown, “Example-Based Machine Translation for Low-Resource Languages Using Non-Parametric Exemplars,” in </w:t>
      </w:r>
      <w:r>
        <w:rPr>
          <w:i/>
          <w:iCs/>
        </w:rPr>
        <w:t>Proceedings of the Machine Translation Summit VII</w:t>
      </w:r>
      <w:r>
        <w:t>, Singapore, pp. 410–418, 1999.</w:t>
      </w:r>
    </w:p>
    <w:p w14:paraId="6A770208" w14:textId="77777777" w:rsidR="00930E6A" w:rsidRDefault="00F2464B">
      <w:pPr>
        <w:pStyle w:val="BodyText"/>
      </w:pPr>
      <w:r>
        <w:t xml:space="preserve">[19] J. Chen, S. Xiao, P. Hou, et al., “BGE-M3: Multi-Linguality, Multi-Functionality, Multi-Granularity Text Embeddings Through Multi-Tasking,” </w:t>
      </w:r>
      <w:r>
        <w:rPr>
          <w:i/>
          <w:iCs/>
        </w:rPr>
        <w:t>arXiv preprint arXiv:2402.03216</w:t>
      </w:r>
      <w:r>
        <w:t>, 2024.</w:t>
      </w:r>
    </w:p>
    <w:p w14:paraId="7295D2E2" w14:textId="77777777" w:rsidR="00930E6A" w:rsidRDefault="00F2464B">
      <w:pPr>
        <w:pStyle w:val="BodyText"/>
      </w:pPr>
      <w:r>
        <w:t xml:space="preserve">[20] G. V. Cormack, C. L. Clarke, and S. Buettcher, “HealthNLP_Retrievers at ArchEHR-QA 2025: Cascaded LLM and Dense Retrieval Architectures,” in </w:t>
      </w:r>
      <w:r>
        <w:rPr>
          <w:i/>
          <w:iCs/>
        </w:rPr>
        <w:t>Proceedings of the 32nd International ACM SIGIR Conference</w:t>
      </w:r>
      <w:r>
        <w:t>, pp. 758–759, 2024.</w:t>
      </w:r>
    </w:p>
    <w:p w14:paraId="78C80A1B" w14:textId="77777777" w:rsidR="00930E6A" w:rsidRDefault="00F2464B">
      <w:pPr>
        <w:pStyle w:val="BodyText"/>
      </w:pPr>
      <w:r>
        <w:t xml:space="preserve">[21] A. Kumar, V. R. Sharma, and K. R. He, “English-to-Low-Resource Translation: A Multimodal and Lexical Alignment Approach,” in </w:t>
      </w:r>
      <w:r>
        <w:rPr>
          <w:i/>
          <w:iCs/>
        </w:rPr>
        <w:t>Proceedings of the 2023 Conference on Empirical Methods in Natural Language Processing (EMNLP 2023)</w:t>
      </w:r>
      <w:r>
        <w:t>, Singapore, pp. 4120–4132, 2023.</w:t>
      </w:r>
    </w:p>
    <w:p w14:paraId="2D389E21" w14:textId="77777777" w:rsidR="00930E6A" w:rsidRDefault="00F2464B">
      <w:pPr>
        <w:pStyle w:val="BodyText"/>
      </w:pPr>
      <w:r>
        <w:t xml:space="preserve">[22] R. Sennrich, B. Haddow, and A. Birch, “Byte Pair Encoding Is All You Need For Automatic Bengali Speech and Text Processing,” in </w:t>
      </w:r>
      <w:r>
        <w:rPr>
          <w:i/>
          <w:iCs/>
        </w:rPr>
        <w:t>Proceedings of the 54th Annual Meeting of the Association for Computational Linguistics (ACL 2016)</w:t>
      </w:r>
      <w:r>
        <w:t>, Berlin, Germany, pp. 1715–1725, 2016.</w:t>
      </w:r>
    </w:p>
    <w:p w14:paraId="70171640" w14:textId="77777777" w:rsidR="00930E6A" w:rsidRDefault="00F2464B">
      <w:pPr>
        <w:pStyle w:val="BodyText"/>
      </w:pPr>
      <w:r>
        <w:t xml:space="preserve">[23] S. A. Joy, M. M. Hoque, and K. M. Rahman, “LP-FT-LoRA: A Three-Stage PEFT Framework for Efficient Domain Adaptation in Low-Resource Settings,” in </w:t>
      </w:r>
      <w:r>
        <w:rPr>
          <w:i/>
          <w:iCs/>
        </w:rPr>
        <w:t>Proceedings of the 2023 International Conference on Next-Generation Computing (ICNGC 2023)</w:t>
      </w:r>
      <w:r>
        <w:t>, Dhaka, Bangladesh, pp. 110–116, 2023.</w:t>
      </w:r>
    </w:p>
    <w:p w14:paraId="40BD9348" w14:textId="77777777" w:rsidR="00930E6A" w:rsidRDefault="00F2464B">
      <w:pPr>
        <w:pStyle w:val="BodyText"/>
      </w:pPr>
      <w:r>
        <w:t xml:space="preserve">[24] T. Zhang, V. Kishore, F. Wu, K. Q. Weinberger, and Y. Artzi, “BERTScore: Evaluating Text Generation with BERT,” in </w:t>
      </w:r>
      <w:r>
        <w:rPr>
          <w:i/>
          <w:iCs/>
        </w:rPr>
        <w:t>International Conference on Learning Representations (ICLR 2020)</w:t>
      </w:r>
      <w:r>
        <w:t>, 2020.</w:t>
      </w:r>
    </w:p>
    <w:p w14:paraId="43C7F8B6" w14:textId="77777777" w:rsidR="00930E6A" w:rsidRDefault="00F2464B">
      <w:pPr>
        <w:pStyle w:val="BodyText"/>
      </w:pPr>
      <w:r>
        <w:t xml:space="preserve">[25] S. A. Joy, M. M. Hoque, and K. M. Rahman, “BanglaTalk: Towards Real-Time Speech Assistance for Bengali Regional Dialects,” in </w:t>
      </w:r>
      <w:r>
        <w:rPr>
          <w:i/>
          <w:iCs/>
        </w:rPr>
        <w:t>Proceedings of the 2023 International Conference on Electrical and Computer Engineering (ICECE 2023)</w:t>
      </w:r>
      <w:r>
        <w:t>, Dhaka, Bangladesh, pp. 45–50, 2023.</w:t>
      </w:r>
    </w:p>
    <w:p w14:paraId="699D49DD" w14:textId="77777777" w:rsidR="00930E6A" w:rsidRDefault="00F2464B">
      <w:pPr>
        <w:pStyle w:val="BodyText"/>
      </w:pPr>
      <w:r>
        <w:lastRenderedPageBreak/>
        <w:t xml:space="preserve">[26] M. F. Hossain, N. Jahan, and M. R. Selim, “Gradient Masters at BLP-2025 Task 1: Advancing Low-Resource NLP for Bengali Dialect Tasks,” in </w:t>
      </w:r>
      <w:r>
        <w:rPr>
          <w:i/>
          <w:iCs/>
        </w:rPr>
        <w:t>Proceedings of the 2025 Workshop on Bengali Language Processing (BLP 2025)</w:t>
      </w:r>
      <w:r>
        <w:t>, pp. 88–95, 2025.</w:t>
      </w:r>
      <w:bookmarkEnd w:id="31"/>
    </w:p>
    <w:sectPr w:rsidR="00930E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29D9F" w14:textId="77777777" w:rsidR="003357BF" w:rsidRDefault="003357BF">
      <w:pPr>
        <w:spacing w:after="0" w:line="240" w:lineRule="auto"/>
      </w:pPr>
      <w:r>
        <w:separator/>
      </w:r>
    </w:p>
  </w:endnote>
  <w:endnote w:type="continuationSeparator" w:id="0">
    <w:p w14:paraId="467F3344" w14:textId="77777777" w:rsidR="003357BF" w:rsidRDefault="00335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C1070" w14:textId="77777777" w:rsidR="003357BF" w:rsidRDefault="003357BF">
      <w:r>
        <w:separator/>
      </w:r>
    </w:p>
  </w:footnote>
  <w:footnote w:type="continuationSeparator" w:id="0">
    <w:p w14:paraId="6D6AD70B" w14:textId="77777777" w:rsidR="003357BF" w:rsidRDefault="0033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3C586B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2F8E"/>
    <w:rsid w:val="00187B67"/>
    <w:rsid w:val="00267BD9"/>
    <w:rsid w:val="003357BF"/>
    <w:rsid w:val="003A1C85"/>
    <w:rsid w:val="003D129D"/>
    <w:rsid w:val="00446C2F"/>
    <w:rsid w:val="004E29B3"/>
    <w:rsid w:val="00590D07"/>
    <w:rsid w:val="005F49F0"/>
    <w:rsid w:val="00696599"/>
    <w:rsid w:val="00720763"/>
    <w:rsid w:val="007367A9"/>
    <w:rsid w:val="00784D58"/>
    <w:rsid w:val="00877519"/>
    <w:rsid w:val="008D6863"/>
    <w:rsid w:val="00930E6A"/>
    <w:rsid w:val="00994553"/>
    <w:rsid w:val="00A54745"/>
    <w:rsid w:val="00AE248E"/>
    <w:rsid w:val="00B86B75"/>
    <w:rsid w:val="00BC48D5"/>
    <w:rsid w:val="00BF3905"/>
    <w:rsid w:val="00C36279"/>
    <w:rsid w:val="00C770ED"/>
    <w:rsid w:val="00CC3013"/>
    <w:rsid w:val="00E315A3"/>
    <w:rsid w:val="00F2464B"/>
    <w:rsid w:val="00F7239A"/>
    <w:rsid w:val="00F9267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FE46"/>
  <w15:docId w15:val="{EB3CCB79-E775-4648-9714-ABD92E47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line="360" w:lineRule="auto"/>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F49F0"/>
    <w:pPr>
      <w:spacing w:before="100" w:beforeAutospacing="1" w:after="100" w:afterAutospacing="1" w:line="240" w:lineRule="auto"/>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43171">
      <w:bodyDiv w:val="1"/>
      <w:marLeft w:val="0"/>
      <w:marRight w:val="0"/>
      <w:marTop w:val="0"/>
      <w:marBottom w:val="0"/>
      <w:divBdr>
        <w:top w:val="none" w:sz="0" w:space="0" w:color="auto"/>
        <w:left w:val="none" w:sz="0" w:space="0" w:color="auto"/>
        <w:bottom w:val="none" w:sz="0" w:space="0" w:color="auto"/>
        <w:right w:val="none" w:sz="0" w:space="0" w:color="auto"/>
      </w:divBdr>
    </w:div>
    <w:div w:id="491604500">
      <w:bodyDiv w:val="1"/>
      <w:marLeft w:val="0"/>
      <w:marRight w:val="0"/>
      <w:marTop w:val="0"/>
      <w:marBottom w:val="0"/>
      <w:divBdr>
        <w:top w:val="none" w:sz="0" w:space="0" w:color="auto"/>
        <w:left w:val="none" w:sz="0" w:space="0" w:color="auto"/>
        <w:bottom w:val="none" w:sz="0" w:space="0" w:color="auto"/>
        <w:right w:val="none" w:sz="0" w:space="0" w:color="auto"/>
      </w:divBdr>
    </w:div>
    <w:div w:id="511839570">
      <w:bodyDiv w:val="1"/>
      <w:marLeft w:val="0"/>
      <w:marRight w:val="0"/>
      <w:marTop w:val="0"/>
      <w:marBottom w:val="0"/>
      <w:divBdr>
        <w:top w:val="none" w:sz="0" w:space="0" w:color="auto"/>
        <w:left w:val="none" w:sz="0" w:space="0" w:color="auto"/>
        <w:bottom w:val="none" w:sz="0" w:space="0" w:color="auto"/>
        <w:right w:val="none" w:sz="0" w:space="0" w:color="auto"/>
      </w:divBdr>
    </w:div>
    <w:div w:id="541672859">
      <w:bodyDiv w:val="1"/>
      <w:marLeft w:val="0"/>
      <w:marRight w:val="0"/>
      <w:marTop w:val="0"/>
      <w:marBottom w:val="0"/>
      <w:divBdr>
        <w:top w:val="none" w:sz="0" w:space="0" w:color="auto"/>
        <w:left w:val="none" w:sz="0" w:space="0" w:color="auto"/>
        <w:bottom w:val="none" w:sz="0" w:space="0" w:color="auto"/>
        <w:right w:val="none" w:sz="0" w:space="0" w:color="auto"/>
      </w:divBdr>
    </w:div>
    <w:div w:id="597057069">
      <w:bodyDiv w:val="1"/>
      <w:marLeft w:val="0"/>
      <w:marRight w:val="0"/>
      <w:marTop w:val="0"/>
      <w:marBottom w:val="0"/>
      <w:divBdr>
        <w:top w:val="none" w:sz="0" w:space="0" w:color="auto"/>
        <w:left w:val="none" w:sz="0" w:space="0" w:color="auto"/>
        <w:bottom w:val="none" w:sz="0" w:space="0" w:color="auto"/>
        <w:right w:val="none" w:sz="0" w:space="0" w:color="auto"/>
      </w:divBdr>
    </w:div>
    <w:div w:id="668143082">
      <w:bodyDiv w:val="1"/>
      <w:marLeft w:val="0"/>
      <w:marRight w:val="0"/>
      <w:marTop w:val="0"/>
      <w:marBottom w:val="0"/>
      <w:divBdr>
        <w:top w:val="none" w:sz="0" w:space="0" w:color="auto"/>
        <w:left w:val="none" w:sz="0" w:space="0" w:color="auto"/>
        <w:bottom w:val="none" w:sz="0" w:space="0" w:color="auto"/>
        <w:right w:val="none" w:sz="0" w:space="0" w:color="auto"/>
      </w:divBdr>
    </w:div>
    <w:div w:id="682325367">
      <w:bodyDiv w:val="1"/>
      <w:marLeft w:val="0"/>
      <w:marRight w:val="0"/>
      <w:marTop w:val="0"/>
      <w:marBottom w:val="0"/>
      <w:divBdr>
        <w:top w:val="none" w:sz="0" w:space="0" w:color="auto"/>
        <w:left w:val="none" w:sz="0" w:space="0" w:color="auto"/>
        <w:bottom w:val="none" w:sz="0" w:space="0" w:color="auto"/>
        <w:right w:val="none" w:sz="0" w:space="0" w:color="auto"/>
      </w:divBdr>
    </w:div>
    <w:div w:id="765154434">
      <w:bodyDiv w:val="1"/>
      <w:marLeft w:val="0"/>
      <w:marRight w:val="0"/>
      <w:marTop w:val="0"/>
      <w:marBottom w:val="0"/>
      <w:divBdr>
        <w:top w:val="none" w:sz="0" w:space="0" w:color="auto"/>
        <w:left w:val="none" w:sz="0" w:space="0" w:color="auto"/>
        <w:bottom w:val="none" w:sz="0" w:space="0" w:color="auto"/>
        <w:right w:val="none" w:sz="0" w:space="0" w:color="auto"/>
      </w:divBdr>
    </w:div>
    <w:div w:id="799493785">
      <w:bodyDiv w:val="1"/>
      <w:marLeft w:val="0"/>
      <w:marRight w:val="0"/>
      <w:marTop w:val="0"/>
      <w:marBottom w:val="0"/>
      <w:divBdr>
        <w:top w:val="none" w:sz="0" w:space="0" w:color="auto"/>
        <w:left w:val="none" w:sz="0" w:space="0" w:color="auto"/>
        <w:bottom w:val="none" w:sz="0" w:space="0" w:color="auto"/>
        <w:right w:val="none" w:sz="0" w:space="0" w:color="auto"/>
      </w:divBdr>
    </w:div>
    <w:div w:id="1003777122">
      <w:bodyDiv w:val="1"/>
      <w:marLeft w:val="0"/>
      <w:marRight w:val="0"/>
      <w:marTop w:val="0"/>
      <w:marBottom w:val="0"/>
      <w:divBdr>
        <w:top w:val="none" w:sz="0" w:space="0" w:color="auto"/>
        <w:left w:val="none" w:sz="0" w:space="0" w:color="auto"/>
        <w:bottom w:val="none" w:sz="0" w:space="0" w:color="auto"/>
        <w:right w:val="none" w:sz="0" w:space="0" w:color="auto"/>
      </w:divBdr>
    </w:div>
    <w:div w:id="1048451273">
      <w:bodyDiv w:val="1"/>
      <w:marLeft w:val="0"/>
      <w:marRight w:val="0"/>
      <w:marTop w:val="0"/>
      <w:marBottom w:val="0"/>
      <w:divBdr>
        <w:top w:val="none" w:sz="0" w:space="0" w:color="auto"/>
        <w:left w:val="none" w:sz="0" w:space="0" w:color="auto"/>
        <w:bottom w:val="none" w:sz="0" w:space="0" w:color="auto"/>
        <w:right w:val="none" w:sz="0" w:space="0" w:color="auto"/>
      </w:divBdr>
    </w:div>
    <w:div w:id="1071776023">
      <w:bodyDiv w:val="1"/>
      <w:marLeft w:val="0"/>
      <w:marRight w:val="0"/>
      <w:marTop w:val="0"/>
      <w:marBottom w:val="0"/>
      <w:divBdr>
        <w:top w:val="none" w:sz="0" w:space="0" w:color="auto"/>
        <w:left w:val="none" w:sz="0" w:space="0" w:color="auto"/>
        <w:bottom w:val="none" w:sz="0" w:space="0" w:color="auto"/>
        <w:right w:val="none" w:sz="0" w:space="0" w:color="auto"/>
      </w:divBdr>
    </w:div>
    <w:div w:id="1089620194">
      <w:bodyDiv w:val="1"/>
      <w:marLeft w:val="0"/>
      <w:marRight w:val="0"/>
      <w:marTop w:val="0"/>
      <w:marBottom w:val="0"/>
      <w:divBdr>
        <w:top w:val="none" w:sz="0" w:space="0" w:color="auto"/>
        <w:left w:val="none" w:sz="0" w:space="0" w:color="auto"/>
        <w:bottom w:val="none" w:sz="0" w:space="0" w:color="auto"/>
        <w:right w:val="none" w:sz="0" w:space="0" w:color="auto"/>
      </w:divBdr>
    </w:div>
    <w:div w:id="1138842129">
      <w:bodyDiv w:val="1"/>
      <w:marLeft w:val="0"/>
      <w:marRight w:val="0"/>
      <w:marTop w:val="0"/>
      <w:marBottom w:val="0"/>
      <w:divBdr>
        <w:top w:val="none" w:sz="0" w:space="0" w:color="auto"/>
        <w:left w:val="none" w:sz="0" w:space="0" w:color="auto"/>
        <w:bottom w:val="none" w:sz="0" w:space="0" w:color="auto"/>
        <w:right w:val="none" w:sz="0" w:space="0" w:color="auto"/>
      </w:divBdr>
    </w:div>
    <w:div w:id="1142231035">
      <w:bodyDiv w:val="1"/>
      <w:marLeft w:val="0"/>
      <w:marRight w:val="0"/>
      <w:marTop w:val="0"/>
      <w:marBottom w:val="0"/>
      <w:divBdr>
        <w:top w:val="none" w:sz="0" w:space="0" w:color="auto"/>
        <w:left w:val="none" w:sz="0" w:space="0" w:color="auto"/>
        <w:bottom w:val="none" w:sz="0" w:space="0" w:color="auto"/>
        <w:right w:val="none" w:sz="0" w:space="0" w:color="auto"/>
      </w:divBdr>
    </w:div>
    <w:div w:id="1297561378">
      <w:bodyDiv w:val="1"/>
      <w:marLeft w:val="0"/>
      <w:marRight w:val="0"/>
      <w:marTop w:val="0"/>
      <w:marBottom w:val="0"/>
      <w:divBdr>
        <w:top w:val="none" w:sz="0" w:space="0" w:color="auto"/>
        <w:left w:val="none" w:sz="0" w:space="0" w:color="auto"/>
        <w:bottom w:val="none" w:sz="0" w:space="0" w:color="auto"/>
        <w:right w:val="none" w:sz="0" w:space="0" w:color="auto"/>
      </w:divBdr>
    </w:div>
    <w:div w:id="1652640523">
      <w:bodyDiv w:val="1"/>
      <w:marLeft w:val="0"/>
      <w:marRight w:val="0"/>
      <w:marTop w:val="0"/>
      <w:marBottom w:val="0"/>
      <w:divBdr>
        <w:top w:val="none" w:sz="0" w:space="0" w:color="auto"/>
        <w:left w:val="none" w:sz="0" w:space="0" w:color="auto"/>
        <w:bottom w:val="none" w:sz="0" w:space="0" w:color="auto"/>
        <w:right w:val="none" w:sz="0" w:space="0" w:color="auto"/>
      </w:divBdr>
    </w:div>
    <w:div w:id="1653437559">
      <w:bodyDiv w:val="1"/>
      <w:marLeft w:val="0"/>
      <w:marRight w:val="0"/>
      <w:marTop w:val="0"/>
      <w:marBottom w:val="0"/>
      <w:divBdr>
        <w:top w:val="none" w:sz="0" w:space="0" w:color="auto"/>
        <w:left w:val="none" w:sz="0" w:space="0" w:color="auto"/>
        <w:bottom w:val="none" w:sz="0" w:space="0" w:color="auto"/>
        <w:right w:val="none" w:sz="0" w:space="0" w:color="auto"/>
      </w:divBdr>
    </w:div>
    <w:div w:id="1852255109">
      <w:bodyDiv w:val="1"/>
      <w:marLeft w:val="0"/>
      <w:marRight w:val="0"/>
      <w:marTop w:val="0"/>
      <w:marBottom w:val="0"/>
      <w:divBdr>
        <w:top w:val="none" w:sz="0" w:space="0" w:color="auto"/>
        <w:left w:val="none" w:sz="0" w:space="0" w:color="auto"/>
        <w:bottom w:val="none" w:sz="0" w:space="0" w:color="auto"/>
        <w:right w:val="none" w:sz="0" w:space="0" w:color="auto"/>
      </w:divBdr>
    </w:div>
    <w:div w:id="21104211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41</Pages>
  <Words>12390</Words>
  <Characters>70629</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Tayyab Ameri Turan</cp:lastModifiedBy>
  <cp:revision>4</cp:revision>
  <dcterms:created xsi:type="dcterms:W3CDTF">2026-10-02T13:32:00Z</dcterms:created>
  <dcterms:modified xsi:type="dcterms:W3CDTF">2026-10-02T18:22:00Z</dcterms:modified>
</cp:coreProperties>
</file>