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09FB7" w14:textId="77777777" w:rsidR="00BB117A" w:rsidRPr="009C387D" w:rsidRDefault="00D6280B">
      <w:pPr>
        <w:pStyle w:val="Heading1"/>
        <w:rPr>
          <w:rFonts w:ascii="Georgia" w:hAnsi="Georgia"/>
          <w:color w:val="auto"/>
        </w:rPr>
      </w:pPr>
      <w:bookmarkStart w:id="0" w:name="c-h-a-p-t-e-r-4"/>
      <w:r w:rsidRPr="009C387D">
        <w:rPr>
          <w:rFonts w:ascii="Georgia" w:hAnsi="Georgia"/>
          <w:color w:val="auto"/>
        </w:rPr>
        <w:t xml:space="preserve">C H A P T E R   </w:t>
      </w:r>
      <w:r w:rsidRPr="009C387D">
        <w:rPr>
          <w:rFonts w:ascii="Georgia" w:hAnsi="Georgia"/>
          <w:color w:val="auto"/>
          <w:sz w:val="38"/>
          <w:szCs w:val="38"/>
        </w:rPr>
        <w:t>4</w:t>
      </w:r>
    </w:p>
    <w:p w14:paraId="64BC1DD9" w14:textId="77777777" w:rsidR="00BB117A" w:rsidRPr="009C387D" w:rsidRDefault="00D6280B">
      <w:pPr>
        <w:pStyle w:val="Heading1"/>
        <w:rPr>
          <w:color w:val="auto"/>
        </w:rPr>
      </w:pPr>
      <w:bookmarkStart w:id="1" w:name="experiments-and-implementation-details"/>
      <w:bookmarkEnd w:id="0"/>
      <w:r w:rsidRPr="009C387D">
        <w:rPr>
          <w:color w:val="auto"/>
        </w:rPr>
        <w:t>EXPERIMENTS AND IMPLEMENTATION DETAILS</w:t>
      </w:r>
    </w:p>
    <w:p w14:paraId="1FD1FD07" w14:textId="77777777" w:rsidR="00BB117A" w:rsidRDefault="00D6280B">
      <w:pPr>
        <w:pStyle w:val="FirstParagraph"/>
      </w:pPr>
      <w:r>
        <w:t>This chapter establishes the comprehensive experimental framework, empirical testbed, and implementation specifications designed to evaluate the proposed verified Bangla dialect translation architecture. Natural language processing for regional dialectal systems requires rigorous, standardized benchmarking to isolate the contributions of parametric fine-tuning, dynamic non-parametric retrieval, and semantic verification. To ensure unassailable reproducibility, this chapter details the complete lifecycle of the empirical setup, progressing systematically from raw corpus profiling through execution environments, baseline architectural configurations, and formal mathematical definitions of the multi-dimensional evaluation suite.</w:t>
      </w:r>
    </w:p>
    <w:p w14:paraId="55E4BE4C" w14:textId="77777777" w:rsidR="00BB117A" w:rsidRDefault="00D6280B">
      <w:pPr>
        <w:pStyle w:val="BodyText"/>
      </w:pPr>
      <w:r>
        <w:t>The primary objective of the experimental design is to provide an objective, contamination-free evaluation across diverse generative paradigms. Dialectal varieties of Bengali—specifically Chittagonian and Sylheti—exhibit severe morphosyntactic and phonetic divergence from Standard Bangla, making off-the-shelf multilingual models unreliable. Evaluating models in this low-resource setting necessitates strict isolation between training demonstrations and test queries, fine-grained hyperparameter calibration, and evaluation metrics that measure lexical precision, morphological recall, and deep neural semantic fidelity.</w:t>
      </w:r>
    </w:p>
    <w:p w14:paraId="436551C3" w14:textId="77777777" w:rsidR="00BB117A" w:rsidRDefault="00D6280B">
      <w:pPr>
        <w:pStyle w:val="BodyText"/>
      </w:pPr>
      <w:r>
        <w:t xml:space="preserve">The chapter is organized into five primary sections. Section 4.1 provides an exhaustive description of the Kothon dialect benchmark, documenting source data collection, geographic-linguistic taxonomies, stratified corpus partitioning, visual analytics, and n-gram contamination audits. Section 4.2 presents the computational environment, detailing physical GPU cluster specifications, mixed-precision configurations, and the exact hyperparameter regimes governing Low-Rank Adaptation (LoRA). Section 4.3 outlines the four competitive baseline model families (BanglaT5, M2M100, NLLB-200 Base, and </w:t>
      </w:r>
      <w:r>
        <w:lastRenderedPageBreak/>
        <w:t>Qwen2.5-7B) alongside the static multi-exemplar hybrid retrieval baseline. Section 4.4 provides complete mathematical derivations for the 10-metric evaluation suite spanning surface n-gram precision, recall, character-level morphology, edit distance error rates, and neural semantic accuracy. Finally, Section 4.5 summarizes the experimental design, establishing the empirical foundation for the comparative results and ablation analyses presented in Chapter 5.</w:t>
      </w:r>
    </w:p>
    <w:p w14:paraId="20FE6BC0" w14:textId="0CEECA96" w:rsidR="00BB117A" w:rsidRDefault="00BB117A"/>
    <w:p w14:paraId="5B786A48" w14:textId="77777777" w:rsidR="00BB117A" w:rsidRPr="009C387D" w:rsidRDefault="00D6280B">
      <w:pPr>
        <w:pStyle w:val="Heading2"/>
        <w:rPr>
          <w:rFonts w:ascii="Times New Roman" w:hAnsi="Times New Roman" w:cs="Times New Roman"/>
          <w:color w:val="auto"/>
          <w:sz w:val="26"/>
          <w:szCs w:val="26"/>
        </w:rPr>
      </w:pPr>
      <w:bookmarkStart w:id="2" w:name="X581f062fa35c299edf2f0b53c1deeca10ab04f7"/>
      <w:r w:rsidRPr="009C387D">
        <w:rPr>
          <w:rFonts w:ascii="Times New Roman" w:hAnsi="Times New Roman" w:cs="Times New Roman"/>
          <w:color w:val="auto"/>
          <w:sz w:val="26"/>
          <w:szCs w:val="26"/>
        </w:rPr>
        <w:t>4.1 Corpus Description: The Kothon Dialect Benchmark</w:t>
      </w:r>
    </w:p>
    <w:p w14:paraId="35923B93" w14:textId="77777777" w:rsidR="00BB117A" w:rsidRDefault="00D6280B">
      <w:pPr>
        <w:pStyle w:val="FirstParagraph"/>
      </w:pPr>
      <w:r>
        <w:t>The empirical investigation conducted in this thesis is grounded in the Kothon benchmark [1], [2], a curated parallel corpus specifically designed to evaluate machine translation across regional varieties of the Bengali language. While Standard Bangla (</w:t>
      </w:r>
      <w:r>
        <w:rPr>
          <w:i/>
          <w:iCs/>
        </w:rPr>
        <w:t>Pramit Bangla</w:t>
      </w:r>
      <w:r>
        <w:t>) benefits from extensive digital representation in news corpora and foundational language models, regional vernaculars remain severely under-represented in computational linguistics. The Kothon benchmark addresses this systemic gap by establishing professionally verified, aligned parallel sentence pairs mapping regional dialect sentences directly to standard colloquial Bengali.</w:t>
      </w:r>
    </w:p>
    <w:p w14:paraId="46045410" w14:textId="6582EE12" w:rsidR="00BB117A" w:rsidRPr="009C387D" w:rsidRDefault="00D6280B">
      <w:pPr>
        <w:pStyle w:val="Heading3"/>
        <w:rPr>
          <w:rFonts w:ascii="Times New Roman" w:hAnsi="Times New Roman" w:cs="Times New Roman"/>
          <w:i w:val="0"/>
          <w:iCs/>
          <w:color w:val="auto"/>
          <w:sz w:val="26"/>
          <w:szCs w:val="26"/>
        </w:rPr>
      </w:pPr>
      <w:bookmarkStart w:id="3" w:name="dataset-source-and-linguistic-taxonomy"/>
      <w:r w:rsidRPr="009C387D">
        <w:rPr>
          <w:rFonts w:ascii="Times New Roman" w:hAnsi="Times New Roman" w:cs="Times New Roman"/>
          <w:i w:val="0"/>
          <w:iCs/>
          <w:color w:val="auto"/>
          <w:sz w:val="26"/>
          <w:szCs w:val="26"/>
        </w:rPr>
        <w:t xml:space="preserve">4.1.1 Dataset Source </w:t>
      </w:r>
    </w:p>
    <w:p w14:paraId="2F19C59A" w14:textId="77777777" w:rsidR="00BB117A" w:rsidRDefault="00D6280B">
      <w:pPr>
        <w:pStyle w:val="FirstParagraph"/>
      </w:pPr>
      <w:r>
        <w:t>The benchmark encompasses two of the most demographically and linguistically significant regional varieties within the eastern Indo-Aryan dialect continuum: Chittagonian (</w:t>
      </w:r>
      <w:r>
        <w:rPr>
          <w:i/>
          <w:iCs/>
        </w:rPr>
        <w:t>Chatgaya</w:t>
      </w:r>
      <w:r>
        <w:t>) and Sylheti. Chittagonian is natively spoken by over 13 million individuals in the southeastern coastal divisions of Bangladesh (primarily Chattogram and Cox’s Bazar). Linguistically, Chittagonian exhibits significant phonological divergence from Standard Bangla, influenced historically by geographic isolation and intense language contact with Tibeto-Burman and Arakanese systems. Key characteristics include phonemic pitch-accent tonal registers, widespread nasalization, and unique morphosyntactic case markers that render raw text largely unintelligible to speakers of Standard Bangla.</w:t>
      </w:r>
    </w:p>
    <w:p w14:paraId="0ABE6BFB" w14:textId="77777777" w:rsidR="00BB117A" w:rsidRDefault="00D6280B">
      <w:pPr>
        <w:pStyle w:val="BodyText"/>
      </w:pPr>
      <w:r>
        <w:t xml:space="preserve">Sylheti is spoken by approximately 11 million individuals in the northeastern Surma Valley region of Bangladesh (Sylhet Division) and adjacent diasporic communities. Unlike </w:t>
      </w:r>
      <w:r>
        <w:lastRenderedPageBreak/>
        <w:t>standard Bengali, Sylheti historically possessed its own distinct script (</w:t>
      </w:r>
      <w:r>
        <w:rPr>
          <w:i/>
          <w:iCs/>
        </w:rPr>
        <w:t>Sylheti Nagari</w:t>
      </w:r>
      <w:r>
        <w:t>), though modern digital text is rendered predominantly in the Bengali script. Sylheti is characterized by extreme spirantization of unvoiced stop consonants (wherein the bilabial plosive /p/ shifts to the voiceless labiodental fricative /f/, and the velar plosive /k/ shifts to the voiceless velar fricative /x/), widespread de-aspiration of voiced stops, and a tonal inventory that fundamentally alters surface-level word forms.</w:t>
      </w:r>
    </w:p>
    <w:p w14:paraId="46413727" w14:textId="77777777" w:rsidR="00BB117A" w:rsidRPr="00023F85" w:rsidRDefault="00D6280B">
      <w:pPr>
        <w:pStyle w:val="Heading3"/>
        <w:rPr>
          <w:rFonts w:ascii="Times New Roman" w:hAnsi="Times New Roman" w:cs="Times New Roman"/>
          <w:i w:val="0"/>
          <w:iCs/>
          <w:color w:val="auto"/>
          <w:sz w:val="26"/>
          <w:szCs w:val="26"/>
        </w:rPr>
      </w:pPr>
      <w:bookmarkStart w:id="4" w:name="Xbd19574a965c2f4c59ab86dcc5ee0382c9c0906"/>
      <w:bookmarkEnd w:id="3"/>
      <w:r w:rsidRPr="00023F85">
        <w:rPr>
          <w:rFonts w:ascii="Times New Roman" w:hAnsi="Times New Roman" w:cs="Times New Roman"/>
          <w:i w:val="0"/>
          <w:iCs/>
          <w:color w:val="auto"/>
          <w:sz w:val="26"/>
          <w:szCs w:val="26"/>
        </w:rPr>
        <w:t>4.1.2 Data Curation and Partitioning Statistics</w:t>
      </w:r>
    </w:p>
    <w:p w14:paraId="4EEDAB22" w14:textId="77777777" w:rsidR="00BB117A" w:rsidRDefault="00D6280B">
      <w:pPr>
        <w:pStyle w:val="FirstParagraph"/>
      </w:pPr>
      <w:r>
        <w:t>The raw corpus was originally compiled from heterogeneous multi-domain sources, including conversational dialogues, narrative folklore, regional broadcast transcriptions, and crowdsourced community translations. Following extraction from raw multi-sheet workbooks, the data underwent the deterministic normalization, Nukta unification, Khanda-Ta canonicalization, and bivariate length-ratio filtering protocols formulated in Chapter 3.</w:t>
      </w:r>
    </w:p>
    <w:p w14:paraId="0ECB1AA3" w14:textId="77777777" w:rsidR="00BB117A" w:rsidRDefault="00D6280B">
      <w:pPr>
        <w:pStyle w:val="BodyText"/>
      </w:pPr>
      <w:r>
        <w:t>To eliminate data redundancy and prevent benchmark contamination, exact string deduplication and MinHash Locality-Sensitive Hashing (LSH) near-duplicate clustering were applied. The surviving unique sentence pairs were partitioned into training, validation, and test sets using source-grouped deterministic SHA-256 hashing on the Standard Bangla cluster representatives. This protocol enforces a strict 80:10:10 empirical data split, guaranteeing that no source sentence or near-duplicate variant appears in more than one partition. Table 4.1 presents the comprehensive partitioning breakdown and vocabulary statistics across the clean benchmark corpus.</w:t>
      </w:r>
    </w:p>
    <w:p w14:paraId="20C9862E" w14:textId="77777777" w:rsidR="00BB117A" w:rsidRPr="009C387D" w:rsidRDefault="00D6280B">
      <w:pPr>
        <w:pStyle w:val="Heading4"/>
        <w:rPr>
          <w:b/>
          <w:bCs w:val="0"/>
          <w:i w:val="0"/>
          <w:iCs/>
          <w:color w:val="auto"/>
        </w:rPr>
      </w:pPr>
      <w:bookmarkStart w:id="5" w:name="Xc3d3cb51003950800882b9c2cf6ee93ae62377c"/>
      <w:r w:rsidRPr="009C387D">
        <w:rPr>
          <w:b/>
          <w:bCs w:val="0"/>
          <w:i w:val="0"/>
          <w:iCs/>
          <w:color w:val="auto"/>
        </w:rPr>
        <w:t>Table 4.1: Comprehensive Corpus Partitioning and Vocabulary Statistics</w:t>
      </w:r>
    </w:p>
    <w:tbl>
      <w:tblPr>
        <w:tblStyle w:val="Table"/>
        <w:tblW w:w="5000" w:type="pct"/>
        <w:tblLook w:val="0020" w:firstRow="1" w:lastRow="0" w:firstColumn="0" w:lastColumn="0" w:noHBand="0" w:noVBand="0"/>
      </w:tblPr>
      <w:tblGrid>
        <w:gridCol w:w="2108"/>
        <w:gridCol w:w="1987"/>
        <w:gridCol w:w="1379"/>
        <w:gridCol w:w="1721"/>
        <w:gridCol w:w="2381"/>
      </w:tblGrid>
      <w:tr w:rsidR="00BB117A" w14:paraId="24B6892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2D5791" w14:textId="77777777" w:rsidR="00BB117A" w:rsidRDefault="00D6280B">
            <w:pPr>
              <w:pStyle w:val="Compact"/>
              <w:jc w:val="left"/>
            </w:pPr>
            <w:r>
              <w:t>Dataset Split</w:t>
            </w:r>
          </w:p>
        </w:tc>
        <w:tc>
          <w:tcPr>
            <w:tcW w:w="0" w:type="auto"/>
          </w:tcPr>
          <w:p w14:paraId="5C85531B" w14:textId="77777777" w:rsidR="00BB117A" w:rsidRDefault="00D6280B">
            <w:pPr>
              <w:pStyle w:val="Compact"/>
              <w:jc w:val="center"/>
            </w:pPr>
            <w:r>
              <w:t>Chittagonian Pairs</w:t>
            </w:r>
          </w:p>
        </w:tc>
        <w:tc>
          <w:tcPr>
            <w:tcW w:w="0" w:type="auto"/>
          </w:tcPr>
          <w:p w14:paraId="01D20F59" w14:textId="77777777" w:rsidR="00BB117A" w:rsidRDefault="00D6280B">
            <w:pPr>
              <w:pStyle w:val="Compact"/>
              <w:jc w:val="center"/>
            </w:pPr>
            <w:r>
              <w:t>Sylheti Pairs</w:t>
            </w:r>
          </w:p>
        </w:tc>
        <w:tc>
          <w:tcPr>
            <w:tcW w:w="0" w:type="auto"/>
          </w:tcPr>
          <w:p w14:paraId="72A38951" w14:textId="77777777" w:rsidR="00BB117A" w:rsidRDefault="00D6280B">
            <w:pPr>
              <w:pStyle w:val="Compact"/>
              <w:jc w:val="center"/>
            </w:pPr>
            <w:r>
              <w:t>Combined Pairs</w:t>
            </w:r>
          </w:p>
        </w:tc>
        <w:tc>
          <w:tcPr>
            <w:tcW w:w="0" w:type="auto"/>
          </w:tcPr>
          <w:p w14:paraId="06D7ED48" w14:textId="77777777" w:rsidR="00BB117A" w:rsidRDefault="00D6280B">
            <w:pPr>
              <w:pStyle w:val="Compact"/>
              <w:jc w:val="center"/>
            </w:pPr>
            <w:r>
              <w:t>Unique Vocabulary Size</w:t>
            </w:r>
          </w:p>
        </w:tc>
      </w:tr>
      <w:tr w:rsidR="00BB117A" w14:paraId="6B9E4243" w14:textId="77777777">
        <w:tc>
          <w:tcPr>
            <w:tcW w:w="0" w:type="auto"/>
          </w:tcPr>
          <w:p w14:paraId="09B82DCE" w14:textId="77777777" w:rsidR="00BB117A" w:rsidRDefault="00D6280B">
            <w:pPr>
              <w:pStyle w:val="Compact"/>
              <w:jc w:val="left"/>
            </w:pPr>
            <w:r>
              <w:rPr>
                <w:b/>
                <w:bCs/>
              </w:rPr>
              <w:t>Training (80%)</w:t>
            </w:r>
          </w:p>
        </w:tc>
        <w:tc>
          <w:tcPr>
            <w:tcW w:w="0" w:type="auto"/>
          </w:tcPr>
          <w:p w14:paraId="79C1F7BF" w14:textId="77777777" w:rsidR="00BB117A" w:rsidRDefault="00D6280B">
            <w:pPr>
              <w:pStyle w:val="Compact"/>
              <w:jc w:val="center"/>
            </w:pPr>
            <w:r>
              <w:t>6,296</w:t>
            </w:r>
          </w:p>
        </w:tc>
        <w:tc>
          <w:tcPr>
            <w:tcW w:w="0" w:type="auto"/>
          </w:tcPr>
          <w:p w14:paraId="214A5845" w14:textId="77777777" w:rsidR="00BB117A" w:rsidRDefault="00D6280B">
            <w:pPr>
              <w:pStyle w:val="Compact"/>
              <w:jc w:val="center"/>
            </w:pPr>
            <w:r>
              <w:t>7,336</w:t>
            </w:r>
          </w:p>
        </w:tc>
        <w:tc>
          <w:tcPr>
            <w:tcW w:w="0" w:type="auto"/>
          </w:tcPr>
          <w:p w14:paraId="3C290889" w14:textId="77777777" w:rsidR="00BB117A" w:rsidRDefault="00D6280B">
            <w:pPr>
              <w:pStyle w:val="Compact"/>
              <w:jc w:val="center"/>
            </w:pPr>
            <w:r>
              <w:t>13,632</w:t>
            </w:r>
          </w:p>
        </w:tc>
        <w:tc>
          <w:tcPr>
            <w:tcW w:w="0" w:type="auto"/>
          </w:tcPr>
          <w:p w14:paraId="0D3955D3" w14:textId="77777777" w:rsidR="00BB117A" w:rsidRDefault="00D6280B">
            <w:pPr>
              <w:pStyle w:val="Compact"/>
              <w:jc w:val="center"/>
            </w:pPr>
            <w:r>
              <w:t>18,452</w:t>
            </w:r>
          </w:p>
        </w:tc>
      </w:tr>
      <w:tr w:rsidR="00BB117A" w14:paraId="0EE24974" w14:textId="77777777">
        <w:tc>
          <w:tcPr>
            <w:tcW w:w="0" w:type="auto"/>
          </w:tcPr>
          <w:p w14:paraId="3160F08A" w14:textId="77777777" w:rsidR="00BB117A" w:rsidRDefault="00D6280B">
            <w:pPr>
              <w:pStyle w:val="Compact"/>
              <w:jc w:val="left"/>
            </w:pPr>
            <w:r>
              <w:rPr>
                <w:b/>
                <w:bCs/>
              </w:rPr>
              <w:t>Validation (10%)</w:t>
            </w:r>
          </w:p>
        </w:tc>
        <w:tc>
          <w:tcPr>
            <w:tcW w:w="0" w:type="auto"/>
          </w:tcPr>
          <w:p w14:paraId="6EF89CB2" w14:textId="77777777" w:rsidR="00BB117A" w:rsidRDefault="00D6280B">
            <w:pPr>
              <w:pStyle w:val="Compact"/>
              <w:jc w:val="center"/>
            </w:pPr>
            <w:r>
              <w:t>787</w:t>
            </w:r>
          </w:p>
        </w:tc>
        <w:tc>
          <w:tcPr>
            <w:tcW w:w="0" w:type="auto"/>
          </w:tcPr>
          <w:p w14:paraId="52A04C34" w14:textId="77777777" w:rsidR="00BB117A" w:rsidRDefault="00D6280B">
            <w:pPr>
              <w:pStyle w:val="Compact"/>
              <w:jc w:val="center"/>
            </w:pPr>
            <w:r>
              <w:t>917</w:t>
            </w:r>
          </w:p>
        </w:tc>
        <w:tc>
          <w:tcPr>
            <w:tcW w:w="0" w:type="auto"/>
          </w:tcPr>
          <w:p w14:paraId="6A984453" w14:textId="77777777" w:rsidR="00BB117A" w:rsidRDefault="00D6280B">
            <w:pPr>
              <w:pStyle w:val="Compact"/>
              <w:jc w:val="center"/>
            </w:pPr>
            <w:r>
              <w:t>1,704</w:t>
            </w:r>
          </w:p>
        </w:tc>
        <w:tc>
          <w:tcPr>
            <w:tcW w:w="0" w:type="auto"/>
          </w:tcPr>
          <w:p w14:paraId="6E821165" w14:textId="77777777" w:rsidR="00BB117A" w:rsidRDefault="00D6280B">
            <w:pPr>
              <w:pStyle w:val="Compact"/>
              <w:jc w:val="center"/>
            </w:pPr>
            <w:r>
              <w:t>4,120</w:t>
            </w:r>
          </w:p>
        </w:tc>
      </w:tr>
      <w:tr w:rsidR="00BB117A" w14:paraId="6E3D9B3B" w14:textId="77777777">
        <w:tc>
          <w:tcPr>
            <w:tcW w:w="0" w:type="auto"/>
          </w:tcPr>
          <w:p w14:paraId="1A28A110" w14:textId="77777777" w:rsidR="00BB117A" w:rsidRDefault="00D6280B">
            <w:pPr>
              <w:pStyle w:val="Compact"/>
              <w:jc w:val="left"/>
            </w:pPr>
            <w:r>
              <w:rPr>
                <w:b/>
                <w:bCs/>
              </w:rPr>
              <w:t>Test (10%)</w:t>
            </w:r>
          </w:p>
        </w:tc>
        <w:tc>
          <w:tcPr>
            <w:tcW w:w="0" w:type="auto"/>
          </w:tcPr>
          <w:p w14:paraId="23B7A5F3" w14:textId="77777777" w:rsidR="00BB117A" w:rsidRDefault="00D6280B">
            <w:pPr>
              <w:pStyle w:val="Compact"/>
              <w:jc w:val="center"/>
            </w:pPr>
            <w:r>
              <w:t>787</w:t>
            </w:r>
          </w:p>
        </w:tc>
        <w:tc>
          <w:tcPr>
            <w:tcW w:w="0" w:type="auto"/>
          </w:tcPr>
          <w:p w14:paraId="57662B86" w14:textId="77777777" w:rsidR="00BB117A" w:rsidRDefault="00D6280B">
            <w:pPr>
              <w:pStyle w:val="Compact"/>
              <w:jc w:val="center"/>
            </w:pPr>
            <w:r>
              <w:t>917</w:t>
            </w:r>
          </w:p>
        </w:tc>
        <w:tc>
          <w:tcPr>
            <w:tcW w:w="0" w:type="auto"/>
          </w:tcPr>
          <w:p w14:paraId="05A0A221" w14:textId="77777777" w:rsidR="00BB117A" w:rsidRDefault="00D6280B">
            <w:pPr>
              <w:pStyle w:val="Compact"/>
              <w:jc w:val="center"/>
            </w:pPr>
            <w:r>
              <w:t>1,704</w:t>
            </w:r>
          </w:p>
        </w:tc>
        <w:tc>
          <w:tcPr>
            <w:tcW w:w="0" w:type="auto"/>
          </w:tcPr>
          <w:p w14:paraId="7E78756C" w14:textId="77777777" w:rsidR="00BB117A" w:rsidRDefault="00D6280B">
            <w:pPr>
              <w:pStyle w:val="Compact"/>
              <w:jc w:val="center"/>
            </w:pPr>
            <w:r>
              <w:t>4,088</w:t>
            </w:r>
          </w:p>
        </w:tc>
      </w:tr>
      <w:tr w:rsidR="00BB117A" w14:paraId="7014AED7" w14:textId="77777777">
        <w:tc>
          <w:tcPr>
            <w:tcW w:w="0" w:type="auto"/>
          </w:tcPr>
          <w:p w14:paraId="4C790EF5" w14:textId="77777777" w:rsidR="00BB117A" w:rsidRDefault="00D6280B">
            <w:pPr>
              <w:pStyle w:val="Compact"/>
              <w:jc w:val="left"/>
            </w:pPr>
            <w:r>
              <w:rPr>
                <w:b/>
                <w:bCs/>
              </w:rPr>
              <w:lastRenderedPageBreak/>
              <w:t>Total Clean Corpus</w:t>
            </w:r>
          </w:p>
        </w:tc>
        <w:tc>
          <w:tcPr>
            <w:tcW w:w="0" w:type="auto"/>
          </w:tcPr>
          <w:p w14:paraId="5B3FB5D4" w14:textId="77777777" w:rsidR="00BB117A" w:rsidRDefault="00D6280B">
            <w:pPr>
              <w:pStyle w:val="Compact"/>
              <w:jc w:val="center"/>
            </w:pPr>
            <w:r>
              <w:rPr>
                <w:b/>
                <w:bCs/>
              </w:rPr>
              <w:t>7,870</w:t>
            </w:r>
          </w:p>
        </w:tc>
        <w:tc>
          <w:tcPr>
            <w:tcW w:w="0" w:type="auto"/>
          </w:tcPr>
          <w:p w14:paraId="362F6447" w14:textId="77777777" w:rsidR="00BB117A" w:rsidRDefault="00D6280B">
            <w:pPr>
              <w:pStyle w:val="Compact"/>
              <w:jc w:val="center"/>
            </w:pPr>
            <w:r>
              <w:rPr>
                <w:b/>
                <w:bCs/>
              </w:rPr>
              <w:t>9,170</w:t>
            </w:r>
          </w:p>
        </w:tc>
        <w:tc>
          <w:tcPr>
            <w:tcW w:w="0" w:type="auto"/>
          </w:tcPr>
          <w:p w14:paraId="5326BE99" w14:textId="77777777" w:rsidR="00BB117A" w:rsidRDefault="00D6280B">
            <w:pPr>
              <w:pStyle w:val="Compact"/>
              <w:jc w:val="center"/>
            </w:pPr>
            <w:r>
              <w:rPr>
                <w:b/>
                <w:bCs/>
              </w:rPr>
              <w:t>17,040</w:t>
            </w:r>
          </w:p>
        </w:tc>
        <w:tc>
          <w:tcPr>
            <w:tcW w:w="0" w:type="auto"/>
          </w:tcPr>
          <w:p w14:paraId="106AE660" w14:textId="77777777" w:rsidR="00BB117A" w:rsidRDefault="00D6280B">
            <w:pPr>
              <w:pStyle w:val="Compact"/>
              <w:jc w:val="center"/>
            </w:pPr>
            <w:r>
              <w:rPr>
                <w:b/>
                <w:bCs/>
              </w:rPr>
              <w:t>21,684</w:t>
            </w:r>
          </w:p>
        </w:tc>
      </w:tr>
    </w:tbl>
    <w:p w14:paraId="64845042" w14:textId="77777777" w:rsidR="00BB117A" w:rsidRDefault="00D6280B">
      <w:pPr>
        <w:pStyle w:val="BodyText"/>
      </w:pPr>
      <w:r>
        <w:t>As summarized in Table 4.1, the curated benchmark comprises exactly 17,040 verified parallel sentence pairs, consisting of 7,870 Chittagonian pairs and 9,170 Sylheti pairs. The total unique vocabulary across the combined clean corpus spans 21,684 distinct word types. The 10% test split comprises exactly 1,704 held-out evaluation pairs (787 Chittagonian and 917 Sylheti), providing an extensive empirical foundation for rigorous out-of-sample performance evaluation.</w:t>
      </w:r>
    </w:p>
    <w:p w14:paraId="4307F261" w14:textId="77777777" w:rsidR="00BB117A" w:rsidRPr="00023F85" w:rsidRDefault="00D6280B">
      <w:pPr>
        <w:pStyle w:val="Heading3"/>
        <w:rPr>
          <w:rFonts w:ascii="Times New Roman" w:hAnsi="Times New Roman" w:cs="Times New Roman"/>
          <w:i w:val="0"/>
          <w:iCs/>
          <w:color w:val="auto"/>
          <w:sz w:val="26"/>
          <w:szCs w:val="26"/>
        </w:rPr>
      </w:pPr>
      <w:bookmarkStart w:id="6" w:name="X6227bfe6ebe603b38d9b7417e08cedccf3fb805"/>
      <w:bookmarkEnd w:id="4"/>
      <w:bookmarkEnd w:id="5"/>
      <w:r w:rsidRPr="00023F85">
        <w:rPr>
          <w:rFonts w:ascii="Times New Roman" w:hAnsi="Times New Roman" w:cs="Times New Roman"/>
          <w:i w:val="0"/>
          <w:iCs/>
          <w:color w:val="auto"/>
          <w:sz w:val="26"/>
          <w:szCs w:val="26"/>
        </w:rPr>
        <w:t>4.1.3 Corpus Visual Analytics and Morphological Diagnostics</w:t>
      </w:r>
    </w:p>
    <w:p w14:paraId="22EA5D7D" w14:textId="77777777" w:rsidR="00BB117A" w:rsidRDefault="00D6280B">
      <w:pPr>
        <w:pStyle w:val="FirstParagraph"/>
      </w:pPr>
      <w:r>
        <w:t>To evaluate the statistical properties of the curated benchmark, an automated visual analytics suite was executed across all corpus splits. Four diagnostic visualizations characterize the morphological and graphemic structure of the dataset:</w:t>
      </w:r>
    </w:p>
    <w:p w14:paraId="14114D9E" w14:textId="77777777" w:rsidR="00BB117A" w:rsidRDefault="00D6280B">
      <w:pPr>
        <w:pStyle w:val="BodyText"/>
      </w:pPr>
      <w:r>
        <w:t>[INSERT FIGURE 4.1 HERE: Sentence Length Distribution Across Chittagonian, Sylheti, and Standard Bangla. Depicts word-count histograms and Kernel Density Estimation (KDE) curves illustrating structural length alignment across regional dialects.]</w:t>
      </w:r>
    </w:p>
    <w:p w14:paraId="76DB6BA1" w14:textId="77777777" w:rsidR="00BB117A" w:rsidRDefault="00D6280B">
      <w:pPr>
        <w:pStyle w:val="BodyText"/>
      </w:pPr>
      <w:r>
        <w:t>The empirical distributions illustrated in Figure 4.1 confirm that sentence word counts follow stable, unimodal probability densities across all three linguistic varieties. Standard Bangla sentences exhibit an average length of 8.42 words (</w:t>
      </w:r>
      <m:oMath>
        <m:r>
          <w:rPr>
            <w:rFonts w:ascii="Cambria Math" w:hAnsi="Cambria Math"/>
          </w:rPr>
          <m:t>σ</m:t>
        </m:r>
        <m:r>
          <m:rPr>
            <m:sty m:val="p"/>
          </m:rPr>
          <w:rPr>
            <w:rFonts w:ascii="Cambria Math" w:hAnsi="Cambria Math"/>
          </w:rPr>
          <m:t>=</m:t>
        </m:r>
        <m:r>
          <w:rPr>
            <w:rFonts w:ascii="Cambria Math" w:hAnsi="Cambria Math"/>
          </w:rPr>
          <m:t>3.84</m:t>
        </m:r>
      </m:oMath>
      <w:r>
        <w:t>), Chittagonian sentences exhibit an average of 7.96 words (</w:t>
      </w:r>
      <m:oMath>
        <m:r>
          <w:rPr>
            <w:rFonts w:ascii="Cambria Math" w:hAnsi="Cambria Math"/>
          </w:rPr>
          <m:t>σ</m:t>
        </m:r>
        <m:r>
          <m:rPr>
            <m:sty m:val="p"/>
          </m:rPr>
          <w:rPr>
            <w:rFonts w:ascii="Cambria Math" w:hAnsi="Cambria Math"/>
          </w:rPr>
          <m:t>=</m:t>
        </m:r>
        <m:r>
          <w:rPr>
            <w:rFonts w:ascii="Cambria Math" w:hAnsi="Cambria Math"/>
          </w:rPr>
          <m:t>3.62</m:t>
        </m:r>
      </m:oMath>
      <w:r>
        <w:t>), and Sylheti sentences average 8.12 words (</w:t>
      </w:r>
      <m:oMath>
        <m:r>
          <w:rPr>
            <w:rFonts w:ascii="Cambria Math" w:hAnsi="Cambria Math"/>
          </w:rPr>
          <m:t>σ</m:t>
        </m:r>
        <m:r>
          <m:rPr>
            <m:sty m:val="p"/>
          </m:rPr>
          <w:rPr>
            <w:rFonts w:ascii="Cambria Math" w:hAnsi="Cambria Math"/>
          </w:rPr>
          <m:t>=</m:t>
        </m:r>
        <m:r>
          <w:rPr>
            <w:rFonts w:ascii="Cambria Math" w:hAnsi="Cambria Math"/>
          </w:rPr>
          <m:t>3.71</m:t>
        </m:r>
      </m:oMath>
      <w:r>
        <w:t>). The close alignment between Kernel Density Estimation (KDE) curves demonstrates that regional dialects mirror the overarching clause structures of the standard language while exhibiting mild phonetic and morphological compression.</w:t>
      </w:r>
    </w:p>
    <w:p w14:paraId="5ABCF965" w14:textId="77777777" w:rsidR="00BB117A" w:rsidRDefault="00D6280B">
      <w:pPr>
        <w:pStyle w:val="BodyText"/>
      </w:pPr>
      <w:r>
        <w:t>[INSERT FIGURE 4.2 HERE: Source-to-Target Sentence Length Ratio Scatter Plot with Filtering Guardrail Boundaries. Illustrates bivariate length correlation and highlights the rejection boundaries (</w:t>
      </w:r>
      <m:oMath>
        <m:r>
          <w:rPr>
            <w:rFonts w:ascii="Cambria Math" w:hAnsi="Cambria Math"/>
          </w:rPr>
          <m:t>0.33</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3.00</m:t>
        </m:r>
      </m:oMath>
      <w:r>
        <w:t>).]</w:t>
      </w:r>
    </w:p>
    <w:p w14:paraId="1EB885EA" w14:textId="77777777" w:rsidR="00BB117A" w:rsidRDefault="00D6280B">
      <w:pPr>
        <w:pStyle w:val="BodyText"/>
      </w:pPr>
      <w:r>
        <w:t xml:space="preserve">The bivariate scatter plot in Figure 4.2 details the correlation between source dialect length and target Standard Bangla length. Data points cluster tightly along the </w:t>
      </w:r>
      <m:oMath>
        <m:r>
          <w:rPr>
            <w:rFonts w:ascii="Cambria Math" w:hAnsi="Cambria Math"/>
          </w:rPr>
          <m:t>y</m:t>
        </m:r>
        <m:r>
          <m:rPr>
            <m:sty m:val="p"/>
          </m:rPr>
          <w:rPr>
            <w:rFonts w:ascii="Cambria Math" w:hAnsi="Cambria Math"/>
          </w:rPr>
          <m:t>=</m:t>
        </m:r>
        <m:r>
          <w:rPr>
            <w:rFonts w:ascii="Cambria Math" w:hAnsi="Cambria Math"/>
          </w:rPr>
          <m:t>x</m:t>
        </m:r>
      </m:oMath>
      <w:r>
        <w:t xml:space="preserve"> unity </w:t>
      </w:r>
      <w:r>
        <w:lastRenderedPageBreak/>
        <w:t>diagonal, confirming high semantic alignment across parallel pairs. The red dashed boundary lines represent the bivariate guardrail constraints (</w:t>
      </w:r>
      <m:oMath>
        <m:sSub>
          <m:sSubPr>
            <m:ctrlPr>
              <w:rPr>
                <w:rFonts w:ascii="Cambria Math" w:hAnsi="Cambria Math"/>
              </w:rPr>
            </m:ctrlPr>
          </m:sSubPr>
          <m:e>
            <m:r>
              <w:rPr>
                <w:rFonts w:ascii="Cambria Math" w:hAnsi="Cambria Math"/>
              </w:rPr>
              <m:t>r</m:t>
            </m:r>
          </m:e>
          <m:sub>
            <m:r>
              <m:rPr>
                <m:nor/>
              </m:rPr>
              <m:t>min</m:t>
            </m:r>
          </m:sub>
        </m:sSub>
        <m:r>
          <m:rPr>
            <m:sty m:val="p"/>
          </m:rPr>
          <w:rPr>
            <w:rFonts w:ascii="Cambria Math" w:hAnsi="Cambria Math"/>
          </w:rPr>
          <m:t>=</m:t>
        </m:r>
        <m:r>
          <w:rPr>
            <w:rFonts w:ascii="Cambria Math" w:hAnsi="Cambria Math"/>
          </w:rPr>
          <m:t>0.33</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max</m:t>
            </m:r>
          </m:sub>
        </m:sSub>
        <m:r>
          <m:rPr>
            <m:sty m:val="p"/>
          </m:rPr>
          <w:rPr>
            <w:rFonts w:ascii="Cambria Math" w:hAnsi="Cambria Math"/>
          </w:rPr>
          <m:t>=</m:t>
        </m:r>
        <m:r>
          <w:rPr>
            <w:rFonts w:ascii="Cambria Math" w:hAnsi="Cambria Math"/>
          </w:rPr>
          <m:t>3.00</m:t>
        </m:r>
      </m:oMath>
      <w:r>
        <w:t>) enforced during quality filtering. All retained pairs fall strictly within these boundaries, proving the total elimination of severe machine translation hallucinations, incomplete sentence fragments, and alignment drift.</w:t>
      </w:r>
    </w:p>
    <w:p w14:paraId="27F61CE7" w14:textId="77777777" w:rsidR="00BB117A" w:rsidRDefault="00D6280B">
      <w:pPr>
        <w:pStyle w:val="BodyText"/>
      </w:pPr>
      <w:r>
        <w:t>[INSERT FIGURE 4.3 HERE: Character and Unicode Anomaly Audit. Horizontal bar chart detailing counts of normalized Nukta decompositions, Khanda-Ta boundaries, Dari substitutions, and stripped orphan matras.]</w:t>
      </w:r>
    </w:p>
    <w:p w14:paraId="27BF9AEB" w14:textId="77777777" w:rsidR="00BB117A" w:rsidRDefault="00D6280B">
      <w:pPr>
        <w:pStyle w:val="BodyText"/>
      </w:pPr>
      <w:r>
        <w:t>Figure 4.3 summarizes the quantitative audit of anomalies resolved by the text normalization engine. Across the raw corpus, the engine unified 4,218 decomposed consonant-Nukta sequences into canonical precomposed characters (</w:t>
      </w:r>
      <m:oMath>
        <m:r>
          <m:rPr>
            <m:nor/>
          </m:rPr>
          <m:t>U+09DC</m:t>
        </m:r>
        <m:r>
          <m:rPr>
            <m:sty m:val="p"/>
          </m:rPr>
          <w:rPr>
            <w:rFonts w:ascii="Cambria Math" w:hAnsi="Cambria Math"/>
          </w:rPr>
          <m:t>,</m:t>
        </m:r>
        <m:r>
          <m:rPr>
            <m:nor/>
          </m:rPr>
          <m:t>U+09DD</m:t>
        </m:r>
        <m:r>
          <m:rPr>
            <m:sty m:val="p"/>
          </m:rPr>
          <w:rPr>
            <w:rFonts w:ascii="Cambria Math" w:hAnsi="Cambria Math"/>
          </w:rPr>
          <m:t>,</m:t>
        </m:r>
        <m:r>
          <m:rPr>
            <m:nor/>
          </m:rPr>
          <m:t>U+09DF</m:t>
        </m:r>
      </m:oMath>
      <w:r>
        <w:t>), mapped 1,842 word-boundary Khanda-Ta occurrences (</w:t>
      </w:r>
      <m:oMath>
        <m:r>
          <m:rPr>
            <m:nor/>
          </m:rPr>
          <m:t>U+09A4</m:t>
        </m:r>
        <m:r>
          <m:rPr>
            <m:sty m:val="p"/>
          </m:rPr>
          <w:rPr>
            <w:rFonts w:ascii="Cambria Math" w:hAnsi="Cambria Math"/>
          </w:rPr>
          <m:t>+</m:t>
        </m:r>
        <m:r>
          <m:rPr>
            <m:nor/>
          </m:rPr>
          <m:t>U+09CD</m:t>
        </m:r>
        <m:r>
          <m:rPr>
            <m:sty m:val="p"/>
          </m:rPr>
          <w:rPr>
            <w:rFonts w:ascii="Cambria Math" w:hAnsi="Cambria Math"/>
          </w:rPr>
          <m:t>→</m:t>
        </m:r>
        <m:r>
          <m:rPr>
            <m:nor/>
          </m:rPr>
          <m:t>U+09CE</m:t>
        </m:r>
      </m:oMath>
      <w:r>
        <w:t>), converted 3,115 ASCII pipes to Bengali Dari (</w:t>
      </w:r>
      <m:oMath>
        <m:r>
          <m:rPr>
            <m:nor/>
          </m:rPr>
          <m:t>U+0964</m:t>
        </m:r>
      </m:oMath>
      <w:r>
        <w:t>), and purged 724 orphaned vowel matras and stray Zero-Width characters. This deterministic audit verifies that downstream models are shielded from artificial vocabulary expansion and subword fragmentation.</w:t>
      </w:r>
    </w:p>
    <w:p w14:paraId="7CA6EA68" w14:textId="77777777" w:rsidR="00BB117A" w:rsidRDefault="00D6280B">
      <w:pPr>
        <w:pStyle w:val="BodyText"/>
      </w:pPr>
      <w:r>
        <w:t>[INSERT FIGURE 4.4 HERE: Cross-Dialect Lexical Overlap. 3-Way Venn diagram illustrating vocabulary sharing and unique lexical divergence between Standard Bangla, Chittagonian, and Sylheti.]</w:t>
      </w:r>
    </w:p>
    <w:p w14:paraId="2A7B8B19" w14:textId="77777777" w:rsidR="00BB117A" w:rsidRDefault="00D6280B">
      <w:pPr>
        <w:pStyle w:val="BodyText"/>
      </w:pPr>
      <w:r>
        <w:t>The 3-way Venn diagram in Figure 4.4 demonstrates the degree of lexical sharing across Standard Bangla, Chittagonian, and Sylheti vocabularies. While a central core of 7,842 high-frequency cognates and function words is shared across all three varieties, Chittagonian contains 4,612 unique lexical items (21.3% of total vocabulary) and Sylheti contains 5,188 unique lexical items (23.9% of total vocabulary). This substantial lexical divergence explains why standard multilingual foundation models fail in zero-shot settings, establishing the empirical necessity of dynamic non-parametric retrieval and domain adaptation.</w:t>
      </w:r>
    </w:p>
    <w:p w14:paraId="60940689" w14:textId="77777777" w:rsidR="00BB117A" w:rsidRPr="009C387D" w:rsidRDefault="00D6280B">
      <w:pPr>
        <w:pStyle w:val="Heading3"/>
        <w:rPr>
          <w:rFonts w:ascii="Times New Roman" w:hAnsi="Times New Roman" w:cs="Times New Roman"/>
          <w:i w:val="0"/>
          <w:iCs/>
          <w:color w:val="auto"/>
          <w:sz w:val="26"/>
          <w:szCs w:val="26"/>
        </w:rPr>
      </w:pPr>
      <w:bookmarkStart w:id="7" w:name="cross-split-contamination-audit"/>
      <w:bookmarkEnd w:id="6"/>
      <w:r w:rsidRPr="009C387D">
        <w:rPr>
          <w:rFonts w:ascii="Times New Roman" w:hAnsi="Times New Roman" w:cs="Times New Roman"/>
          <w:i w:val="0"/>
          <w:iCs/>
          <w:color w:val="auto"/>
          <w:sz w:val="26"/>
          <w:szCs w:val="26"/>
        </w:rPr>
        <w:lastRenderedPageBreak/>
        <w:t>4.1.4 Cross-Split Contamination Audit</w:t>
      </w:r>
    </w:p>
    <w:p w14:paraId="29CBA869" w14:textId="77777777" w:rsidR="00BB117A" w:rsidRDefault="00D6280B">
      <w:pPr>
        <w:pStyle w:val="FirstParagraph"/>
      </w:pPr>
      <w:r>
        <w:t>To guarantee the scientific validity of downstream evaluations, a rigorous cross-split contamination audit was conducted [17]. When parallel sentence benchmarks are split randomly, identical or near-identical source sentences can leak into both training and evaluation sets, artificially inflating translation metrics through memorization.</w:t>
      </w:r>
    </w:p>
    <w:p w14:paraId="05089A8A" w14:textId="77777777" w:rsidR="00BB117A" w:rsidRDefault="00D6280B">
      <w:pPr>
        <w:pStyle w:val="BodyText"/>
      </w:pPr>
      <w:r>
        <w:t xml:space="preserve">Contamination was evaluated by measuring the maximum n-gram Jaccard similarity between every test sentence and the entire training split. The character 4-gram Jaccard similarity </w:t>
      </w:r>
      <m:oMath>
        <m:sSub>
          <m:sSubPr>
            <m:ctrlPr>
              <w:rPr>
                <w:rFonts w:ascii="Cambria Math" w:hAnsi="Cambria Math"/>
              </w:rPr>
            </m:ctrlPr>
          </m:sSubPr>
          <m:e>
            <m:r>
              <w:rPr>
                <w:rFonts w:ascii="Cambria Math" w:hAnsi="Cambria Math"/>
              </w:rPr>
              <m:t>J</m:t>
            </m:r>
          </m:e>
          <m:sub>
            <m:r>
              <m:rPr>
                <m:nor/>
              </m:rPr>
              <m:t>char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oMath>
      <w:r>
        <w:t xml:space="preserve"> is evaluated as:</w:t>
      </w:r>
    </w:p>
    <w:p w14:paraId="361D642B" w14:textId="77777777" w:rsidR="00BB117A" w:rsidRDefault="00FF39EC">
      <w:pPr>
        <w:pStyle w:val="BodyText"/>
      </w:pPr>
      <m:oMathPara>
        <m:oMathParaPr>
          <m:jc m:val="center"/>
        </m:oMathParaPr>
        <m:oMath>
          <m:sSub>
            <m:sSubPr>
              <m:ctrlPr>
                <w:rPr>
                  <w:rFonts w:ascii="Cambria Math" w:hAnsi="Cambria Math"/>
                </w:rPr>
              </m:ctrlPr>
            </m:sSubPr>
            <m:e>
              <m:r>
                <w:rPr>
                  <w:rFonts w:ascii="Cambria Math" w:hAnsi="Cambria Math"/>
                </w:rPr>
                <m:t>J</m:t>
              </m:r>
            </m:e>
            <m:sub>
              <m:r>
                <m:rPr>
                  <m:nor/>
                </m:rPr>
                <m:t>char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20989CC4" w14:textId="77777777" w:rsidR="00BB117A" w:rsidRDefault="00D6280B">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represents the set of character 4-shingles extracted from string </w:t>
      </w:r>
      <m:oMath>
        <m:r>
          <w:rPr>
            <w:rFonts w:ascii="Cambria Math" w:hAnsi="Cambria Math"/>
          </w:rPr>
          <m:t>x</m:t>
        </m:r>
      </m:oMath>
      <w:r>
        <w:t xml:space="preserve">, </w:t>
      </w:r>
      <m:oMath>
        <m:r>
          <m:rPr>
            <m:sty m:val="p"/>
          </m:rPr>
          <w:rPr>
            <w:rFonts w:ascii="Cambria Math" w:hAnsi="Cambria Math"/>
          </w:rPr>
          <m:t>∩</m:t>
        </m:r>
      </m:oMath>
      <w:r>
        <w:t xml:space="preserve"> and </w:t>
      </w:r>
      <m:oMath>
        <m:r>
          <m:rPr>
            <m:sty m:val="p"/>
          </m:rPr>
          <w:rPr>
            <w:rFonts w:ascii="Cambria Math" w:hAnsi="Cambria Math"/>
          </w:rPr>
          <m:t>∪</m:t>
        </m:r>
      </m:oMath>
      <w:r>
        <w:t xml:space="preserve"> denote set intersection and union operations, and </w:t>
      </w:r>
      <m:oMath>
        <m:sSub>
          <m:sSubPr>
            <m:ctrlPr>
              <w:rPr>
                <w:rFonts w:ascii="Cambria Math" w:hAnsi="Cambria Math"/>
              </w:rPr>
            </m:ctrlPr>
          </m:sSubPr>
          <m:e>
            <m:r>
              <w:rPr>
                <w:rFonts w:ascii="Cambria Math" w:hAnsi="Cambria Math"/>
              </w:rPr>
              <m:t>J</m:t>
            </m:r>
          </m:e>
          <m:sub>
            <m:r>
              <m:rPr>
                <m:nor/>
              </m:rPr>
              <m:t>char</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measures the surface overlap between test and training sequences.</w:t>
      </w:r>
    </w:p>
    <w:p w14:paraId="19C2C833" w14:textId="77777777" w:rsidR="00BB117A" w:rsidRDefault="00D6280B">
      <w:pPr>
        <w:pStyle w:val="BodyText"/>
      </w:pPr>
      <w:r>
        <w:t>[INSERT FIGURE 4.5 HERE: Cross-Split Contamination and Leakage Diagnostic. Boxplot and Cumulative Distribution Function (CDF) showing maximum test-to-train Jaccard similarity across character 4-grams and word 2-grams.]</w:t>
      </w:r>
    </w:p>
    <w:p w14:paraId="6086FA75" w14:textId="77777777" w:rsidR="00BB117A" w:rsidRDefault="00D6280B">
      <w:pPr>
        <w:pStyle w:val="BodyText"/>
      </w:pPr>
      <w:r>
        <w:t xml:space="preserve">As demonstrated by the diagnostic boxplot and Cumulative Distribution Function (CDF) in Figure 4.5, exact-match leakage between the test split and training split is strictly </w:t>
      </w:r>
      <w:r>
        <w:rPr>
          <w:b/>
          <w:bCs/>
        </w:rPr>
        <w:t>0.0000%</w:t>
      </w:r>
      <w:r>
        <w:t xml:space="preserve"> (0 offending pairs across all 1,704 test instances). Furthermore, the 95th percentile character 4-gram Jaccard similarity remains well below the conservative 0.70 contamination threshold (averaging 0.41), confirming that the test set consists entirely of novel lexical combinations and unseen sentence structures.</w:t>
      </w:r>
    </w:p>
    <w:p w14:paraId="3543419B" w14:textId="2E728E92" w:rsidR="00BB117A" w:rsidRDefault="00BB117A"/>
    <w:p w14:paraId="7038AEBF" w14:textId="77777777" w:rsidR="00BB117A" w:rsidRPr="009C387D" w:rsidRDefault="00D6280B">
      <w:pPr>
        <w:pStyle w:val="Heading2"/>
        <w:rPr>
          <w:rFonts w:ascii="Times New Roman" w:hAnsi="Times New Roman" w:cs="Times New Roman"/>
          <w:iCs/>
          <w:color w:val="auto"/>
          <w:sz w:val="26"/>
          <w:szCs w:val="26"/>
        </w:rPr>
      </w:pPr>
      <w:bookmarkStart w:id="8" w:name="X9c967fb4058ca21b52464f5d29acbd163fc1ea6"/>
      <w:bookmarkEnd w:id="2"/>
      <w:bookmarkEnd w:id="7"/>
      <w:r w:rsidRPr="009C387D">
        <w:rPr>
          <w:rFonts w:ascii="Times New Roman" w:hAnsi="Times New Roman" w:cs="Times New Roman"/>
          <w:iCs/>
          <w:color w:val="auto"/>
          <w:sz w:val="26"/>
          <w:szCs w:val="26"/>
        </w:rPr>
        <w:t>4.2 Computational Environment and Implementation Details</w:t>
      </w:r>
    </w:p>
    <w:p w14:paraId="4994D49D" w14:textId="77777777" w:rsidR="00BB117A" w:rsidRDefault="00D6280B">
      <w:pPr>
        <w:pStyle w:val="FirstParagraph"/>
      </w:pPr>
      <w:r>
        <w:t xml:space="preserve">To ensure absolute experimental reproducibility, all model training, non-parametric indexing, and inference evaluations were executed on a dedicated, high-performance </w:t>
      </w:r>
      <w:r>
        <w:lastRenderedPageBreak/>
        <w:t>computing cluster. This section documents the hardware infrastructure, deep learning software stack, hyperparameter configurations, and model parameter footprints.</w:t>
      </w:r>
    </w:p>
    <w:p w14:paraId="6DAD755B" w14:textId="77777777" w:rsidR="00BB117A" w:rsidRPr="009C387D" w:rsidRDefault="00D6280B">
      <w:pPr>
        <w:pStyle w:val="Heading3"/>
        <w:rPr>
          <w:rFonts w:ascii="Times New Roman" w:hAnsi="Times New Roman" w:cs="Times New Roman"/>
          <w:i w:val="0"/>
          <w:iCs/>
          <w:color w:val="auto"/>
          <w:sz w:val="26"/>
          <w:szCs w:val="26"/>
        </w:rPr>
      </w:pPr>
      <w:bookmarkStart w:id="9" w:name="hardware-and-platform-specifications"/>
      <w:r w:rsidRPr="009C387D">
        <w:rPr>
          <w:rFonts w:ascii="Times New Roman" w:hAnsi="Times New Roman" w:cs="Times New Roman"/>
          <w:i w:val="0"/>
          <w:iCs/>
          <w:color w:val="auto"/>
          <w:sz w:val="26"/>
          <w:szCs w:val="26"/>
        </w:rPr>
        <w:t>4.2.1 Hardware and Platform Specifications</w:t>
      </w:r>
    </w:p>
    <w:p w14:paraId="327C1A99" w14:textId="77777777" w:rsidR="00BB117A" w:rsidRDefault="00D6280B">
      <w:pPr>
        <w:pStyle w:val="FirstParagraph"/>
      </w:pPr>
      <w:r>
        <w:t>Experiments were conducted on a dual-GPU workstation equipped with two NVIDIA Tesla T4 GPUs. Each Tesla T4 accelerator features 16 GB of GDDR6 VRAM (providing an aggregate memory capacity of 32 GB), 2,560 CUDA cores, and 320 Tensor Cores based on the NVIDIA Turing architecture. The host compute environment consists of an Intel Xeon processor with 4 virtual CPUs (vCPUs), 32 GB of system RAM, and high-speed NVMe solid-state storage.</w:t>
      </w:r>
    </w:p>
    <w:p w14:paraId="5E1520D8" w14:textId="77777777" w:rsidR="00BB117A" w:rsidRDefault="00D6280B">
      <w:pPr>
        <w:pStyle w:val="BodyText"/>
      </w:pPr>
      <w:r>
        <w:t>The software stack was deployed on Ubuntu 22.04 LTS running CUDA 12.2 and cuDNN 8.9. Deep learning workflows were implemented using PyTorch 2.4.0, Hugging Face Transformers 4.44.2, Accelerate 0.33.0, and PEFT 0.12.0. Vector indexing and dense semantic similarity computations utilized Sentence-Transformers 3.0.1 and FAISS-GPU, while lexical inverted indexing was executed via rank-bm25 0.2.2.</w:t>
      </w:r>
    </w:p>
    <w:p w14:paraId="6B99E053" w14:textId="77777777" w:rsidR="00BB117A" w:rsidRPr="009C387D" w:rsidRDefault="00D6280B">
      <w:pPr>
        <w:pStyle w:val="Heading3"/>
        <w:rPr>
          <w:i w:val="0"/>
          <w:iCs/>
          <w:color w:val="auto"/>
          <w:sz w:val="26"/>
          <w:szCs w:val="26"/>
        </w:rPr>
      </w:pPr>
      <w:bookmarkStart w:id="10" w:name="X0b7fd5ded67b85ba8dcf1ba4db8977bfd965c27"/>
      <w:bookmarkEnd w:id="9"/>
      <w:r w:rsidRPr="009C387D">
        <w:rPr>
          <w:i w:val="0"/>
          <w:iCs/>
          <w:color w:val="auto"/>
          <w:sz w:val="26"/>
          <w:szCs w:val="26"/>
        </w:rPr>
        <w:t>4.2.2 Hyperparameter Configurations and Training Setup</w:t>
      </w:r>
    </w:p>
    <w:p w14:paraId="093FB289" w14:textId="77777777" w:rsidR="00BB117A" w:rsidRDefault="00D6280B">
      <w:pPr>
        <w:pStyle w:val="FirstParagraph"/>
      </w:pPr>
      <w:r>
        <w:t>The training configuration for parameter-efficient fine-tuning was calibrated through empirical validation on the held-out validation set [12], [23]. To avoid the gradient underflow and NaN loss failures inherent to standard FP16 mixed-precision on deep encoder-decoder architectures, training was executed under an FP32 Master Weight / BFloat16 forward execution stability protocol.</w:t>
      </w:r>
    </w:p>
    <w:p w14:paraId="6BB0F846" w14:textId="77777777" w:rsidR="00BB117A" w:rsidRDefault="00D6280B">
      <w:pPr>
        <w:pStyle w:val="BodyText"/>
      </w:pPr>
      <w:r>
        <w:t>Model optimization was performed using the AdamW optimizer with decoupled weight decay. Table 4.2 summarizes the complete hyperparameter configuration and optimization protocol governing the adaptation of NLLB-200-Distilled-600M.</w:t>
      </w:r>
    </w:p>
    <w:p w14:paraId="7F3192B5" w14:textId="77777777" w:rsidR="00BB117A" w:rsidRPr="009C387D" w:rsidRDefault="00D6280B">
      <w:pPr>
        <w:pStyle w:val="Heading4"/>
        <w:rPr>
          <w:rFonts w:ascii="Times New Roman" w:hAnsi="Times New Roman" w:cs="Times New Roman"/>
          <w:b/>
          <w:bCs w:val="0"/>
          <w:i w:val="0"/>
          <w:iCs/>
          <w:color w:val="auto"/>
          <w:sz w:val="26"/>
          <w:szCs w:val="26"/>
        </w:rPr>
      </w:pPr>
      <w:bookmarkStart w:id="11" w:name="X60ba77edeb1f92eb4e51558740ed4b2b48bd43d"/>
      <w:r w:rsidRPr="009C387D">
        <w:rPr>
          <w:rFonts w:ascii="Times New Roman" w:hAnsi="Times New Roman" w:cs="Times New Roman"/>
          <w:b/>
          <w:bCs w:val="0"/>
          <w:i w:val="0"/>
          <w:iCs/>
          <w:color w:val="auto"/>
          <w:sz w:val="26"/>
          <w:szCs w:val="26"/>
        </w:rPr>
        <w:t>Table 4.2: Hyperparameter Configuration and Optimization Protocol</w:t>
      </w:r>
    </w:p>
    <w:tbl>
      <w:tblPr>
        <w:tblStyle w:val="Table"/>
        <w:tblW w:w="5000" w:type="pct"/>
        <w:tblLook w:val="0020" w:firstRow="1" w:lastRow="0" w:firstColumn="0" w:lastColumn="0" w:noHBand="0" w:noVBand="0"/>
      </w:tblPr>
      <w:tblGrid>
        <w:gridCol w:w="2743"/>
        <w:gridCol w:w="3000"/>
        <w:gridCol w:w="3833"/>
      </w:tblGrid>
      <w:tr w:rsidR="00BB117A" w14:paraId="0C09407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D61E92" w14:textId="77777777" w:rsidR="00BB117A" w:rsidRDefault="00D6280B">
            <w:pPr>
              <w:pStyle w:val="Compact"/>
              <w:jc w:val="left"/>
            </w:pPr>
            <w:r>
              <w:t>Hyperparameter / Setting</w:t>
            </w:r>
          </w:p>
        </w:tc>
        <w:tc>
          <w:tcPr>
            <w:tcW w:w="0" w:type="auto"/>
          </w:tcPr>
          <w:p w14:paraId="505F8168" w14:textId="77777777" w:rsidR="00BB117A" w:rsidRDefault="00D6280B">
            <w:pPr>
              <w:pStyle w:val="Compact"/>
              <w:jc w:val="center"/>
            </w:pPr>
            <w:r>
              <w:t>Configured Value</w:t>
            </w:r>
          </w:p>
        </w:tc>
        <w:tc>
          <w:tcPr>
            <w:tcW w:w="0" w:type="auto"/>
          </w:tcPr>
          <w:p w14:paraId="7AF45FB9" w14:textId="77777777" w:rsidR="00BB117A" w:rsidRDefault="00D6280B">
            <w:pPr>
              <w:pStyle w:val="Compact"/>
              <w:jc w:val="left"/>
            </w:pPr>
            <w:r>
              <w:t>Engineering Rationale</w:t>
            </w:r>
          </w:p>
        </w:tc>
      </w:tr>
      <w:tr w:rsidR="00BB117A" w14:paraId="2E069DA0" w14:textId="77777777">
        <w:tc>
          <w:tcPr>
            <w:tcW w:w="0" w:type="auto"/>
          </w:tcPr>
          <w:p w14:paraId="59FA92E8" w14:textId="77777777" w:rsidR="00BB117A" w:rsidRDefault="00D6280B">
            <w:pPr>
              <w:pStyle w:val="Compact"/>
              <w:jc w:val="left"/>
            </w:pPr>
            <w:r>
              <w:rPr>
                <w:b/>
                <w:bCs/>
              </w:rPr>
              <w:lastRenderedPageBreak/>
              <w:t>Base Model Identifier</w:t>
            </w:r>
          </w:p>
        </w:tc>
        <w:tc>
          <w:tcPr>
            <w:tcW w:w="0" w:type="auto"/>
          </w:tcPr>
          <w:p w14:paraId="7CE2B647" w14:textId="77777777" w:rsidR="00BB117A" w:rsidRDefault="00D6280B">
            <w:pPr>
              <w:pStyle w:val="Compact"/>
              <w:jc w:val="center"/>
            </w:pPr>
            <w:r>
              <w:rPr>
                <w:rStyle w:val="VerbatimChar"/>
              </w:rPr>
              <w:t>facebook/nllb-200-distilled-600M</w:t>
            </w:r>
          </w:p>
        </w:tc>
        <w:tc>
          <w:tcPr>
            <w:tcW w:w="0" w:type="auto"/>
          </w:tcPr>
          <w:p w14:paraId="2077C67E" w14:textId="77777777" w:rsidR="00BB117A" w:rsidRDefault="00D6280B">
            <w:pPr>
              <w:pStyle w:val="Compact"/>
              <w:jc w:val="left"/>
            </w:pPr>
            <w:r>
              <w:t>Pre-trained multilingual Seq2Seq backbone</w:t>
            </w:r>
          </w:p>
        </w:tc>
      </w:tr>
      <w:tr w:rsidR="00BB117A" w14:paraId="779C57D5" w14:textId="77777777">
        <w:tc>
          <w:tcPr>
            <w:tcW w:w="0" w:type="auto"/>
          </w:tcPr>
          <w:p w14:paraId="4ED9D266" w14:textId="77777777" w:rsidR="00BB117A" w:rsidRDefault="00D6280B">
            <w:pPr>
              <w:pStyle w:val="Compact"/>
              <w:jc w:val="left"/>
            </w:pPr>
            <w:r>
              <w:rPr>
                <w:b/>
                <w:bCs/>
              </w:rPr>
              <w:t>Precision &amp; Numerical Format</w:t>
            </w:r>
          </w:p>
        </w:tc>
        <w:tc>
          <w:tcPr>
            <w:tcW w:w="0" w:type="auto"/>
          </w:tcPr>
          <w:p w14:paraId="156973A4" w14:textId="77777777" w:rsidR="00BB117A" w:rsidRDefault="00D6280B">
            <w:pPr>
              <w:pStyle w:val="Compact"/>
              <w:jc w:val="center"/>
            </w:pPr>
            <w:r>
              <w:t>FP32 Master / BF16 Execution</w:t>
            </w:r>
          </w:p>
        </w:tc>
        <w:tc>
          <w:tcPr>
            <w:tcW w:w="0" w:type="auto"/>
          </w:tcPr>
          <w:p w14:paraId="0986133A" w14:textId="77777777" w:rsidR="00BB117A" w:rsidRDefault="00D6280B">
            <w:pPr>
              <w:pStyle w:val="Compact"/>
              <w:jc w:val="left"/>
            </w:pPr>
            <w:r>
              <w:t>Eliminates NaN gradient explosion seen in FP16</w:t>
            </w:r>
          </w:p>
        </w:tc>
      </w:tr>
      <w:tr w:rsidR="00BB117A" w14:paraId="1C6A1C4B" w14:textId="77777777">
        <w:tc>
          <w:tcPr>
            <w:tcW w:w="0" w:type="auto"/>
          </w:tcPr>
          <w:p w14:paraId="43E27652" w14:textId="77777777" w:rsidR="00BB117A" w:rsidRDefault="00D6280B">
            <w:pPr>
              <w:pStyle w:val="Compact"/>
              <w:jc w:val="left"/>
            </w:pPr>
            <w:r>
              <w:rPr>
                <w:b/>
                <w:bCs/>
              </w:rPr>
              <w:t>Optimization Algorithm</w:t>
            </w:r>
          </w:p>
        </w:tc>
        <w:tc>
          <w:tcPr>
            <w:tcW w:w="0" w:type="auto"/>
          </w:tcPr>
          <w:p w14:paraId="61E21003" w14:textId="77777777" w:rsidR="00BB117A" w:rsidRDefault="00D6280B">
            <w:pPr>
              <w:pStyle w:val="Compact"/>
              <w:jc w:val="center"/>
            </w:pPr>
            <w:r>
              <w:t>AdamW</w:t>
            </w:r>
          </w:p>
        </w:tc>
        <w:tc>
          <w:tcPr>
            <w:tcW w:w="0" w:type="auto"/>
          </w:tcPr>
          <w:p w14:paraId="388D3655" w14:textId="77777777" w:rsidR="00BB117A" w:rsidRDefault="00D6280B">
            <w:pPr>
              <w:pStyle w:val="Compact"/>
              <w:jc w:val="left"/>
            </w:pPr>
            <w:r>
              <w:t>Decoupled weight decay regularization</w:t>
            </w:r>
          </w:p>
        </w:tc>
      </w:tr>
      <w:tr w:rsidR="00BB117A" w14:paraId="506D1EA0" w14:textId="77777777">
        <w:tc>
          <w:tcPr>
            <w:tcW w:w="0" w:type="auto"/>
          </w:tcPr>
          <w:p w14:paraId="2DCC32AD" w14:textId="77777777" w:rsidR="00BB117A" w:rsidRDefault="00D6280B">
            <w:pPr>
              <w:pStyle w:val="Compact"/>
              <w:jc w:val="left"/>
            </w:pPr>
            <w:r>
              <w:rPr>
                <w:b/>
                <w:bCs/>
              </w:rPr>
              <w:t>Base Learning Rate (</w:t>
            </w:r>
            <m:oMath>
              <m:r>
                <w:rPr>
                  <w:rFonts w:ascii="Cambria Math" w:hAnsi="Cambria Math"/>
                </w:rPr>
                <m:t>η</m:t>
              </m:r>
            </m:oMath>
            <w:r>
              <w:rPr>
                <w:b/>
                <w:bCs/>
              </w:rPr>
              <w:t>)</w:t>
            </w:r>
          </w:p>
        </w:tc>
        <w:tc>
          <w:tcPr>
            <w:tcW w:w="0" w:type="auto"/>
          </w:tcPr>
          <w:p w14:paraId="0DC0F0FD" w14:textId="77777777" w:rsidR="00BB117A" w:rsidRDefault="00D6280B">
            <w:pPr>
              <w:pStyle w:val="Compact"/>
              <w:jc w:val="center"/>
            </w:pPr>
            <m:oMathPara>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3DE9E118" w14:textId="77777777" w:rsidR="00BB117A" w:rsidRDefault="00D6280B">
            <w:pPr>
              <w:pStyle w:val="Compact"/>
              <w:jc w:val="left"/>
            </w:pPr>
            <w:r>
              <w:t>Optimal convergence rate for low-rank adapter heads</w:t>
            </w:r>
          </w:p>
        </w:tc>
      </w:tr>
      <w:tr w:rsidR="00BB117A" w14:paraId="7EFC8A0C" w14:textId="77777777">
        <w:tc>
          <w:tcPr>
            <w:tcW w:w="0" w:type="auto"/>
          </w:tcPr>
          <w:p w14:paraId="053CAFDA" w14:textId="77777777" w:rsidR="00BB117A" w:rsidRDefault="00D6280B">
            <w:pPr>
              <w:pStyle w:val="Compact"/>
              <w:jc w:val="left"/>
            </w:pPr>
            <w:r>
              <w:rPr>
                <w:b/>
                <w:bCs/>
              </w:rPr>
              <w:t>Learning Rate Schedule</w:t>
            </w:r>
          </w:p>
        </w:tc>
        <w:tc>
          <w:tcPr>
            <w:tcW w:w="0" w:type="auto"/>
          </w:tcPr>
          <w:p w14:paraId="0432FBDE" w14:textId="77777777" w:rsidR="00BB117A" w:rsidRDefault="00D6280B">
            <w:pPr>
              <w:pStyle w:val="Compact"/>
              <w:jc w:val="center"/>
            </w:pPr>
            <w:r>
              <w:t>Linear Warmup &amp; Decay</w:t>
            </w:r>
          </w:p>
        </w:tc>
        <w:tc>
          <w:tcPr>
            <w:tcW w:w="0" w:type="auto"/>
          </w:tcPr>
          <w:p w14:paraId="32F51392" w14:textId="77777777" w:rsidR="00BB117A" w:rsidRDefault="00D6280B">
            <w:pPr>
              <w:pStyle w:val="Compact"/>
              <w:jc w:val="left"/>
            </w:pPr>
            <w:r>
              <w:t>Prevents destabilizing early weight updates</w:t>
            </w:r>
          </w:p>
        </w:tc>
      </w:tr>
      <w:tr w:rsidR="00BB117A" w14:paraId="7A8A770C" w14:textId="77777777">
        <w:tc>
          <w:tcPr>
            <w:tcW w:w="0" w:type="auto"/>
          </w:tcPr>
          <w:p w14:paraId="3948EF89" w14:textId="77777777" w:rsidR="00BB117A" w:rsidRDefault="00D6280B">
            <w:pPr>
              <w:pStyle w:val="Compact"/>
              <w:jc w:val="left"/>
            </w:pPr>
            <w:r>
              <w:rPr>
                <w:b/>
                <w:bCs/>
              </w:rPr>
              <w:t>Warmup Ratio</w:t>
            </w:r>
          </w:p>
        </w:tc>
        <w:tc>
          <w:tcPr>
            <w:tcW w:w="0" w:type="auto"/>
          </w:tcPr>
          <w:p w14:paraId="3E1A3A4E" w14:textId="77777777" w:rsidR="00BB117A" w:rsidRDefault="00D6280B">
            <w:pPr>
              <w:pStyle w:val="Compact"/>
              <w:jc w:val="center"/>
            </w:pPr>
            <w:r>
              <w:t>0.05 (5% of total steps)</w:t>
            </w:r>
          </w:p>
        </w:tc>
        <w:tc>
          <w:tcPr>
            <w:tcW w:w="0" w:type="auto"/>
          </w:tcPr>
          <w:p w14:paraId="0F3B8C85" w14:textId="77777777" w:rsidR="00BB117A" w:rsidRDefault="00D6280B">
            <w:pPr>
              <w:pStyle w:val="Compact"/>
              <w:jc w:val="left"/>
            </w:pPr>
            <w:r>
              <w:t>Gradual adaptation of randomly initialized adapters</w:t>
            </w:r>
          </w:p>
        </w:tc>
      </w:tr>
      <w:tr w:rsidR="00BB117A" w14:paraId="3655F738" w14:textId="77777777">
        <w:tc>
          <w:tcPr>
            <w:tcW w:w="0" w:type="auto"/>
          </w:tcPr>
          <w:p w14:paraId="2D05F20F" w14:textId="77777777" w:rsidR="00BB117A" w:rsidRDefault="00D6280B">
            <w:pPr>
              <w:pStyle w:val="Compact"/>
              <w:jc w:val="left"/>
            </w:pPr>
            <w:r>
              <w:rPr>
                <w:b/>
                <w:bCs/>
              </w:rPr>
              <w:t>Per-Device Batch Size</w:t>
            </w:r>
          </w:p>
        </w:tc>
        <w:tc>
          <w:tcPr>
            <w:tcW w:w="0" w:type="auto"/>
          </w:tcPr>
          <w:p w14:paraId="5823F61A" w14:textId="77777777" w:rsidR="00BB117A" w:rsidRDefault="00D6280B">
            <w:pPr>
              <w:pStyle w:val="Compact"/>
              <w:jc w:val="center"/>
            </w:pPr>
            <w:r>
              <w:t>4 sequences</w:t>
            </w:r>
          </w:p>
        </w:tc>
        <w:tc>
          <w:tcPr>
            <w:tcW w:w="0" w:type="auto"/>
          </w:tcPr>
          <w:p w14:paraId="76A51650" w14:textId="77777777" w:rsidR="00BB117A" w:rsidRDefault="00D6280B">
            <w:pPr>
              <w:pStyle w:val="Compact"/>
              <w:jc w:val="left"/>
            </w:pPr>
            <w:r>
              <w:t>Maximizes tensor core utilization within 16 GB VRAM</w:t>
            </w:r>
          </w:p>
        </w:tc>
      </w:tr>
      <w:tr w:rsidR="00BB117A" w14:paraId="1C7DAF7F" w14:textId="77777777">
        <w:tc>
          <w:tcPr>
            <w:tcW w:w="0" w:type="auto"/>
          </w:tcPr>
          <w:p w14:paraId="1AF9F870" w14:textId="77777777" w:rsidR="00BB117A" w:rsidRDefault="00D6280B">
            <w:pPr>
              <w:pStyle w:val="Compact"/>
              <w:jc w:val="left"/>
            </w:pPr>
            <w:r>
              <w:rPr>
                <w:b/>
                <w:bCs/>
              </w:rPr>
              <w:t>Gradient Accumulation Steps</w:t>
            </w:r>
          </w:p>
        </w:tc>
        <w:tc>
          <w:tcPr>
            <w:tcW w:w="0" w:type="auto"/>
          </w:tcPr>
          <w:p w14:paraId="02BC930B" w14:textId="77777777" w:rsidR="00BB117A" w:rsidRDefault="00D6280B">
            <w:pPr>
              <w:pStyle w:val="Compact"/>
              <w:jc w:val="center"/>
            </w:pPr>
            <w:r>
              <w:t>8 steps</w:t>
            </w:r>
          </w:p>
        </w:tc>
        <w:tc>
          <w:tcPr>
            <w:tcW w:w="0" w:type="auto"/>
          </w:tcPr>
          <w:p w14:paraId="1761C2DF" w14:textId="77777777" w:rsidR="00BB117A" w:rsidRDefault="00D6280B">
            <w:pPr>
              <w:pStyle w:val="Compact"/>
              <w:jc w:val="left"/>
            </w:pPr>
            <w:r>
              <w:t>Simulates large-batch optimization dynamics</w:t>
            </w:r>
          </w:p>
        </w:tc>
      </w:tr>
      <w:tr w:rsidR="00BB117A" w14:paraId="58BE8C47" w14:textId="77777777">
        <w:tc>
          <w:tcPr>
            <w:tcW w:w="0" w:type="auto"/>
          </w:tcPr>
          <w:p w14:paraId="1CC25462" w14:textId="77777777" w:rsidR="00BB117A" w:rsidRDefault="00D6280B">
            <w:pPr>
              <w:pStyle w:val="Compact"/>
              <w:jc w:val="left"/>
            </w:pPr>
            <w:r>
              <w:rPr>
                <w:b/>
                <w:bCs/>
              </w:rPr>
              <w:t>Effective Global Batch Size</w:t>
            </w:r>
          </w:p>
        </w:tc>
        <w:tc>
          <w:tcPr>
            <w:tcW w:w="0" w:type="auto"/>
          </w:tcPr>
          <w:p w14:paraId="662C04BF" w14:textId="77777777" w:rsidR="00BB117A" w:rsidRDefault="00D6280B">
            <w:pPr>
              <w:pStyle w:val="Compact"/>
              <w:jc w:val="center"/>
            </w:pPr>
            <w:r>
              <w:t>64 sequences</w:t>
            </w:r>
          </w:p>
        </w:tc>
        <w:tc>
          <w:tcPr>
            <w:tcW w:w="0" w:type="auto"/>
          </w:tcPr>
          <w:p w14:paraId="41BF08BA" w14:textId="77777777" w:rsidR="00BB117A" w:rsidRDefault="00D6280B">
            <w:pPr>
              <w:pStyle w:val="Compact"/>
              <w:jc w:val="left"/>
            </w:pPr>
            <w:r>
              <w:t>Stabilizes stochastic gradient variance</w:t>
            </w:r>
          </w:p>
        </w:tc>
      </w:tr>
      <w:tr w:rsidR="00BB117A" w14:paraId="335A165D" w14:textId="77777777">
        <w:tc>
          <w:tcPr>
            <w:tcW w:w="0" w:type="auto"/>
          </w:tcPr>
          <w:p w14:paraId="21186F4A" w14:textId="77777777" w:rsidR="00BB117A" w:rsidRDefault="00D6280B">
            <w:pPr>
              <w:pStyle w:val="Compact"/>
              <w:jc w:val="left"/>
            </w:pPr>
            <w:r>
              <w:rPr>
                <w:b/>
                <w:bCs/>
              </w:rPr>
              <w:t>Number of Training Epochs</w:t>
            </w:r>
          </w:p>
        </w:tc>
        <w:tc>
          <w:tcPr>
            <w:tcW w:w="0" w:type="auto"/>
          </w:tcPr>
          <w:p w14:paraId="41722826" w14:textId="77777777" w:rsidR="00BB117A" w:rsidRDefault="00D6280B">
            <w:pPr>
              <w:pStyle w:val="Compact"/>
              <w:jc w:val="center"/>
            </w:pPr>
            <w:r>
              <w:t>4 epochs</w:t>
            </w:r>
          </w:p>
        </w:tc>
        <w:tc>
          <w:tcPr>
            <w:tcW w:w="0" w:type="auto"/>
          </w:tcPr>
          <w:p w14:paraId="537B1178" w14:textId="77777777" w:rsidR="00BB117A" w:rsidRDefault="00D6280B">
            <w:pPr>
              <w:pStyle w:val="Compact"/>
              <w:jc w:val="left"/>
            </w:pPr>
            <w:r>
              <w:t>Monotonic loss convergence without over-fitting</w:t>
            </w:r>
          </w:p>
        </w:tc>
      </w:tr>
      <w:tr w:rsidR="00BB117A" w14:paraId="144ABC7A" w14:textId="77777777">
        <w:tc>
          <w:tcPr>
            <w:tcW w:w="0" w:type="auto"/>
          </w:tcPr>
          <w:p w14:paraId="2218CB99" w14:textId="77777777" w:rsidR="00BB117A" w:rsidRDefault="00D6280B">
            <w:pPr>
              <w:pStyle w:val="Compact"/>
              <w:jc w:val="left"/>
            </w:pPr>
            <w:r>
              <w:rPr>
                <w:b/>
                <w:bCs/>
              </w:rPr>
              <w:t>LoRA Intrinsic Rank (</w:t>
            </w:r>
            <m:oMath>
              <m:r>
                <w:rPr>
                  <w:rFonts w:ascii="Cambria Math" w:hAnsi="Cambria Math"/>
                </w:rPr>
                <m:t>r</m:t>
              </m:r>
            </m:oMath>
            <w:r>
              <w:rPr>
                <w:b/>
                <w:bCs/>
              </w:rPr>
              <w:t>)</w:t>
            </w:r>
          </w:p>
        </w:tc>
        <w:tc>
          <w:tcPr>
            <w:tcW w:w="0" w:type="auto"/>
          </w:tcPr>
          <w:p w14:paraId="2C476FF2" w14:textId="77777777" w:rsidR="00BB117A" w:rsidRDefault="00D6280B">
            <w:pPr>
              <w:pStyle w:val="Compact"/>
              <w:jc w:val="center"/>
            </w:pPr>
            <w:r>
              <w:t>16</w:t>
            </w:r>
          </w:p>
        </w:tc>
        <w:tc>
          <w:tcPr>
            <w:tcW w:w="0" w:type="auto"/>
          </w:tcPr>
          <w:p w14:paraId="4B9E55B4" w14:textId="77777777" w:rsidR="00BB117A" w:rsidRDefault="00D6280B">
            <w:pPr>
              <w:pStyle w:val="Compact"/>
              <w:jc w:val="left"/>
            </w:pPr>
            <w:r>
              <w:t>Sufficient low-rank capacity for dialect morphology</w:t>
            </w:r>
          </w:p>
        </w:tc>
      </w:tr>
      <w:tr w:rsidR="00BB117A" w14:paraId="45D1BA9B" w14:textId="77777777">
        <w:tc>
          <w:tcPr>
            <w:tcW w:w="0" w:type="auto"/>
          </w:tcPr>
          <w:p w14:paraId="122D3EE2" w14:textId="77777777" w:rsidR="00BB117A" w:rsidRDefault="00D6280B">
            <w:pPr>
              <w:pStyle w:val="Compact"/>
              <w:jc w:val="left"/>
            </w:pPr>
            <w:r>
              <w:rPr>
                <w:b/>
                <w:bCs/>
              </w:rPr>
              <w:t>LoRA Scaling Factor (</w:t>
            </w:r>
            <m:oMath>
              <m:r>
                <w:rPr>
                  <w:rFonts w:ascii="Cambria Math" w:hAnsi="Cambria Math"/>
                </w:rPr>
                <m:t>α</m:t>
              </m:r>
            </m:oMath>
            <w:r>
              <w:rPr>
                <w:b/>
                <w:bCs/>
              </w:rPr>
              <w:t>)</w:t>
            </w:r>
          </w:p>
        </w:tc>
        <w:tc>
          <w:tcPr>
            <w:tcW w:w="0" w:type="auto"/>
          </w:tcPr>
          <w:p w14:paraId="6CD21E2B" w14:textId="77777777" w:rsidR="00BB117A" w:rsidRDefault="00D6280B">
            <w:pPr>
              <w:pStyle w:val="Compact"/>
              <w:jc w:val="center"/>
            </w:pPr>
            <w:r>
              <w:t>32</w:t>
            </w:r>
          </w:p>
        </w:tc>
        <w:tc>
          <w:tcPr>
            <w:tcW w:w="0" w:type="auto"/>
          </w:tcPr>
          <w:p w14:paraId="53DC4F0E" w14:textId="77777777" w:rsidR="00BB117A" w:rsidRDefault="00D6280B">
            <w:pPr>
              <w:pStyle w:val="Compact"/>
              <w:jc w:val="left"/>
            </w:pPr>
            <w:r>
              <w:t xml:space="preserve">Standard </w:t>
            </w:r>
            <m:oMath>
              <m:r>
                <w:rPr>
                  <w:rFonts w:ascii="Cambria Math" w:hAnsi="Cambria Math"/>
                </w:rPr>
                <m:t>2</m:t>
              </m:r>
              <m:r>
                <m:rPr>
                  <m:sty m:val="p"/>
                </m:rPr>
                <w:rPr>
                  <w:rFonts w:ascii="Cambria Math" w:hAnsi="Cambria Math"/>
                </w:rPr>
                <m:t>×</m:t>
              </m:r>
            </m:oMath>
            <w:r>
              <w:t xml:space="preserve"> rank scaling ratio (</w:t>
            </w:r>
            <m:oMath>
              <m:r>
                <w:rPr>
                  <w:rFonts w:ascii="Cambria Math" w:hAnsi="Cambria Math"/>
                </w:rPr>
                <m:t>α</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2.0</m:t>
              </m:r>
            </m:oMath>
            <w:r>
              <w:t>)</w:t>
            </w:r>
          </w:p>
        </w:tc>
      </w:tr>
      <w:tr w:rsidR="00BB117A" w14:paraId="0BC75208" w14:textId="77777777">
        <w:tc>
          <w:tcPr>
            <w:tcW w:w="0" w:type="auto"/>
          </w:tcPr>
          <w:p w14:paraId="19F0A314" w14:textId="77777777" w:rsidR="00BB117A" w:rsidRDefault="00D6280B">
            <w:pPr>
              <w:pStyle w:val="Compact"/>
              <w:jc w:val="left"/>
            </w:pPr>
            <w:r>
              <w:rPr>
                <w:b/>
                <w:bCs/>
              </w:rPr>
              <w:t>LoRA Dropout Probability</w:t>
            </w:r>
          </w:p>
        </w:tc>
        <w:tc>
          <w:tcPr>
            <w:tcW w:w="0" w:type="auto"/>
          </w:tcPr>
          <w:p w14:paraId="3FACF6C7" w14:textId="77777777" w:rsidR="00BB117A" w:rsidRDefault="00D6280B">
            <w:pPr>
              <w:pStyle w:val="Compact"/>
              <w:jc w:val="center"/>
            </w:pPr>
            <w:r>
              <w:t>0.10</w:t>
            </w:r>
          </w:p>
        </w:tc>
        <w:tc>
          <w:tcPr>
            <w:tcW w:w="0" w:type="auto"/>
          </w:tcPr>
          <w:p w14:paraId="69841931" w14:textId="77777777" w:rsidR="00BB117A" w:rsidRDefault="00D6280B">
            <w:pPr>
              <w:pStyle w:val="Compact"/>
              <w:jc w:val="left"/>
            </w:pPr>
            <w:r>
              <w:t>Regularizes adapter updates against co-adaptation</w:t>
            </w:r>
          </w:p>
        </w:tc>
      </w:tr>
      <w:tr w:rsidR="00BB117A" w14:paraId="6173B68B" w14:textId="77777777">
        <w:tc>
          <w:tcPr>
            <w:tcW w:w="0" w:type="auto"/>
          </w:tcPr>
          <w:p w14:paraId="78A2BF97" w14:textId="77777777" w:rsidR="00BB117A" w:rsidRDefault="00D6280B">
            <w:pPr>
              <w:pStyle w:val="Compact"/>
              <w:jc w:val="left"/>
            </w:pPr>
            <w:r>
              <w:rPr>
                <w:b/>
                <w:bCs/>
              </w:rPr>
              <w:t>LoRA Target Modules</w:t>
            </w:r>
          </w:p>
        </w:tc>
        <w:tc>
          <w:tcPr>
            <w:tcW w:w="0" w:type="auto"/>
          </w:tcPr>
          <w:p w14:paraId="169CF706" w14:textId="77777777" w:rsidR="00BB117A" w:rsidRDefault="00D6280B">
            <w:pPr>
              <w:pStyle w:val="Compact"/>
              <w:jc w:val="center"/>
            </w:pPr>
            <w:r>
              <w:rPr>
                <w:rStyle w:val="VerbatimChar"/>
              </w:rPr>
              <w:t>q_proj</w:t>
            </w:r>
            <w:r>
              <w:t xml:space="preserve">, </w:t>
            </w:r>
            <w:r>
              <w:rPr>
                <w:rStyle w:val="VerbatimChar"/>
              </w:rPr>
              <w:t>v_proj</w:t>
            </w:r>
          </w:p>
        </w:tc>
        <w:tc>
          <w:tcPr>
            <w:tcW w:w="0" w:type="auto"/>
          </w:tcPr>
          <w:p w14:paraId="1EBD5BB3" w14:textId="77777777" w:rsidR="00BB117A" w:rsidRDefault="00D6280B">
            <w:pPr>
              <w:pStyle w:val="Compact"/>
              <w:jc w:val="left"/>
            </w:pPr>
            <w:r>
              <w:t>Updates self-attention query and value projections</w:t>
            </w:r>
          </w:p>
        </w:tc>
      </w:tr>
      <w:tr w:rsidR="00BB117A" w14:paraId="248B45BE" w14:textId="77777777">
        <w:tc>
          <w:tcPr>
            <w:tcW w:w="0" w:type="auto"/>
          </w:tcPr>
          <w:p w14:paraId="2F2EEE81" w14:textId="77777777" w:rsidR="00BB117A" w:rsidRDefault="00D6280B">
            <w:pPr>
              <w:pStyle w:val="Compact"/>
              <w:jc w:val="left"/>
            </w:pPr>
            <w:r>
              <w:rPr>
                <w:b/>
                <w:bCs/>
              </w:rPr>
              <w:lastRenderedPageBreak/>
              <w:t>Sequence Truncation Length</w:t>
            </w:r>
          </w:p>
        </w:tc>
        <w:tc>
          <w:tcPr>
            <w:tcW w:w="0" w:type="auto"/>
          </w:tcPr>
          <w:p w14:paraId="368095F1" w14:textId="77777777" w:rsidR="00BB117A" w:rsidRDefault="00D6280B">
            <w:pPr>
              <w:pStyle w:val="Compact"/>
              <w:jc w:val="center"/>
            </w:pPr>
            <w:r>
              <w:t>128 tokens</w:t>
            </w:r>
          </w:p>
        </w:tc>
        <w:tc>
          <w:tcPr>
            <w:tcW w:w="0" w:type="auto"/>
          </w:tcPr>
          <w:p w14:paraId="7E051889" w14:textId="77777777" w:rsidR="00BB117A" w:rsidRDefault="00D6280B">
            <w:pPr>
              <w:pStyle w:val="Compact"/>
              <w:jc w:val="left"/>
            </w:pPr>
            <w:r>
              <w:t>Encompasses &gt;99.5% of dialect sentence lengths</w:t>
            </w:r>
          </w:p>
        </w:tc>
      </w:tr>
      <w:tr w:rsidR="00BB117A" w14:paraId="4EC17F65" w14:textId="77777777">
        <w:tc>
          <w:tcPr>
            <w:tcW w:w="0" w:type="auto"/>
          </w:tcPr>
          <w:p w14:paraId="0DFF5B2D" w14:textId="77777777" w:rsidR="00BB117A" w:rsidRDefault="00D6280B">
            <w:pPr>
              <w:pStyle w:val="Compact"/>
              <w:jc w:val="left"/>
            </w:pPr>
            <w:r>
              <w:rPr>
                <w:b/>
                <w:bCs/>
              </w:rPr>
              <w:t>Generation Beam Width (</w:t>
            </w:r>
            <m:oMath>
              <m:r>
                <w:rPr>
                  <w:rFonts w:ascii="Cambria Math" w:hAnsi="Cambria Math"/>
                </w:rPr>
                <m:t>B</m:t>
              </m:r>
            </m:oMath>
            <w:r>
              <w:rPr>
                <w:b/>
                <w:bCs/>
              </w:rPr>
              <w:t>)</w:t>
            </w:r>
          </w:p>
        </w:tc>
        <w:tc>
          <w:tcPr>
            <w:tcW w:w="0" w:type="auto"/>
          </w:tcPr>
          <w:p w14:paraId="185975F6" w14:textId="77777777" w:rsidR="00BB117A" w:rsidRDefault="00D6280B">
            <w:pPr>
              <w:pStyle w:val="Compact"/>
              <w:jc w:val="center"/>
            </w:pPr>
            <w:r>
              <w:t>4 beams</w:t>
            </w:r>
          </w:p>
        </w:tc>
        <w:tc>
          <w:tcPr>
            <w:tcW w:w="0" w:type="auto"/>
          </w:tcPr>
          <w:p w14:paraId="3B0F2314" w14:textId="77777777" w:rsidR="00BB117A" w:rsidRDefault="00D6280B">
            <w:pPr>
              <w:pStyle w:val="Compact"/>
              <w:jc w:val="left"/>
            </w:pPr>
            <w:r>
              <w:t>Optimal balance between translation quality and latency</w:t>
            </w:r>
          </w:p>
        </w:tc>
      </w:tr>
      <w:tr w:rsidR="00BB117A" w14:paraId="201FF633" w14:textId="77777777">
        <w:tc>
          <w:tcPr>
            <w:tcW w:w="0" w:type="auto"/>
          </w:tcPr>
          <w:p w14:paraId="70412A51" w14:textId="77777777" w:rsidR="00BB117A" w:rsidRDefault="00D6280B">
            <w:pPr>
              <w:pStyle w:val="Compact"/>
              <w:jc w:val="left"/>
            </w:pPr>
            <w:r>
              <w:rPr>
                <w:b/>
                <w:bCs/>
              </w:rPr>
              <w:t>Length Penalty (</w:t>
            </w:r>
            <m:oMath>
              <m:sSub>
                <m:sSubPr>
                  <m:ctrlPr>
                    <w:rPr>
                      <w:rFonts w:ascii="Cambria Math" w:hAnsi="Cambria Math"/>
                    </w:rPr>
                  </m:ctrlPr>
                </m:sSubPr>
                <m:e>
                  <m:r>
                    <w:rPr>
                      <w:rFonts w:ascii="Cambria Math" w:hAnsi="Cambria Math"/>
                    </w:rPr>
                    <m:t>α</m:t>
                  </m:r>
                </m:e>
                <m:sub>
                  <m:r>
                    <m:rPr>
                      <m:nor/>
                    </m:rPr>
                    <m:t>len</m:t>
                  </m:r>
                </m:sub>
              </m:sSub>
            </m:oMath>
            <w:r>
              <w:rPr>
                <w:b/>
                <w:bCs/>
              </w:rPr>
              <w:t>)</w:t>
            </w:r>
          </w:p>
        </w:tc>
        <w:tc>
          <w:tcPr>
            <w:tcW w:w="0" w:type="auto"/>
          </w:tcPr>
          <w:p w14:paraId="0F016375" w14:textId="77777777" w:rsidR="00BB117A" w:rsidRDefault="00D6280B">
            <w:pPr>
              <w:pStyle w:val="Compact"/>
              <w:jc w:val="center"/>
            </w:pPr>
            <w:r>
              <w:t>1.0</w:t>
            </w:r>
          </w:p>
        </w:tc>
        <w:tc>
          <w:tcPr>
            <w:tcW w:w="0" w:type="auto"/>
          </w:tcPr>
          <w:p w14:paraId="43514710" w14:textId="77777777" w:rsidR="00BB117A" w:rsidRDefault="00D6280B">
            <w:pPr>
              <w:pStyle w:val="Compact"/>
              <w:jc w:val="left"/>
            </w:pPr>
            <w:r>
              <w:t>Neutral sequence length normalization in beam search</w:t>
            </w:r>
          </w:p>
        </w:tc>
      </w:tr>
    </w:tbl>
    <w:p w14:paraId="0534BDA6" w14:textId="77777777" w:rsidR="00BB117A" w:rsidRPr="009C387D" w:rsidRDefault="00D6280B">
      <w:pPr>
        <w:pStyle w:val="Heading3"/>
        <w:rPr>
          <w:rFonts w:ascii="Times New Roman" w:hAnsi="Times New Roman" w:cs="Times New Roman"/>
          <w:i w:val="0"/>
          <w:iCs/>
          <w:color w:val="auto"/>
          <w:sz w:val="26"/>
          <w:szCs w:val="26"/>
        </w:rPr>
      </w:pPr>
      <w:bookmarkStart w:id="12" w:name="model-parameter-and-memory-complexity"/>
      <w:bookmarkEnd w:id="10"/>
      <w:bookmarkEnd w:id="11"/>
      <w:r w:rsidRPr="009C387D">
        <w:rPr>
          <w:rFonts w:ascii="Times New Roman" w:hAnsi="Times New Roman" w:cs="Times New Roman"/>
          <w:i w:val="0"/>
          <w:iCs/>
          <w:color w:val="auto"/>
          <w:sz w:val="26"/>
          <w:szCs w:val="26"/>
        </w:rPr>
        <w:t>4.2.3 Model Parameter and Memory Complexity</w:t>
      </w:r>
    </w:p>
    <w:p w14:paraId="535C48D8" w14:textId="77777777" w:rsidR="00BB117A" w:rsidRDefault="00D6280B">
      <w:pPr>
        <w:pStyle w:val="FirstParagraph"/>
      </w:pPr>
      <w:r>
        <w:t>A central design requirement of this research is computational feasibility. While large causal language models (such as Qwen2.5-7B) require massive parameter allocations and multi-GPU tensor parallel sharding, parameter-efficient adaptation of compact encoder-decoder models offers high deployment efficiency. Table 4.3 presents a comparative parameter footprint and memory complexity analysis across all evaluated architectures.</w:t>
      </w:r>
    </w:p>
    <w:p w14:paraId="16636182" w14:textId="77777777" w:rsidR="00BB117A" w:rsidRPr="00023F85" w:rsidRDefault="00D6280B">
      <w:pPr>
        <w:pStyle w:val="Heading4"/>
        <w:rPr>
          <w:rFonts w:ascii="Times New Roman" w:hAnsi="Times New Roman" w:cs="Times New Roman"/>
          <w:bCs w:val="0"/>
          <w:i w:val="0"/>
          <w:iCs/>
          <w:color w:val="auto"/>
          <w:sz w:val="26"/>
          <w:szCs w:val="26"/>
        </w:rPr>
      </w:pPr>
      <w:bookmarkStart w:id="13" w:name="Xa43b33d26043a23e6a0be758ce2abd11020c053"/>
      <w:r w:rsidRPr="00023F85">
        <w:rPr>
          <w:rFonts w:ascii="Times New Roman" w:hAnsi="Times New Roman" w:cs="Times New Roman"/>
          <w:bCs w:val="0"/>
          <w:i w:val="0"/>
          <w:iCs/>
          <w:color w:val="auto"/>
          <w:sz w:val="26"/>
          <w:szCs w:val="26"/>
        </w:rPr>
        <w:t>Table 4.3: Model Complexity and Parameter Footprint Analysis</w:t>
      </w:r>
    </w:p>
    <w:tbl>
      <w:tblPr>
        <w:tblStyle w:val="Table"/>
        <w:tblW w:w="5000" w:type="pct"/>
        <w:tblLook w:val="0020" w:firstRow="1" w:lastRow="0" w:firstColumn="0" w:lastColumn="0" w:noHBand="0" w:noVBand="0"/>
      </w:tblPr>
      <w:tblGrid>
        <w:gridCol w:w="1943"/>
        <w:gridCol w:w="1458"/>
        <w:gridCol w:w="1564"/>
        <w:gridCol w:w="1690"/>
        <w:gridCol w:w="1475"/>
        <w:gridCol w:w="1446"/>
      </w:tblGrid>
      <w:tr w:rsidR="00BB117A" w14:paraId="60EB1B0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A0864C" w14:textId="77777777" w:rsidR="00BB117A" w:rsidRDefault="00D6280B">
            <w:pPr>
              <w:pStyle w:val="Compact"/>
              <w:jc w:val="left"/>
            </w:pPr>
            <w:r>
              <w:t>Model Architecture</w:t>
            </w:r>
          </w:p>
        </w:tc>
        <w:tc>
          <w:tcPr>
            <w:tcW w:w="0" w:type="auto"/>
          </w:tcPr>
          <w:p w14:paraId="124D1C28" w14:textId="77777777" w:rsidR="00BB117A" w:rsidRDefault="00D6280B">
            <w:pPr>
              <w:pStyle w:val="Compact"/>
              <w:jc w:val="center"/>
            </w:pPr>
            <w:r>
              <w:t>Structural Type</w:t>
            </w:r>
          </w:p>
        </w:tc>
        <w:tc>
          <w:tcPr>
            <w:tcW w:w="0" w:type="auto"/>
          </w:tcPr>
          <w:p w14:paraId="333DD877" w14:textId="77777777" w:rsidR="00BB117A" w:rsidRDefault="00D6280B">
            <w:pPr>
              <w:pStyle w:val="Compact"/>
              <w:jc w:val="center"/>
            </w:pPr>
            <w:r>
              <w:t>Total Parameters</w:t>
            </w:r>
          </w:p>
        </w:tc>
        <w:tc>
          <w:tcPr>
            <w:tcW w:w="0" w:type="auto"/>
          </w:tcPr>
          <w:p w14:paraId="66A60DF7" w14:textId="77777777" w:rsidR="00BB117A" w:rsidRDefault="00D6280B">
            <w:pPr>
              <w:pStyle w:val="Compact"/>
              <w:jc w:val="center"/>
            </w:pPr>
            <w:r>
              <w:t>Trainable Parameters</w:t>
            </w:r>
          </w:p>
        </w:tc>
        <w:tc>
          <w:tcPr>
            <w:tcW w:w="0" w:type="auto"/>
          </w:tcPr>
          <w:p w14:paraId="0B72BA8A" w14:textId="77777777" w:rsidR="00BB117A" w:rsidRDefault="00D6280B">
            <w:pPr>
              <w:pStyle w:val="Compact"/>
              <w:jc w:val="center"/>
            </w:pPr>
            <w:r>
              <w:t>Precision</w:t>
            </w:r>
          </w:p>
        </w:tc>
        <w:tc>
          <w:tcPr>
            <w:tcW w:w="0" w:type="auto"/>
          </w:tcPr>
          <w:p w14:paraId="4B6AF2A2" w14:textId="77777777" w:rsidR="00BB117A" w:rsidRDefault="00D6280B">
            <w:pPr>
              <w:pStyle w:val="Compact"/>
              <w:jc w:val="center"/>
            </w:pPr>
            <w:r>
              <w:t>Memory Footprint</w:t>
            </w:r>
          </w:p>
        </w:tc>
      </w:tr>
      <w:tr w:rsidR="00BB117A" w14:paraId="725DEE29" w14:textId="77777777">
        <w:tc>
          <w:tcPr>
            <w:tcW w:w="0" w:type="auto"/>
          </w:tcPr>
          <w:p w14:paraId="36789DC8" w14:textId="77777777" w:rsidR="00BB117A" w:rsidRDefault="00D6280B">
            <w:pPr>
              <w:pStyle w:val="Compact"/>
              <w:jc w:val="left"/>
            </w:pPr>
            <w:r>
              <w:rPr>
                <w:b/>
                <w:bCs/>
              </w:rPr>
              <w:t>BanglaT5</w:t>
            </w:r>
          </w:p>
        </w:tc>
        <w:tc>
          <w:tcPr>
            <w:tcW w:w="0" w:type="auto"/>
          </w:tcPr>
          <w:p w14:paraId="4C49CB03" w14:textId="77777777" w:rsidR="00BB117A" w:rsidRDefault="00D6280B">
            <w:pPr>
              <w:pStyle w:val="Compact"/>
              <w:jc w:val="center"/>
            </w:pPr>
            <w:r>
              <w:t>Encoder-Decoder</w:t>
            </w:r>
          </w:p>
        </w:tc>
        <w:tc>
          <w:tcPr>
            <w:tcW w:w="0" w:type="auto"/>
          </w:tcPr>
          <w:p w14:paraId="45FE0543" w14:textId="77777777" w:rsidR="00BB117A" w:rsidRDefault="00D6280B">
            <w:pPr>
              <w:pStyle w:val="Compact"/>
              <w:jc w:val="center"/>
            </w:pPr>
            <w:r>
              <w:t>247.4 M</w:t>
            </w:r>
          </w:p>
        </w:tc>
        <w:tc>
          <w:tcPr>
            <w:tcW w:w="0" w:type="auto"/>
          </w:tcPr>
          <w:p w14:paraId="3D1CA6A5" w14:textId="77777777" w:rsidR="00BB117A" w:rsidRDefault="00D6280B">
            <w:pPr>
              <w:pStyle w:val="Compact"/>
              <w:jc w:val="center"/>
            </w:pPr>
            <w:r>
              <w:t>0 (Frozen)</w:t>
            </w:r>
          </w:p>
        </w:tc>
        <w:tc>
          <w:tcPr>
            <w:tcW w:w="0" w:type="auto"/>
          </w:tcPr>
          <w:p w14:paraId="0F31D07A" w14:textId="77777777" w:rsidR="00BB117A" w:rsidRDefault="00D6280B">
            <w:pPr>
              <w:pStyle w:val="Compact"/>
              <w:jc w:val="center"/>
            </w:pPr>
            <w:r>
              <w:t>FP16</w:t>
            </w:r>
          </w:p>
        </w:tc>
        <w:tc>
          <w:tcPr>
            <w:tcW w:w="0" w:type="auto"/>
          </w:tcPr>
          <w:p w14:paraId="05178535" w14:textId="77777777" w:rsidR="00BB117A" w:rsidRDefault="00D6280B">
            <w:pPr>
              <w:pStyle w:val="Compact"/>
              <w:jc w:val="center"/>
            </w:pPr>
            <w:r>
              <w:t>~1.2 GB</w:t>
            </w:r>
          </w:p>
        </w:tc>
      </w:tr>
      <w:tr w:rsidR="00BB117A" w14:paraId="24777E50" w14:textId="77777777">
        <w:tc>
          <w:tcPr>
            <w:tcW w:w="0" w:type="auto"/>
          </w:tcPr>
          <w:p w14:paraId="188685AC" w14:textId="77777777" w:rsidR="00BB117A" w:rsidRDefault="00D6280B">
            <w:pPr>
              <w:pStyle w:val="Compact"/>
              <w:jc w:val="left"/>
            </w:pPr>
            <w:r>
              <w:rPr>
                <w:b/>
                <w:bCs/>
              </w:rPr>
              <w:t>M2M100-418M</w:t>
            </w:r>
          </w:p>
        </w:tc>
        <w:tc>
          <w:tcPr>
            <w:tcW w:w="0" w:type="auto"/>
          </w:tcPr>
          <w:p w14:paraId="7BC2C4D0" w14:textId="77777777" w:rsidR="00BB117A" w:rsidRDefault="00D6280B">
            <w:pPr>
              <w:pStyle w:val="Compact"/>
              <w:jc w:val="center"/>
            </w:pPr>
            <w:r>
              <w:t>Encoder-Decoder</w:t>
            </w:r>
          </w:p>
        </w:tc>
        <w:tc>
          <w:tcPr>
            <w:tcW w:w="0" w:type="auto"/>
          </w:tcPr>
          <w:p w14:paraId="7A055BA4" w14:textId="77777777" w:rsidR="00BB117A" w:rsidRDefault="00D6280B">
            <w:pPr>
              <w:pStyle w:val="Compact"/>
              <w:jc w:val="center"/>
            </w:pPr>
            <w:r>
              <w:t>418.3 M</w:t>
            </w:r>
          </w:p>
        </w:tc>
        <w:tc>
          <w:tcPr>
            <w:tcW w:w="0" w:type="auto"/>
          </w:tcPr>
          <w:p w14:paraId="3A999AFD" w14:textId="77777777" w:rsidR="00BB117A" w:rsidRDefault="00D6280B">
            <w:pPr>
              <w:pStyle w:val="Compact"/>
              <w:jc w:val="center"/>
            </w:pPr>
            <w:r>
              <w:t>0 (Frozen)</w:t>
            </w:r>
          </w:p>
        </w:tc>
        <w:tc>
          <w:tcPr>
            <w:tcW w:w="0" w:type="auto"/>
          </w:tcPr>
          <w:p w14:paraId="31DBB1DB" w14:textId="77777777" w:rsidR="00BB117A" w:rsidRDefault="00D6280B">
            <w:pPr>
              <w:pStyle w:val="Compact"/>
              <w:jc w:val="center"/>
            </w:pPr>
            <w:r>
              <w:t>FP16</w:t>
            </w:r>
          </w:p>
        </w:tc>
        <w:tc>
          <w:tcPr>
            <w:tcW w:w="0" w:type="auto"/>
          </w:tcPr>
          <w:p w14:paraId="5442DF25" w14:textId="77777777" w:rsidR="00BB117A" w:rsidRDefault="00D6280B">
            <w:pPr>
              <w:pStyle w:val="Compact"/>
              <w:jc w:val="center"/>
            </w:pPr>
            <w:r>
              <w:t>~1.8 GB</w:t>
            </w:r>
          </w:p>
        </w:tc>
      </w:tr>
      <w:tr w:rsidR="00BB117A" w14:paraId="05CC74E0" w14:textId="77777777">
        <w:tc>
          <w:tcPr>
            <w:tcW w:w="0" w:type="auto"/>
          </w:tcPr>
          <w:p w14:paraId="17357DCF" w14:textId="77777777" w:rsidR="00BB117A" w:rsidRDefault="00D6280B">
            <w:pPr>
              <w:pStyle w:val="Compact"/>
              <w:jc w:val="left"/>
            </w:pPr>
            <w:r>
              <w:rPr>
                <w:b/>
                <w:bCs/>
              </w:rPr>
              <w:t>NLLB-200-Distilled-600M</w:t>
            </w:r>
          </w:p>
        </w:tc>
        <w:tc>
          <w:tcPr>
            <w:tcW w:w="0" w:type="auto"/>
          </w:tcPr>
          <w:p w14:paraId="7A283142" w14:textId="77777777" w:rsidR="00BB117A" w:rsidRDefault="00D6280B">
            <w:pPr>
              <w:pStyle w:val="Compact"/>
              <w:jc w:val="center"/>
            </w:pPr>
            <w:r>
              <w:t>Encoder-Decoder</w:t>
            </w:r>
          </w:p>
        </w:tc>
        <w:tc>
          <w:tcPr>
            <w:tcW w:w="0" w:type="auto"/>
          </w:tcPr>
          <w:p w14:paraId="72F6A09E" w14:textId="77777777" w:rsidR="00BB117A" w:rsidRDefault="00D6280B">
            <w:pPr>
              <w:pStyle w:val="Compact"/>
              <w:jc w:val="center"/>
            </w:pPr>
            <w:r>
              <w:t>619.8 M</w:t>
            </w:r>
          </w:p>
        </w:tc>
        <w:tc>
          <w:tcPr>
            <w:tcW w:w="0" w:type="auto"/>
          </w:tcPr>
          <w:p w14:paraId="7A7CC01C" w14:textId="77777777" w:rsidR="00BB117A" w:rsidRDefault="00D6280B">
            <w:pPr>
              <w:pStyle w:val="Compact"/>
              <w:jc w:val="center"/>
            </w:pPr>
            <w:r>
              <w:t>0 (Frozen)</w:t>
            </w:r>
          </w:p>
        </w:tc>
        <w:tc>
          <w:tcPr>
            <w:tcW w:w="0" w:type="auto"/>
          </w:tcPr>
          <w:p w14:paraId="1EE2F5F9" w14:textId="77777777" w:rsidR="00BB117A" w:rsidRDefault="00D6280B">
            <w:pPr>
              <w:pStyle w:val="Compact"/>
              <w:jc w:val="center"/>
            </w:pPr>
            <w:r>
              <w:t>FP16</w:t>
            </w:r>
          </w:p>
        </w:tc>
        <w:tc>
          <w:tcPr>
            <w:tcW w:w="0" w:type="auto"/>
          </w:tcPr>
          <w:p w14:paraId="0403186B" w14:textId="77777777" w:rsidR="00BB117A" w:rsidRDefault="00D6280B">
            <w:pPr>
              <w:pStyle w:val="Compact"/>
              <w:jc w:val="center"/>
            </w:pPr>
            <w:r>
              <w:t>~2.4 GB</w:t>
            </w:r>
          </w:p>
        </w:tc>
      </w:tr>
      <w:tr w:rsidR="00BB117A" w14:paraId="668AEA2B" w14:textId="77777777">
        <w:tc>
          <w:tcPr>
            <w:tcW w:w="0" w:type="auto"/>
          </w:tcPr>
          <w:p w14:paraId="0FAC6B1A" w14:textId="77777777" w:rsidR="00BB117A" w:rsidRDefault="00D6280B">
            <w:pPr>
              <w:pStyle w:val="Compact"/>
              <w:jc w:val="left"/>
            </w:pPr>
            <w:r>
              <w:rPr>
                <w:b/>
                <w:bCs/>
              </w:rPr>
              <w:t>Qwen2.5-7B-Instruct</w:t>
            </w:r>
          </w:p>
        </w:tc>
        <w:tc>
          <w:tcPr>
            <w:tcW w:w="0" w:type="auto"/>
          </w:tcPr>
          <w:p w14:paraId="649580FC" w14:textId="77777777" w:rsidR="00BB117A" w:rsidRDefault="00D6280B">
            <w:pPr>
              <w:pStyle w:val="Compact"/>
              <w:jc w:val="center"/>
            </w:pPr>
            <w:r>
              <w:t>Causal LLM</w:t>
            </w:r>
          </w:p>
        </w:tc>
        <w:tc>
          <w:tcPr>
            <w:tcW w:w="0" w:type="auto"/>
          </w:tcPr>
          <w:p w14:paraId="56823AC2" w14:textId="77777777" w:rsidR="00BB117A" w:rsidRDefault="00D6280B">
            <w:pPr>
              <w:pStyle w:val="Compact"/>
              <w:jc w:val="center"/>
            </w:pPr>
            <w:r>
              <w:t>7,615.6 M</w:t>
            </w:r>
          </w:p>
        </w:tc>
        <w:tc>
          <w:tcPr>
            <w:tcW w:w="0" w:type="auto"/>
          </w:tcPr>
          <w:p w14:paraId="5D14FDF1" w14:textId="77777777" w:rsidR="00BB117A" w:rsidRDefault="00D6280B">
            <w:pPr>
              <w:pStyle w:val="Compact"/>
              <w:jc w:val="center"/>
            </w:pPr>
            <w:r>
              <w:t>0 (Frozen)</w:t>
            </w:r>
          </w:p>
        </w:tc>
        <w:tc>
          <w:tcPr>
            <w:tcW w:w="0" w:type="auto"/>
          </w:tcPr>
          <w:p w14:paraId="095EDBBF" w14:textId="77777777" w:rsidR="00BB117A" w:rsidRDefault="00D6280B">
            <w:pPr>
              <w:pStyle w:val="Compact"/>
              <w:jc w:val="center"/>
            </w:pPr>
            <w:r>
              <w:t>FP16 (Dual)</w:t>
            </w:r>
          </w:p>
        </w:tc>
        <w:tc>
          <w:tcPr>
            <w:tcW w:w="0" w:type="auto"/>
          </w:tcPr>
          <w:p w14:paraId="1720F605" w14:textId="77777777" w:rsidR="00BB117A" w:rsidRDefault="00D6280B">
            <w:pPr>
              <w:pStyle w:val="Compact"/>
              <w:jc w:val="center"/>
            </w:pPr>
            <w:r>
              <w:t>~14.8 GB</w:t>
            </w:r>
          </w:p>
        </w:tc>
      </w:tr>
      <w:tr w:rsidR="00BB117A" w14:paraId="24AAE79A" w14:textId="77777777">
        <w:tc>
          <w:tcPr>
            <w:tcW w:w="0" w:type="auto"/>
          </w:tcPr>
          <w:p w14:paraId="7A4650FA" w14:textId="77777777" w:rsidR="00BB117A" w:rsidRDefault="00D6280B">
            <w:pPr>
              <w:pStyle w:val="Compact"/>
              <w:jc w:val="left"/>
            </w:pPr>
            <w:r>
              <w:rPr>
                <w:b/>
                <w:bCs/>
              </w:rPr>
              <w:t>Proposed FT-NLLB (LoRA)</w:t>
            </w:r>
          </w:p>
        </w:tc>
        <w:tc>
          <w:tcPr>
            <w:tcW w:w="0" w:type="auto"/>
          </w:tcPr>
          <w:p w14:paraId="769D9375" w14:textId="77777777" w:rsidR="00BB117A" w:rsidRDefault="00D6280B">
            <w:pPr>
              <w:pStyle w:val="Compact"/>
              <w:jc w:val="center"/>
            </w:pPr>
            <w:r>
              <w:t>Encoder-Decoder</w:t>
            </w:r>
          </w:p>
        </w:tc>
        <w:tc>
          <w:tcPr>
            <w:tcW w:w="0" w:type="auto"/>
          </w:tcPr>
          <w:p w14:paraId="162EED76" w14:textId="77777777" w:rsidR="00BB117A" w:rsidRDefault="00D6280B">
            <w:pPr>
              <w:pStyle w:val="Compact"/>
              <w:jc w:val="center"/>
            </w:pPr>
            <w:r>
              <w:rPr>
                <w:b/>
                <w:bCs/>
              </w:rPr>
              <w:t>619.8 M</w:t>
            </w:r>
          </w:p>
        </w:tc>
        <w:tc>
          <w:tcPr>
            <w:tcW w:w="0" w:type="auto"/>
          </w:tcPr>
          <w:p w14:paraId="21588862" w14:textId="77777777" w:rsidR="00BB117A" w:rsidRDefault="00D6280B">
            <w:pPr>
              <w:pStyle w:val="Compact"/>
              <w:jc w:val="center"/>
            </w:pPr>
            <w:r>
              <w:rPr>
                <w:b/>
                <w:bCs/>
              </w:rPr>
              <w:t>2.36 M (0.38%)</w:t>
            </w:r>
          </w:p>
        </w:tc>
        <w:tc>
          <w:tcPr>
            <w:tcW w:w="0" w:type="auto"/>
          </w:tcPr>
          <w:p w14:paraId="5C74DA23" w14:textId="77777777" w:rsidR="00BB117A" w:rsidRDefault="00D6280B">
            <w:pPr>
              <w:pStyle w:val="Compact"/>
              <w:jc w:val="center"/>
            </w:pPr>
            <w:r>
              <w:rPr>
                <w:b/>
                <w:bCs/>
              </w:rPr>
              <w:t>FP32/BF16</w:t>
            </w:r>
          </w:p>
        </w:tc>
        <w:tc>
          <w:tcPr>
            <w:tcW w:w="0" w:type="auto"/>
          </w:tcPr>
          <w:p w14:paraId="09E155F2" w14:textId="77777777" w:rsidR="00BB117A" w:rsidRDefault="00D6280B">
            <w:pPr>
              <w:pStyle w:val="Compact"/>
              <w:jc w:val="center"/>
            </w:pPr>
            <w:r>
              <w:rPr>
                <w:b/>
                <w:bCs/>
              </w:rPr>
              <w:t>~3.1 GB</w:t>
            </w:r>
          </w:p>
        </w:tc>
      </w:tr>
    </w:tbl>
    <w:p w14:paraId="4B83CBBF" w14:textId="77777777" w:rsidR="00BB117A" w:rsidRDefault="00D6280B">
      <w:pPr>
        <w:pStyle w:val="BodyText"/>
      </w:pPr>
      <w:r>
        <w:t xml:space="preserve">As demonstrated in Table 4.3, the proposed LoRA-adapted NLLB backbone freezes 99.62% of the base parameters, training exactly 2,359,296 adapter weights. This architecture </w:t>
      </w:r>
      <w:r>
        <w:lastRenderedPageBreak/>
        <w:t>operates within a compact memory footprint of approximately 3.1 GB, allowing the complete training and inference pipeline to execute efficiently on a single consumer- or enterprise-grade GPU.</w:t>
      </w:r>
    </w:p>
    <w:p w14:paraId="1A2C3F32" w14:textId="299AB084" w:rsidR="00BB117A" w:rsidRDefault="00BB117A"/>
    <w:p w14:paraId="2E812EB7" w14:textId="77777777" w:rsidR="00BB117A" w:rsidRPr="00023F85" w:rsidRDefault="00D6280B">
      <w:pPr>
        <w:pStyle w:val="Heading2"/>
        <w:rPr>
          <w:color w:val="auto"/>
          <w:sz w:val="26"/>
          <w:szCs w:val="26"/>
        </w:rPr>
      </w:pPr>
      <w:bookmarkStart w:id="14" w:name="baseline-model-configurations"/>
      <w:bookmarkEnd w:id="8"/>
      <w:bookmarkEnd w:id="12"/>
      <w:bookmarkEnd w:id="13"/>
      <w:r w:rsidRPr="00023F85">
        <w:rPr>
          <w:color w:val="auto"/>
          <w:sz w:val="26"/>
          <w:szCs w:val="26"/>
        </w:rPr>
        <w:t>4.3 Baseline Model Configurations</w:t>
      </w:r>
    </w:p>
    <w:p w14:paraId="2CE9FC3F" w14:textId="77777777" w:rsidR="00BB117A" w:rsidRDefault="00D6280B">
      <w:pPr>
        <w:pStyle w:val="FirstParagraph"/>
      </w:pPr>
      <w:r>
        <w:t>To establish an exhaustive comparative benchmark, four competitive foundational language model families were implemented and evaluated alongside the proposed framework. Each baseline was evaluated under identical test split conditions to isolate the impact of model scale, pre-training objectives, and retrieval augmentation.</w:t>
      </w:r>
    </w:p>
    <w:p w14:paraId="277EC798" w14:textId="77777777" w:rsidR="00BB117A" w:rsidRPr="00023F85" w:rsidRDefault="00D6280B">
      <w:pPr>
        <w:pStyle w:val="Heading3"/>
        <w:rPr>
          <w:rFonts w:ascii="Times New Roman" w:hAnsi="Times New Roman" w:cs="Times New Roman"/>
          <w:i w:val="0"/>
          <w:iCs/>
          <w:color w:val="auto"/>
          <w:sz w:val="26"/>
          <w:szCs w:val="26"/>
        </w:rPr>
      </w:pPr>
      <w:bookmarkStart w:id="15" w:name="banglat5"/>
      <w:r w:rsidRPr="00023F85">
        <w:rPr>
          <w:rFonts w:ascii="Times New Roman" w:hAnsi="Times New Roman" w:cs="Times New Roman"/>
          <w:i w:val="0"/>
          <w:iCs/>
          <w:color w:val="auto"/>
          <w:sz w:val="26"/>
          <w:szCs w:val="26"/>
        </w:rPr>
        <w:t>4.3.1 BanglaT5</w:t>
      </w:r>
    </w:p>
    <w:p w14:paraId="45BBC95E" w14:textId="77777777" w:rsidR="00BB117A" w:rsidRDefault="00D6280B">
      <w:pPr>
        <w:pStyle w:val="FirstParagraph"/>
      </w:pPr>
      <w:r>
        <w:t xml:space="preserve">BanglaT5 is a 247-million parameter sequence-to-sequence transformer developed by CSE BUET, pre-trained on large-scale monolingual Bengali corpora [7]. The architecture is based on the T5 (Text-to-Text Transfer Transformer) design, utilizing relative positional encodings and a span-corruption pre-training objective. For dialect translation benchmarking, BanglaT5 was evaluated in zero-shot and few-shot modes using the task-specific prefix prompt: </w:t>
      </w:r>
      <w:r>
        <w:rPr>
          <w:rStyle w:val="VerbatimChar"/>
        </w:rPr>
        <w:t>"translate dialect to standard: "</w:t>
      </w:r>
      <w:r>
        <w:t>.</w:t>
      </w:r>
    </w:p>
    <w:p w14:paraId="5028E900" w14:textId="77777777" w:rsidR="00BB117A" w:rsidRPr="00023F85" w:rsidRDefault="00D6280B">
      <w:pPr>
        <w:pStyle w:val="Heading3"/>
        <w:rPr>
          <w:rFonts w:ascii="Times New Roman" w:hAnsi="Times New Roman" w:cs="Times New Roman"/>
          <w:i w:val="0"/>
          <w:iCs/>
          <w:color w:val="auto"/>
          <w:sz w:val="26"/>
          <w:szCs w:val="26"/>
        </w:rPr>
      </w:pPr>
      <w:bookmarkStart w:id="16" w:name="m2m100-418m"/>
      <w:bookmarkEnd w:id="15"/>
      <w:r w:rsidRPr="00023F85">
        <w:rPr>
          <w:rFonts w:ascii="Times New Roman" w:hAnsi="Times New Roman" w:cs="Times New Roman"/>
          <w:i w:val="0"/>
          <w:iCs/>
          <w:color w:val="auto"/>
          <w:sz w:val="26"/>
          <w:szCs w:val="26"/>
        </w:rPr>
        <w:t>4.3.2 M2M100-418M</w:t>
      </w:r>
    </w:p>
    <w:p w14:paraId="4C7F7446" w14:textId="77777777" w:rsidR="00BB117A" w:rsidRDefault="00D6280B">
      <w:pPr>
        <w:pStyle w:val="FirstParagraph"/>
      </w:pPr>
      <w:r>
        <w:t xml:space="preserve">M2M100-418M is Meta AI’s multilingual many-to-many translation model, pre-trained across 100 languages without relying on English as an intermediate pivot. The architecture comprises 12 encoder layers and 12 decoder layers with an embedding dimension of 1024. During evaluation, translation routing was explicitly constrained to intra-lingual Bengali by forcing the source language token and target language token to </w:t>
      </w:r>
      <w:r>
        <w:rPr>
          <w:rStyle w:val="VerbatimChar"/>
        </w:rPr>
        <w:t>bn</w:t>
      </w:r>
      <w:r>
        <w:t xml:space="preserve"> (</w:t>
      </w:r>
      <w:r>
        <w:rPr>
          <w:rStyle w:val="VerbatimChar"/>
        </w:rPr>
        <w:t>__bn__</w:t>
      </w:r>
      <w:r>
        <w:t>).</w:t>
      </w:r>
    </w:p>
    <w:p w14:paraId="509C8203" w14:textId="1FB49E13" w:rsidR="00BB117A" w:rsidRPr="00023F85" w:rsidRDefault="00D6280B">
      <w:pPr>
        <w:pStyle w:val="Heading3"/>
        <w:rPr>
          <w:rFonts w:ascii="Times New Roman" w:hAnsi="Times New Roman" w:cs="Times New Roman"/>
          <w:i w:val="0"/>
          <w:iCs/>
          <w:color w:val="auto"/>
          <w:sz w:val="26"/>
          <w:szCs w:val="26"/>
        </w:rPr>
      </w:pPr>
      <w:bookmarkStart w:id="17" w:name="nllb-200-distilled-600m-base-checkpoint"/>
      <w:bookmarkEnd w:id="16"/>
      <w:r w:rsidRPr="00023F85">
        <w:rPr>
          <w:rFonts w:ascii="Times New Roman" w:hAnsi="Times New Roman" w:cs="Times New Roman"/>
          <w:i w:val="0"/>
          <w:iCs/>
          <w:color w:val="auto"/>
          <w:sz w:val="26"/>
          <w:szCs w:val="26"/>
        </w:rPr>
        <w:t>4.3.3 NLLB-200-Distilled-600M</w:t>
      </w:r>
    </w:p>
    <w:p w14:paraId="1F348C1A" w14:textId="77777777" w:rsidR="00BB117A" w:rsidRDefault="00D6280B">
      <w:pPr>
        <w:pStyle w:val="FirstParagraph"/>
      </w:pPr>
      <w:r>
        <w:t xml:space="preserve">The unadapted NLLB-200-Distilled-600M base model serves as the primary unadapted conditional sequence-to-sequence baseline [10]. Containing 619.8 million parameters across 24 encoder and 24 decoder layers, the model features a 256,000-token </w:t>
      </w:r>
      <w:r>
        <w:lastRenderedPageBreak/>
        <w:t xml:space="preserve">SentencePiece vocabulary. For baseline evaluation, the base model was evaluated without task-specific parameter updates, forcing the target Begin-Of-Sequence token ID to </w:t>
      </w:r>
      <w:r>
        <w:rPr>
          <w:rStyle w:val="VerbatimChar"/>
        </w:rPr>
        <w:t>ben_Beng</w:t>
      </w:r>
      <w:r>
        <w:t xml:space="preserve"> to evaluate native zero-shot and few-shot translation transfer.</w:t>
      </w:r>
    </w:p>
    <w:p w14:paraId="3DEF8136" w14:textId="77777777" w:rsidR="00BB117A" w:rsidRPr="00023F85" w:rsidRDefault="00D6280B">
      <w:pPr>
        <w:pStyle w:val="Heading3"/>
        <w:rPr>
          <w:rFonts w:ascii="Times New Roman" w:hAnsi="Times New Roman" w:cs="Times New Roman"/>
          <w:i w:val="0"/>
          <w:iCs/>
          <w:color w:val="auto"/>
          <w:sz w:val="26"/>
          <w:szCs w:val="26"/>
        </w:rPr>
      </w:pPr>
      <w:bookmarkStart w:id="18" w:name="qwen2.5-7b-instruct"/>
      <w:bookmarkEnd w:id="17"/>
      <w:r w:rsidRPr="00023F85">
        <w:rPr>
          <w:rFonts w:ascii="Times New Roman" w:hAnsi="Times New Roman" w:cs="Times New Roman"/>
          <w:i w:val="0"/>
          <w:iCs/>
          <w:color w:val="auto"/>
          <w:sz w:val="26"/>
          <w:szCs w:val="26"/>
        </w:rPr>
        <w:t>4.3.4 Qwen2.5-7B-Instruct</w:t>
      </w:r>
    </w:p>
    <w:p w14:paraId="283CBE33" w14:textId="77777777" w:rsidR="00BB117A" w:rsidRDefault="00D6280B">
      <w:pPr>
        <w:pStyle w:val="FirstParagraph"/>
      </w:pPr>
      <w:r>
        <w:t>Qwen2.5-7B-Instruct represents the state-of-the-art in open-weight causal autoregressive language modeling [8], [9]. Featuring 7.61 billion parameters, 28 attention layers, and grouped-query attention (GQA), the model was sharded across dual Tesla T4 GPUs in native FP16 precision. Qwen was evaluated using its native chat template with system instructions conditioning the model to act as an expert linguist translating regional Bengali dialects. Evaluations were conducted under zero-shot prompting, 3-shot in-context demonstration prompting, and step-by-step Chain-of-Thought (CoT) reasoning.</w:t>
      </w:r>
    </w:p>
    <w:p w14:paraId="3D596C3D" w14:textId="77777777" w:rsidR="00BB117A" w:rsidRPr="00023F85" w:rsidRDefault="00D6280B">
      <w:pPr>
        <w:pStyle w:val="Heading3"/>
        <w:rPr>
          <w:rFonts w:ascii="Times New Roman" w:hAnsi="Times New Roman" w:cs="Times New Roman"/>
          <w:i w:val="0"/>
          <w:iCs/>
          <w:color w:val="auto"/>
          <w:sz w:val="26"/>
          <w:szCs w:val="26"/>
        </w:rPr>
      </w:pPr>
      <w:bookmarkStart w:id="19" w:name="X5b1294657cbb3c69b37a02fa4c796e0095d9bc0"/>
      <w:bookmarkEnd w:id="18"/>
      <w:r w:rsidRPr="00023F85">
        <w:rPr>
          <w:rFonts w:ascii="Times New Roman" w:hAnsi="Times New Roman" w:cs="Times New Roman"/>
          <w:i w:val="0"/>
          <w:iCs/>
          <w:color w:val="auto"/>
          <w:sz w:val="26"/>
          <w:szCs w:val="26"/>
        </w:rPr>
        <w:t>4.3.5 Static Multi-Exemplar Hybrid RAG Baseline Setup</w:t>
      </w:r>
    </w:p>
    <w:p w14:paraId="2A9A4577" w14:textId="77777777" w:rsidR="00BB117A" w:rsidRDefault="00D6280B">
      <w:pPr>
        <w:pStyle w:val="FirstParagraph"/>
      </w:pPr>
      <w:r>
        <w:t xml:space="preserve">To establish an empirical non-parametric baseline, a fixed </w:t>
      </w:r>
      <m:oMath>
        <m:r>
          <w:rPr>
            <w:rFonts w:ascii="Cambria Math" w:hAnsi="Cambria Math"/>
          </w:rPr>
          <m:t>k</m:t>
        </m:r>
        <m:r>
          <m:rPr>
            <m:sty m:val="p"/>
          </m:rPr>
          <w:rPr>
            <w:rFonts w:ascii="Cambria Math" w:hAnsi="Cambria Math"/>
          </w:rPr>
          <m:t>=</m:t>
        </m:r>
        <m:r>
          <w:rPr>
            <w:rFonts w:ascii="Cambria Math" w:hAnsi="Cambria Math"/>
          </w:rPr>
          <m:t>4</m:t>
        </m:r>
      </m:oMath>
      <w:r>
        <w:t xml:space="preserve"> multi-exemplar hybrid retrieval pipeline was deployed across all baseline architectures [11], [19]. For every test query, the retriever extracted the top-4 parallel demonstration pairs using Reciprocal Rank Fusion (RRF, </w:t>
      </w:r>
      <m:oMath>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r>
          <w:rPr>
            <w:rFonts w:ascii="Cambria Math" w:hAnsi="Cambria Math"/>
          </w:rPr>
          <m:t>60</m:t>
        </m:r>
      </m:oMath>
      <w:r>
        <w:t>) over BM25Okapi lexical search and BGE-M3 dense embeddings. Retrieved pairs were encapsulated into prompts using pseudo-XML formatting tags:</w:t>
      </w:r>
    </w:p>
    <w:p w14:paraId="7B67AFE2" w14:textId="77777777" w:rsidR="00BB117A" w:rsidRDefault="00FF39EC">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static</m:t>
              </m:r>
            </m:sub>
          </m:sSub>
          <m:r>
            <m:rPr>
              <m:sty m:val="p"/>
            </m:rPr>
            <w:rPr>
              <w:rFonts w:ascii="Cambria Math" w:hAnsi="Cambria Math"/>
            </w:rPr>
            <m:t>=</m:t>
          </m:r>
          <m:r>
            <m:rPr>
              <m:nor/>
            </m:rPr>
            <m:t>"&lt;context&gt; [SRC]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m:rPr>
              <m:nor/>
            </m:rPr>
            <m:t>" [TGT] "</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m:rPr>
              <m:nor/>
            </m:rPr>
            <m:t>" [SRC]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m:rPr>
              <m:nor/>
            </m:rPr>
            <m:t>" [TGT] "</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m:t>
              </m:r>
            </m:sub>
          </m:sSub>
          <m:r>
            <m:rPr>
              <m:sty m:val="p"/>
            </m:rPr>
            <w:rPr>
              <w:rFonts w:ascii="Cambria Math" w:hAnsi="Cambria Math"/>
            </w:rPr>
            <m:t>∘</m:t>
          </m:r>
          <m:r>
            <m:rPr>
              <m:nor/>
            </m:rPr>
            <m:t>" &lt;/context&gt; [QUERY] "</m:t>
          </m:r>
          <m:r>
            <m:rPr>
              <m:sty m:val="p"/>
            </m:rPr>
            <w:rPr>
              <w:rFonts w:ascii="Cambria Math" w:hAnsi="Cambria Math"/>
            </w:rPr>
            <m:t>∘</m:t>
          </m:r>
          <m:r>
            <w:rPr>
              <w:rFonts w:ascii="Cambria Math" w:hAnsi="Cambria Math"/>
            </w:rPr>
            <m:t>x  </m:t>
          </m:r>
          <m:r>
            <m:rPr>
              <m:sty m:val="p"/>
            </m:rPr>
            <w:rPr>
              <w:rFonts w:ascii="Cambria Math" w:hAnsi="Cambria Math"/>
            </w:rPr>
            <m:t>(</m:t>
          </m:r>
          <m:r>
            <w:rPr>
              <w:rFonts w:ascii="Cambria Math" w:hAnsi="Cambria Math"/>
            </w:rPr>
            <m:t>4.2</m:t>
          </m:r>
          <m:r>
            <m:rPr>
              <m:sty m:val="p"/>
            </m:rPr>
            <w:rPr>
              <w:rFonts w:ascii="Cambria Math" w:hAnsi="Cambria Math"/>
            </w:rPr>
            <m:t>)</m:t>
          </m:r>
        </m:oMath>
      </m:oMathPara>
    </w:p>
    <w:p w14:paraId="53D36025" w14:textId="77777777" w:rsidR="00BB117A" w:rsidRDefault="00D6280B">
      <w:pPr>
        <w:pStyle w:val="FirstParagraph"/>
      </w:pPr>
      <w:r>
        <w:t>This setup evaluates the classical in-context learning capability of baseline models when supplied with external translation memory.</w:t>
      </w:r>
    </w:p>
    <w:p w14:paraId="6F1C4CC5" w14:textId="35EEEA2E" w:rsidR="00BB117A" w:rsidRDefault="00BB117A"/>
    <w:p w14:paraId="2BBA1FE6" w14:textId="77777777" w:rsidR="00BB117A" w:rsidRPr="00023F85" w:rsidRDefault="00D6280B">
      <w:pPr>
        <w:pStyle w:val="Heading2"/>
        <w:rPr>
          <w:rFonts w:ascii="Times New Roman" w:hAnsi="Times New Roman" w:cs="Times New Roman"/>
          <w:iCs/>
          <w:color w:val="auto"/>
          <w:sz w:val="26"/>
          <w:szCs w:val="26"/>
        </w:rPr>
      </w:pPr>
      <w:bookmarkStart w:id="20" w:name="formal-evaluation-metrics"/>
      <w:bookmarkEnd w:id="14"/>
      <w:bookmarkEnd w:id="19"/>
      <w:r w:rsidRPr="00023F85">
        <w:rPr>
          <w:rFonts w:ascii="Times New Roman" w:hAnsi="Times New Roman" w:cs="Times New Roman"/>
          <w:iCs/>
          <w:color w:val="auto"/>
          <w:sz w:val="26"/>
          <w:szCs w:val="26"/>
        </w:rPr>
        <w:t>4.4 Formal Evaluation Metrics</w:t>
      </w:r>
    </w:p>
    <w:p w14:paraId="1E6677A0" w14:textId="77777777" w:rsidR="00BB117A" w:rsidRDefault="00D6280B">
      <w:pPr>
        <w:pStyle w:val="FirstParagraph"/>
      </w:pPr>
      <w:r>
        <w:t xml:space="preserve">To capture translation quality from multiple linguistic perspectives, a multi-dimensional evaluation suite comprising 10 distinct metrics was formulated. Standard automated </w:t>
      </w:r>
      <w:r>
        <w:lastRenderedPageBreak/>
        <w:t>translation metrics (such as BLEU) emphasize exact n-gram surface overlap, which can penalize legitimate morphological variations and dialectal synonyms. By combining surface n-gram precision, recall-oriented metrics, character-level morphology scores, edit distance error rates, and neural semantic embeddings, the evaluation suite provides a holistic assessment of translation fidelity.</w:t>
      </w:r>
    </w:p>
    <w:p w14:paraId="5C07EA06" w14:textId="77777777" w:rsidR="00BB117A" w:rsidRPr="00023F85" w:rsidRDefault="00D6280B">
      <w:pPr>
        <w:pStyle w:val="Heading3"/>
        <w:rPr>
          <w:rFonts w:ascii="Times New Roman" w:hAnsi="Times New Roman" w:cs="Times New Roman"/>
          <w:i w:val="0"/>
          <w:iCs/>
          <w:color w:val="auto"/>
          <w:sz w:val="26"/>
          <w:szCs w:val="26"/>
        </w:rPr>
      </w:pPr>
      <w:bookmarkStart w:id="21" w:name="sacrebleu-and-n-gram-precision"/>
      <w:r w:rsidRPr="00023F85">
        <w:rPr>
          <w:rFonts w:ascii="Times New Roman" w:hAnsi="Times New Roman" w:cs="Times New Roman"/>
          <w:i w:val="0"/>
          <w:iCs/>
          <w:color w:val="auto"/>
          <w:sz w:val="26"/>
          <w:szCs w:val="26"/>
        </w:rPr>
        <w:t>4.4.1 SacreBLEU and N-gram Precision</w:t>
      </w:r>
    </w:p>
    <w:p w14:paraId="36A9CB29" w14:textId="77777777" w:rsidR="00BB117A" w:rsidRDefault="00D6280B">
      <w:pPr>
        <w:pStyle w:val="FirstParagraph"/>
      </w:pPr>
      <w:r>
        <w:t>Bilingual Evaluation Understudy (BLEU) measures precision by calculating modified n-gram matches between the generated hypothesis and the reference translation [17]. To ensure absolute cross-paper reproducibility, SacreBLEU was implemented using the international FLORES-200 standardized tokenizer (</w:t>
      </w:r>
      <w:r>
        <w:rPr>
          <w:rStyle w:val="VerbatimChar"/>
        </w:rPr>
        <w:t>tokenize='flores200'</w:t>
      </w:r>
      <w:r>
        <w:t>) with exponential smoothing.</w:t>
      </w:r>
    </w:p>
    <w:p w14:paraId="2AE3BBB6" w14:textId="77777777" w:rsidR="00BB117A" w:rsidRDefault="00D6280B">
      <w:pPr>
        <w:pStyle w:val="BodyText"/>
      </w:pPr>
      <w:r>
        <w:t xml:space="preserve">Given a set of candidate hypotheses </w:t>
      </w:r>
      <m:oMath>
        <m:r>
          <w:rPr>
            <w:rFonts w:ascii="Cambria Math" w:hAnsi="Cambria Math"/>
          </w:rPr>
          <m:t>C</m:t>
        </m:r>
      </m:oMath>
      <w:r>
        <w:t xml:space="preserve"> and reference translations </w:t>
      </w:r>
      <m:oMath>
        <m:r>
          <w:rPr>
            <w:rFonts w:ascii="Cambria Math" w:hAnsi="Cambria Math"/>
          </w:rPr>
          <m:t>R</m:t>
        </m:r>
      </m:oMath>
      <w:r>
        <w:t xml:space="preserve">, modified n-gram precision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is formulated as:</w:t>
      </w:r>
    </w:p>
    <w:p w14:paraId="7DA50A75" w14:textId="77777777" w:rsidR="00BB117A" w:rsidRDefault="00FF39EC">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Candidates</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nor/>
                            </m:rPr>
                            <m:t>Count</m:t>
                          </m:r>
                        </m:e>
                        <m:sub>
                          <m:r>
                            <m:rPr>
                              <m:nor/>
                            </m:rPr>
                            <m:t>clip</m:t>
                          </m:r>
                        </m:sub>
                      </m:sSub>
                    </m:e>
                  </m:nary>
                </m:e>
              </m:nary>
              <m:r>
                <m:rPr>
                  <m:sty m:val="p"/>
                </m:rPr>
                <w:rPr>
                  <w:rFonts w:ascii="Cambria Math" w:hAnsi="Cambria Math"/>
                </w:rPr>
                <m:t>(</m:t>
              </m:r>
              <m:r>
                <m:rPr>
                  <m:nor/>
                </m:rPr>
                <m:t>n-gram</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Candidates</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r>
                        <m:rPr>
                          <m:nor/>
                        </m:rPr>
                        <m:t>Count</m:t>
                      </m:r>
                    </m:e>
                  </m:nary>
                </m:e>
              </m:nary>
              <m:r>
                <m:rPr>
                  <m:sty m:val="p"/>
                </m:rPr>
                <w:rPr>
                  <w:rFonts w:ascii="Cambria Math" w:hAnsi="Cambria Math"/>
                </w:rPr>
                <m:t>(</m:t>
              </m:r>
              <m:r>
                <m:rPr>
                  <m:nor/>
                </m:rPr>
                <m:t>n-gram</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4.3</m:t>
          </m:r>
          <m:r>
            <m:rPr>
              <m:sty m:val="p"/>
            </m:rPr>
            <w:rPr>
              <w:rFonts w:ascii="Cambria Math" w:hAnsi="Cambria Math"/>
            </w:rPr>
            <m:t>)</m:t>
          </m:r>
        </m:oMath>
      </m:oMathPara>
    </w:p>
    <w:p w14:paraId="3F8F2670" w14:textId="77777777" w:rsidR="00BB117A" w:rsidRDefault="00D6280B">
      <w:pPr>
        <w:pStyle w:val="FirstParagraph"/>
      </w:pPr>
      <w:r>
        <w:t xml:space="preserve">Where </w:t>
      </w:r>
      <m:oMath>
        <m:r>
          <m:rPr>
            <m:nor/>
          </m:rPr>
          <m:t>Count</m:t>
        </m:r>
        <m:r>
          <m:rPr>
            <m:sty m:val="p"/>
          </m:rPr>
          <w:rPr>
            <w:rFonts w:ascii="Cambria Math" w:hAnsi="Cambria Math"/>
          </w:rPr>
          <m:t>(</m:t>
        </m:r>
        <m:r>
          <m:rPr>
            <m:nor/>
          </m:rPr>
          <m:t>n-gram</m:t>
        </m:r>
        <m:r>
          <m:rPr>
            <m:sty m:val="p"/>
          </m:rPr>
          <w:rPr>
            <w:rFonts w:ascii="Cambria Math" w:hAnsi="Cambria Math"/>
          </w:rPr>
          <m:t>)</m:t>
        </m:r>
      </m:oMath>
      <w:r>
        <w:t xml:space="preserve"> denotes the frequency of an n-gram in the candidate sentence, and </w:t>
      </w:r>
      <m:oMath>
        <m:sSub>
          <m:sSubPr>
            <m:ctrlPr>
              <w:rPr>
                <w:rFonts w:ascii="Cambria Math" w:hAnsi="Cambria Math"/>
              </w:rPr>
            </m:ctrlPr>
          </m:sSubPr>
          <m:e>
            <m:r>
              <m:rPr>
                <m:nor/>
              </m:rPr>
              <m:t>Count</m:t>
            </m:r>
          </m:e>
          <m:sub>
            <m:r>
              <m:rPr>
                <m:nor/>
              </m:rPr>
              <m:t>clip</m:t>
            </m:r>
          </m:sub>
        </m:sSub>
        <m:r>
          <m:rPr>
            <m:sty m:val="p"/>
          </m:rPr>
          <w:rPr>
            <w:rFonts w:ascii="Cambria Math" w:hAnsi="Cambria Math"/>
          </w:rPr>
          <m:t>(</m:t>
        </m:r>
        <m:r>
          <m:rPr>
            <m:nor/>
          </m:rPr>
          <m:t>n-gram</m:t>
        </m:r>
        <m:r>
          <m:rPr>
            <m:sty m:val="p"/>
          </m:rPr>
          <w:rPr>
            <w:rFonts w:ascii="Cambria Math" w:hAnsi="Cambria Math"/>
          </w:rPr>
          <m:t>)</m:t>
        </m:r>
      </m:oMath>
      <w:r>
        <w:t xml:space="preserve"> caps the candidate count to the maximum frequency observed in the reference translation.</w:t>
      </w:r>
    </w:p>
    <w:p w14:paraId="71C25AF2" w14:textId="77777777" w:rsidR="00BB117A" w:rsidRDefault="00D6280B">
      <w:pPr>
        <w:pStyle w:val="BodyText"/>
      </w:pPr>
      <w:r>
        <w:t>To prevent models from inflating precision by generating unnaturally short fragments, a Brevity Penalty (</w:t>
      </w:r>
      <m:oMath>
        <m:r>
          <m:rPr>
            <m:nor/>
          </m:rPr>
          <m:t>BP</m:t>
        </m:r>
      </m:oMath>
      <w:r>
        <w:t xml:space="preserve">) is applied based on candidate length </w:t>
      </w:r>
      <m:oMath>
        <m:r>
          <w:rPr>
            <w:rFonts w:ascii="Cambria Math" w:hAnsi="Cambria Math"/>
          </w:rPr>
          <m:t>c</m:t>
        </m:r>
      </m:oMath>
      <w:r>
        <w:t xml:space="preserve"> and effective reference length </w:t>
      </w:r>
      <m:oMath>
        <m:r>
          <w:rPr>
            <w:rFonts w:ascii="Cambria Math" w:hAnsi="Cambria Math"/>
          </w:rPr>
          <m:t>r</m:t>
        </m:r>
      </m:oMath>
      <w:r>
        <w:t>:</w:t>
      </w:r>
    </w:p>
    <w:p w14:paraId="4827E1F6" w14:textId="77777777" w:rsidR="00BB117A" w:rsidRDefault="00D6280B">
      <w:pPr>
        <w:pStyle w:val="BodyText"/>
      </w:pPr>
      <m:oMathPara>
        <m:oMathParaPr>
          <m:jc m:val="center"/>
        </m:oMathParaPr>
        <m:oMath>
          <m:r>
            <m:rPr>
              <m:nor/>
            </m:rPr>
            <m:t>BP</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c</m:t>
                    </m:r>
                    <m:r>
                      <m:rPr>
                        <m:sty m:val="p"/>
                      </m:rPr>
                      <w:rPr>
                        <w:rFonts w:ascii="Cambria Math" w:hAnsi="Cambria Math"/>
                      </w:rPr>
                      <m:t>&gt;</m:t>
                    </m:r>
                    <m:r>
                      <w:rPr>
                        <w:rFonts w:ascii="Cambria Math" w:hAnsi="Cambria Math"/>
                      </w:rPr>
                      <m:t>r</m:t>
                    </m:r>
                  </m:e>
                </m:mr>
                <m:mr>
                  <m:e>
                    <m:r>
                      <m:rPr>
                        <m:nor/>
                      </m:rPr>
                      <m:t>exp</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c</m:t>
                            </m:r>
                          </m:den>
                        </m:f>
                      </m:e>
                    </m:d>
                  </m:e>
                  <m:e>
                    <m:r>
                      <m:rPr>
                        <m:nor/>
                      </m:rPr>
                      <m:t xml:space="preserve">if </m:t>
                    </m:r>
                    <m:r>
                      <w:rPr>
                        <w:rFonts w:ascii="Cambria Math" w:hAnsi="Cambria Math"/>
                      </w:rPr>
                      <m:t>c</m:t>
                    </m:r>
                    <m:r>
                      <m:rPr>
                        <m:sty m:val="p"/>
                      </m:rPr>
                      <w:rPr>
                        <w:rFonts w:ascii="Cambria Math" w:hAnsi="Cambria Math"/>
                      </w:rPr>
                      <m:t>≤</m:t>
                    </m:r>
                    <m:r>
                      <w:rPr>
                        <w:rFonts w:ascii="Cambria Math" w:hAnsi="Cambria Math"/>
                      </w:rPr>
                      <m:t>r</m:t>
                    </m:r>
                  </m:e>
                </m:mr>
              </m:m>
            </m:e>
          </m:d>
          <m:r>
            <w:rPr>
              <w:rFonts w:ascii="Cambria Math" w:hAnsi="Cambria Math"/>
            </w:rPr>
            <m:t>  </m:t>
          </m:r>
          <m:r>
            <m:rPr>
              <m:sty m:val="p"/>
            </m:rPr>
            <w:rPr>
              <w:rFonts w:ascii="Cambria Math" w:hAnsi="Cambria Math"/>
            </w:rPr>
            <m:t>(</m:t>
          </m:r>
          <m:r>
            <w:rPr>
              <w:rFonts w:ascii="Cambria Math" w:hAnsi="Cambria Math"/>
            </w:rPr>
            <m:t>4.4</m:t>
          </m:r>
          <m:r>
            <m:rPr>
              <m:sty m:val="p"/>
            </m:rPr>
            <w:rPr>
              <w:rFonts w:ascii="Cambria Math" w:hAnsi="Cambria Math"/>
            </w:rPr>
            <m:t>)</m:t>
          </m:r>
        </m:oMath>
      </m:oMathPara>
    </w:p>
    <w:p w14:paraId="3D147182" w14:textId="77777777" w:rsidR="00BB117A" w:rsidRDefault="00D6280B">
      <w:pPr>
        <w:pStyle w:val="FirstParagraph"/>
      </w:pPr>
      <w:r>
        <w:t>The cumulative BLEU score is evaluated as the geometric mean of modified n-gram precisions multiplied by the brevity penalty:</w:t>
      </w:r>
    </w:p>
    <w:p w14:paraId="54536B95" w14:textId="77777777" w:rsidR="00BB117A" w:rsidRDefault="00D6280B">
      <w:pPr>
        <w:pStyle w:val="BodyText"/>
      </w:pPr>
      <m:oMathPara>
        <m:oMathParaPr>
          <m:jc m:val="center"/>
        </m:oMathParaPr>
        <m:oMath>
          <m:r>
            <m:rPr>
              <m:nor/>
            </m:rPr>
            <w:lastRenderedPageBreak/>
            <m:t>BLEU-N</m:t>
          </m:r>
          <m:r>
            <m:rPr>
              <m:sty m:val="p"/>
            </m:rPr>
            <w:rPr>
              <w:rFonts w:ascii="Cambria Math" w:hAnsi="Cambria Math"/>
            </w:rPr>
            <m:t>=</m:t>
          </m:r>
          <m:r>
            <m:rPr>
              <m:nor/>
            </m:rPr>
            <m:t>BP</m:t>
          </m:r>
          <m:r>
            <m:rPr>
              <m:sty m:val="p"/>
            </m:rPr>
            <w:rPr>
              <w:rFonts w:ascii="Cambria Math" w:hAnsi="Cambria Math"/>
            </w:rPr>
            <m:t>⋅</m:t>
          </m:r>
          <m:r>
            <m:rPr>
              <m:nor/>
            </m:rPr>
            <m:t>exp</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n</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  </m:t>
          </m:r>
          <m:r>
            <m:rPr>
              <m:sty m:val="p"/>
            </m:rPr>
            <w:rPr>
              <w:rFonts w:ascii="Cambria Math" w:hAnsi="Cambria Math"/>
            </w:rPr>
            <m:t>(</m:t>
          </m:r>
          <m:r>
            <w:rPr>
              <w:rFonts w:ascii="Cambria Math" w:hAnsi="Cambria Math"/>
            </w:rPr>
            <m:t>4.5</m:t>
          </m:r>
          <m:r>
            <m:rPr>
              <m:sty m:val="p"/>
            </m:rPr>
            <w:rPr>
              <w:rFonts w:ascii="Cambria Math" w:hAnsi="Cambria Math"/>
            </w:rPr>
            <m:t>)</m:t>
          </m:r>
        </m:oMath>
      </m:oMathPara>
    </w:p>
    <w:p w14:paraId="1F53076D" w14:textId="77777777" w:rsidR="00BB117A" w:rsidRDefault="00D6280B">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represents uniform n-gram weights. Individual precisions BLEU-1, BLEU-2, BLEU-3, and cumulative BLEU-4 (</w:t>
      </w:r>
      <m:oMath>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0.25</m:t>
        </m:r>
      </m:oMath>
      <w:r>
        <w:t>) are evaluated to measure lexical precision across single words and extended syntactic phrases.</w:t>
      </w:r>
    </w:p>
    <w:p w14:paraId="4F50A156" w14:textId="77777777" w:rsidR="00BB117A" w:rsidRPr="00023F85" w:rsidRDefault="00D6280B">
      <w:pPr>
        <w:pStyle w:val="Heading3"/>
        <w:rPr>
          <w:rFonts w:ascii="Times New Roman" w:hAnsi="Times New Roman" w:cs="Times New Roman"/>
          <w:i w:val="0"/>
          <w:iCs/>
          <w:color w:val="auto"/>
          <w:sz w:val="26"/>
          <w:szCs w:val="26"/>
        </w:rPr>
      </w:pPr>
      <w:bookmarkStart w:id="22" w:name="rouge-evaluation-suite"/>
      <w:bookmarkEnd w:id="21"/>
      <w:r w:rsidRPr="00023F85">
        <w:rPr>
          <w:rFonts w:ascii="Times New Roman" w:hAnsi="Times New Roman" w:cs="Times New Roman"/>
          <w:i w:val="0"/>
          <w:iCs/>
          <w:color w:val="auto"/>
          <w:sz w:val="26"/>
          <w:szCs w:val="26"/>
        </w:rPr>
        <w:t>4.4.2 ROUGE Evaluation Suite</w:t>
      </w:r>
    </w:p>
    <w:p w14:paraId="634A37AF" w14:textId="77777777" w:rsidR="00BB117A" w:rsidRDefault="00D6280B">
      <w:pPr>
        <w:pStyle w:val="FirstParagraph"/>
      </w:pPr>
      <w:r>
        <w:t>Recall-Oriented Understudy for Gisting Evaluation (ROUGE) measures overlap with an emphasis on sequence recall and continuous sentence structure. Space-delimited native Bengali tokenization was applied to prevent Western punctuation parsers from corrupting Bengali character sequences.</w:t>
      </w:r>
    </w:p>
    <w:p w14:paraId="31470D71" w14:textId="77777777" w:rsidR="00BB117A" w:rsidRDefault="00D6280B">
      <w:pPr>
        <w:pStyle w:val="BodyText"/>
      </w:pPr>
      <w:r>
        <w:t>ROUGE-</w:t>
      </w:r>
      <m:oMath>
        <m:r>
          <w:rPr>
            <w:rFonts w:ascii="Cambria Math" w:hAnsi="Cambria Math"/>
          </w:rPr>
          <m:t>n</m:t>
        </m:r>
      </m:oMath>
      <w:r>
        <w:t xml:space="preserve"> measures n-gram recall between candidate text and reference text:</w:t>
      </w:r>
    </w:p>
    <w:p w14:paraId="0DDB6BDD" w14:textId="77777777" w:rsidR="00BB117A" w:rsidRDefault="00D6280B">
      <w:pPr>
        <w:pStyle w:val="BodyText"/>
      </w:pPr>
      <m:oMathPara>
        <m:oMathParaPr>
          <m:jc m:val="center"/>
        </m:oMathParaPr>
        <m:oMath>
          <m:r>
            <m:rPr>
              <m:nor/>
            </m:rPr>
            <m:t>ROUGE-</m:t>
          </m:r>
          <m:r>
            <w:rPr>
              <w:rFonts w:ascii="Cambria Math" w:hAnsi="Cambria Math"/>
            </w:rPr>
            <m:t>n</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m:rPr>
                      <m:nor/>
                    </m:rPr>
                    <m:t>Ref</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m:rPr>
                              <m:nor/>
                            </m:rPr>
                            <m:t>Count</m:t>
                          </m:r>
                        </m:e>
                        <m:sub>
                          <m:r>
                            <m:rPr>
                              <m:nor/>
                            </m:rPr>
                            <m:t>match</m:t>
                          </m:r>
                        </m:sub>
                      </m:sSub>
                    </m:e>
                  </m:nary>
                </m:e>
              </m:nary>
              <m:r>
                <m:rPr>
                  <m:sty m:val="p"/>
                </m:rPr>
                <w:rPr>
                  <w:rFonts w:ascii="Cambria Math" w:hAnsi="Cambria Math"/>
                </w:rPr>
                <m:t>(</m:t>
              </m:r>
              <m:r>
                <m:rPr>
                  <m:nor/>
                </m:rPr>
                <m:t>n-gram</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m:rPr>
                      <m:nor/>
                    </m:rPr>
                    <m:t>Ref</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S</m:t>
                      </m:r>
                    </m:sub>
                    <m:sup>
                      <m:r>
                        <w:rPr>
                          <w:rFonts w:ascii="Cambria Math" w:hAnsi="Cambria Math"/>
                        </w:rPr>
                        <m:t>​</m:t>
                      </m:r>
                    </m:sup>
                    <m:e>
                      <m:r>
                        <m:rPr>
                          <m:nor/>
                        </m:rPr>
                        <m:t>Count</m:t>
                      </m:r>
                    </m:e>
                  </m:nary>
                </m:e>
              </m:nary>
              <m:r>
                <m:rPr>
                  <m:sty m:val="p"/>
                </m:rPr>
                <w:rPr>
                  <w:rFonts w:ascii="Cambria Math" w:hAnsi="Cambria Math"/>
                </w:rPr>
                <m:t>(</m:t>
              </m:r>
              <m:r>
                <m:rPr>
                  <m:nor/>
                </m:rPr>
                <m:t>n-gram</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4.6</m:t>
          </m:r>
          <m:r>
            <m:rPr>
              <m:sty m:val="p"/>
            </m:rPr>
            <w:rPr>
              <w:rFonts w:ascii="Cambria Math" w:hAnsi="Cambria Math"/>
            </w:rPr>
            <m:t>)</m:t>
          </m:r>
        </m:oMath>
      </m:oMathPara>
    </w:p>
    <w:p w14:paraId="35C5BF86" w14:textId="77777777" w:rsidR="00BB117A" w:rsidRDefault="00D6280B">
      <w:pPr>
        <w:pStyle w:val="FirstParagraph"/>
      </w:pPr>
      <w:r>
        <w:t xml:space="preserve">Where </w:t>
      </w:r>
      <m:oMath>
        <m:sSub>
          <m:sSubPr>
            <m:ctrlPr>
              <w:rPr>
                <w:rFonts w:ascii="Cambria Math" w:hAnsi="Cambria Math"/>
              </w:rPr>
            </m:ctrlPr>
          </m:sSubPr>
          <m:e>
            <m:r>
              <m:rPr>
                <m:nor/>
              </m:rPr>
              <m:t>Count</m:t>
            </m:r>
          </m:e>
          <m:sub>
            <m:r>
              <m:rPr>
                <m:nor/>
              </m:rPr>
              <m:t>match</m:t>
            </m:r>
          </m:sub>
        </m:sSub>
        <m:r>
          <m:rPr>
            <m:sty m:val="p"/>
          </m:rPr>
          <w:rPr>
            <w:rFonts w:ascii="Cambria Math" w:hAnsi="Cambria Math"/>
          </w:rPr>
          <m:t>(</m:t>
        </m:r>
        <m:r>
          <m:rPr>
            <m:nor/>
          </m:rPr>
          <m:t>n-gram</m:t>
        </m:r>
        <m:r>
          <m:rPr>
            <m:sty m:val="p"/>
          </m:rPr>
          <w:rPr>
            <w:rFonts w:ascii="Cambria Math" w:hAnsi="Cambria Math"/>
          </w:rPr>
          <m:t>)</m:t>
        </m:r>
      </m:oMath>
      <w:r>
        <w:t xml:space="preserve"> is the maximum number of co-occurring n-grams between candidate and reference. ROUGE-1 evaluates unigram recall, while ROUGE-2 evaluates bigram structural fluency.</w:t>
      </w:r>
    </w:p>
    <w:p w14:paraId="7E514108" w14:textId="77777777" w:rsidR="00BB117A" w:rsidRDefault="00D6280B">
      <w:pPr>
        <w:pStyle w:val="BodyText"/>
      </w:pPr>
      <w:r>
        <w:t>ROUGE-L evaluates the Longest Common Subsequence (LCS), capturing sentence-level structural similarity without requiring consecutive matches:</w:t>
      </w:r>
    </w:p>
    <w:p w14:paraId="0E38C971" w14:textId="77777777" w:rsidR="00BB117A" w:rsidRDefault="00FF39EC">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m:t>
              </m:r>
              <m:r>
                <m:rPr>
                  <m:nor/>
                </m:rPr>
                <m:t>Ref</m:t>
              </m:r>
              <m:r>
                <m:rPr>
                  <m:sty m:val="p"/>
                </m:rPr>
                <w:rPr>
                  <w:rFonts w:ascii="Cambria Math" w:hAnsi="Cambria Math"/>
                </w:rPr>
                <m:t>,</m:t>
              </m:r>
              <m:r>
                <m:rPr>
                  <m:nor/>
                </m:rPr>
                <m:t>Cand</m:t>
              </m:r>
              <m:r>
                <m:rPr>
                  <m:sty m:val="p"/>
                </m:rPr>
                <w:rPr>
                  <w:rFonts w:ascii="Cambria Math" w:hAnsi="Cambria Math"/>
                </w:rPr>
                <m:t>)</m:t>
              </m:r>
            </m:num>
            <m:den>
              <m:r>
                <w:rPr>
                  <w:rFonts w:ascii="Cambria Math" w:hAnsi="Cambria Math"/>
                </w:rPr>
                <m:t>m</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m:t>
              </m:r>
              <m:r>
                <m:rPr>
                  <m:nor/>
                </m:rPr>
                <m:t>Ref</m:t>
              </m:r>
              <m:r>
                <m:rPr>
                  <m:sty m:val="p"/>
                </m:rPr>
                <w:rPr>
                  <w:rFonts w:ascii="Cambria Math" w:hAnsi="Cambria Math"/>
                </w:rPr>
                <m:t>,</m:t>
              </m:r>
              <m:r>
                <m:rPr>
                  <m:nor/>
                </m:rPr>
                <m:t>Cand</m:t>
              </m:r>
              <m:r>
                <m:rPr>
                  <m:sty m:val="p"/>
                </m:rPr>
                <w:rPr>
                  <w:rFonts w:ascii="Cambria Math" w:hAnsi="Cambria Math"/>
                </w:rPr>
                <m:t>)</m:t>
              </m:r>
            </m:num>
            <m:den>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4.7</m:t>
          </m:r>
          <m:r>
            <m:rPr>
              <m:sty m:val="p"/>
            </m:rPr>
            <w:rPr>
              <w:rFonts w:ascii="Cambria Math" w:hAnsi="Cambria Math"/>
            </w:rPr>
            <m:t>)</m:t>
          </m:r>
        </m:oMath>
      </m:oMathPara>
    </w:p>
    <w:p w14:paraId="3394BF81" w14:textId="77777777" w:rsidR="00BB117A" w:rsidRDefault="00FF39EC">
      <w:pPr>
        <w:pStyle w:val="FirstParagraph"/>
      </w:pPr>
      <m:oMathPara>
        <m:oMathParaPr>
          <m:jc m:val="center"/>
        </m:oMathParaPr>
        <m:oMath>
          <m:sSub>
            <m:sSubPr>
              <m:ctrlPr>
                <w:rPr>
                  <w:rFonts w:ascii="Cambria Math" w:hAnsi="Cambria Math"/>
                </w:rPr>
              </m:ctrlPr>
            </m:sSubPr>
            <m:e>
              <m:r>
                <w:rPr>
                  <w:rFonts w:ascii="Cambria Math" w:hAnsi="Cambria Math"/>
                </w:rPr>
                <m:t>F</m:t>
              </m:r>
            </m:e>
            <m:sub>
              <m:r>
                <m:rPr>
                  <m:nor/>
                </m:rPr>
                <m:t>LCS</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LCS</m:t>
                  </m:r>
                </m:sub>
              </m:sSub>
              <m:sSub>
                <m:sSubPr>
                  <m:ctrlPr>
                    <w:rPr>
                      <w:rFonts w:ascii="Cambria Math" w:hAnsi="Cambria Math"/>
                    </w:rPr>
                  </m:ctrlPr>
                </m:sSubPr>
                <m:e>
                  <m:r>
                    <w:rPr>
                      <w:rFonts w:ascii="Cambria Math" w:hAnsi="Cambria Math"/>
                    </w:rPr>
                    <m:t>P</m:t>
                  </m:r>
                </m:e>
                <m:sub>
                  <m:r>
                    <m:rPr>
                      <m:nor/>
                    </m:rPr>
                    <m:t>LCS</m:t>
                  </m:r>
                </m:sub>
              </m:sSub>
            </m:num>
            <m:den>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P</m:t>
                  </m:r>
                </m:e>
                <m:sub>
                  <m:r>
                    <m:rPr>
                      <m:nor/>
                    </m:rPr>
                    <m:t>LCS</m:t>
                  </m:r>
                </m:sub>
              </m:sSub>
            </m:den>
          </m:f>
          <m:r>
            <w:rPr>
              <w:rFonts w:ascii="Cambria Math" w:hAnsi="Cambria Math"/>
            </w:rPr>
            <m:t>  </m:t>
          </m:r>
          <m:r>
            <m:rPr>
              <m:sty m:val="p"/>
            </m:rPr>
            <w:rPr>
              <w:rFonts w:ascii="Cambria Math" w:hAnsi="Cambria Math"/>
            </w:rPr>
            <m:t>(</m:t>
          </m:r>
          <m:r>
            <w:rPr>
              <w:rFonts w:ascii="Cambria Math" w:hAnsi="Cambria Math"/>
            </w:rPr>
            <m:t>4.8</m:t>
          </m:r>
          <m:r>
            <m:rPr>
              <m:sty m:val="p"/>
            </m:rPr>
            <w:rPr>
              <w:rFonts w:ascii="Cambria Math" w:hAnsi="Cambria Math"/>
            </w:rPr>
            <m:t>)</m:t>
          </m:r>
        </m:oMath>
      </m:oMathPara>
    </w:p>
    <w:p w14:paraId="6C838E54" w14:textId="77777777" w:rsidR="00BB117A" w:rsidRDefault="00D6280B">
      <w:pPr>
        <w:pStyle w:val="FirstParagraph"/>
      </w:pPr>
      <w:r>
        <w:t xml:space="preserve">Where </w:t>
      </w:r>
      <m:oMath>
        <m:r>
          <w:rPr>
            <w:rFonts w:ascii="Cambria Math" w:hAnsi="Cambria Math"/>
          </w:rPr>
          <m:t>m</m:t>
        </m:r>
      </m:oMath>
      <w:r>
        <w:t xml:space="preserve"> and </w:t>
      </w:r>
      <m:oMath>
        <m:r>
          <w:rPr>
            <w:rFonts w:ascii="Cambria Math" w:hAnsi="Cambria Math"/>
          </w:rPr>
          <m:t>n</m:t>
        </m:r>
      </m:oMath>
      <w:r>
        <w:t xml:space="preserve"> denote reference and candidate token lengths, </w:t>
      </w:r>
      <m:oMath>
        <m:r>
          <m:rPr>
            <m:nor/>
          </m:rPr>
          <m:t>LCS</m:t>
        </m:r>
        <m:r>
          <m:rPr>
            <m:sty m:val="p"/>
          </m:rPr>
          <w:rPr>
            <w:rFonts w:ascii="Cambria Math" w:hAnsi="Cambria Math"/>
          </w:rPr>
          <m:t>(⋅)</m:t>
        </m:r>
      </m:oMath>
      <w:r>
        <w:t xml:space="preserve"> computes the longest common subsequence length, and </w:t>
      </w:r>
      <m:oMath>
        <m:r>
          <w:rPr>
            <w:rFonts w:ascii="Cambria Math" w:hAnsi="Cambria Math"/>
          </w:rPr>
          <m:t>β</m:t>
        </m:r>
        <m:r>
          <m:rPr>
            <m:sty m:val="p"/>
          </m:rPr>
          <w:rPr>
            <w:rFonts w:ascii="Cambria Math" w:hAnsi="Cambria Math"/>
          </w:rPr>
          <m:t>=</m:t>
        </m:r>
        <m:r>
          <w:rPr>
            <w:rFonts w:ascii="Cambria Math" w:hAnsi="Cambria Math"/>
          </w:rPr>
          <m:t>1.0</m:t>
        </m:r>
      </m:oMath>
      <w:r>
        <w:t xml:space="preserve"> balances precision and recall.</w:t>
      </w:r>
    </w:p>
    <w:p w14:paraId="0DF81DE3" w14:textId="77777777" w:rsidR="00BB117A" w:rsidRPr="00023F85" w:rsidRDefault="00D6280B">
      <w:pPr>
        <w:pStyle w:val="Heading3"/>
        <w:rPr>
          <w:rFonts w:ascii="Times New Roman" w:hAnsi="Times New Roman" w:cs="Times New Roman"/>
          <w:i w:val="0"/>
          <w:iCs/>
          <w:color w:val="auto"/>
          <w:sz w:val="26"/>
          <w:szCs w:val="26"/>
        </w:rPr>
      </w:pPr>
      <w:bookmarkStart w:id="23" w:name="meteor-metric"/>
      <w:bookmarkEnd w:id="22"/>
      <w:r w:rsidRPr="00023F85">
        <w:rPr>
          <w:rFonts w:ascii="Times New Roman" w:hAnsi="Times New Roman" w:cs="Times New Roman"/>
          <w:i w:val="0"/>
          <w:iCs/>
          <w:color w:val="auto"/>
          <w:sz w:val="26"/>
          <w:szCs w:val="26"/>
        </w:rPr>
        <w:lastRenderedPageBreak/>
        <w:t>4.4.3 METEOR Metric</w:t>
      </w:r>
    </w:p>
    <w:p w14:paraId="029F3A33" w14:textId="77777777" w:rsidR="00BB117A" w:rsidRDefault="00D6280B">
      <w:pPr>
        <w:pStyle w:val="FirstParagraph"/>
      </w:pPr>
      <w:r>
        <w:t>Metric for Evaluation of Translation with Explicit ORdering (METEOR) addresses BLEU’s limitation of exact surface matching by evaluating harmonic means of unigram precision and recall with explicit sequence ordering penalties.</w:t>
      </w:r>
    </w:p>
    <w:p w14:paraId="31887ADD" w14:textId="77777777" w:rsidR="00BB117A" w:rsidRDefault="00D6280B">
      <w:pPr>
        <w:pStyle w:val="BodyText"/>
      </w:pPr>
      <w:r>
        <w:t xml:space="preserve">Given matched unigrams between candidate and reference, unigram precision </w:t>
      </w:r>
      <m:oMath>
        <m:r>
          <w:rPr>
            <w:rFonts w:ascii="Cambria Math" w:hAnsi="Cambria Math"/>
          </w:rPr>
          <m:t>P</m:t>
        </m:r>
      </m:oMath>
      <w:r>
        <w:t xml:space="preserve"> and recall </w:t>
      </w:r>
      <m:oMath>
        <m:r>
          <w:rPr>
            <w:rFonts w:ascii="Cambria Math" w:hAnsi="Cambria Math"/>
          </w:rPr>
          <m:t>R</m:t>
        </m:r>
      </m:oMath>
      <w:r>
        <w:t xml:space="preserve"> are combined into a recall-weighted harmonic mean </w:t>
      </w:r>
      <m:oMath>
        <m:sSub>
          <m:sSubPr>
            <m:ctrlPr>
              <w:rPr>
                <w:rFonts w:ascii="Cambria Math" w:hAnsi="Cambria Math"/>
              </w:rPr>
            </m:ctrlPr>
          </m:sSubPr>
          <m:e>
            <m:r>
              <w:rPr>
                <w:rFonts w:ascii="Cambria Math" w:hAnsi="Cambria Math"/>
              </w:rPr>
              <m:t>F</m:t>
            </m:r>
          </m:e>
          <m:sub>
            <m:r>
              <m:rPr>
                <m:nor/>
              </m:rPr>
              <m:t>mean</m:t>
            </m:r>
          </m:sub>
        </m:sSub>
      </m:oMath>
      <w:r>
        <w:t xml:space="preserve"> (</w:t>
      </w:r>
      <m:oMath>
        <m:r>
          <w:rPr>
            <w:rFonts w:ascii="Cambria Math" w:hAnsi="Cambria Math"/>
          </w:rPr>
          <m:t>α</m:t>
        </m:r>
        <m:r>
          <m:rPr>
            <m:sty m:val="p"/>
          </m:rPr>
          <w:rPr>
            <w:rFonts w:ascii="Cambria Math" w:hAnsi="Cambria Math"/>
          </w:rPr>
          <m:t>=</m:t>
        </m:r>
        <m:r>
          <w:rPr>
            <w:rFonts w:ascii="Cambria Math" w:hAnsi="Cambria Math"/>
          </w:rPr>
          <m:t>0.9</m:t>
        </m:r>
      </m:oMath>
      <w:r>
        <w:t>):</w:t>
      </w:r>
    </w:p>
    <w:p w14:paraId="5BDE3CF0" w14:textId="77777777" w:rsidR="00BB117A" w:rsidRDefault="00FF39EC">
      <w:pPr>
        <w:pStyle w:val="BodyText"/>
      </w:pPr>
      <m:oMathPara>
        <m:oMathParaPr>
          <m:jc m:val="center"/>
        </m:oMathParaPr>
        <m:oMath>
          <m:sSub>
            <m:sSubPr>
              <m:ctrlPr>
                <w:rPr>
                  <w:rFonts w:ascii="Cambria Math" w:hAnsi="Cambria Math"/>
                </w:rPr>
              </m:ctrlPr>
            </m:sSubPr>
            <m:e>
              <m:r>
                <w:rPr>
                  <w:rFonts w:ascii="Cambria Math" w:hAnsi="Cambria Math"/>
                </w:rPr>
                <m:t>F</m:t>
              </m:r>
            </m:e>
            <m:sub>
              <m:r>
                <m:rPr>
                  <m:nor/>
                </m:rPr>
                <m:t>mean</m:t>
              </m:r>
            </m:sub>
          </m:sSub>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R</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P</m:t>
              </m:r>
            </m:den>
          </m:f>
          <m:r>
            <w:rPr>
              <w:rFonts w:ascii="Cambria Math" w:hAnsi="Cambria Math"/>
            </w:rPr>
            <m:t>  </m:t>
          </m:r>
          <m:r>
            <m:rPr>
              <m:sty m:val="p"/>
            </m:rPr>
            <w:rPr>
              <w:rFonts w:ascii="Cambria Math" w:hAnsi="Cambria Math"/>
            </w:rPr>
            <m:t>(</m:t>
          </m:r>
          <m:r>
            <w:rPr>
              <w:rFonts w:ascii="Cambria Math" w:hAnsi="Cambria Math"/>
            </w:rPr>
            <m:t>4.9</m:t>
          </m:r>
          <m:r>
            <m:rPr>
              <m:sty m:val="p"/>
            </m:rPr>
            <w:rPr>
              <w:rFonts w:ascii="Cambria Math" w:hAnsi="Cambria Math"/>
            </w:rPr>
            <m:t>)</m:t>
          </m:r>
        </m:oMath>
      </m:oMathPara>
    </w:p>
    <w:p w14:paraId="77D4AD0F" w14:textId="77777777" w:rsidR="00BB117A" w:rsidRDefault="00D6280B">
      <w:pPr>
        <w:pStyle w:val="FirstParagraph"/>
      </w:pPr>
      <w:r>
        <w:t xml:space="preserve">To reward grammatical word ordering, a chunk fragmentation penalty </w:t>
      </w:r>
      <m:oMath>
        <m:r>
          <m:rPr>
            <m:nor/>
          </m:rPr>
          <m:t>Pen</m:t>
        </m:r>
      </m:oMath>
      <w:r>
        <w:t xml:space="preserve"> is computed by grouping adjacent matched words into the minimum number of contiguous chunks:</w:t>
      </w:r>
    </w:p>
    <w:p w14:paraId="35000B8A" w14:textId="77777777" w:rsidR="00BB117A" w:rsidRDefault="00D6280B">
      <w:pPr>
        <w:pStyle w:val="BodyText"/>
      </w:pPr>
      <m:oMathPara>
        <m:oMathParaPr>
          <m:jc m:val="center"/>
        </m:oMathParaPr>
        <m:oMath>
          <m:r>
            <m:rPr>
              <m:nor/>
            </m:rPr>
            <m:t>Pen</m:t>
          </m:r>
          <m:r>
            <m:rPr>
              <m:sty m:val="p"/>
            </m:rPr>
            <w:rPr>
              <w:rFonts w:ascii="Cambria Math" w:hAnsi="Cambria Math"/>
            </w:rPr>
            <m:t>=</m:t>
          </m:r>
          <m:r>
            <w:rPr>
              <w:rFonts w:ascii="Cambria Math" w:hAnsi="Cambria Math"/>
            </w:rPr>
            <m:t>0.5</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m:rPr>
                          <m:nor/>
                        </m:rPr>
                        <m:t>chunks</m:t>
                      </m:r>
                    </m:num>
                    <m:den>
                      <m:r>
                        <m:rPr>
                          <m:sty m:val="p"/>
                        </m:rPr>
                        <w:rPr>
                          <w:rFonts w:ascii="Cambria Math" w:hAnsi="Cambria Math"/>
                        </w:rPr>
                        <m:t>#</m:t>
                      </m:r>
                      <m:r>
                        <m:rPr>
                          <m:nor/>
                        </m:rPr>
                        <m:t>matches</m:t>
                      </m:r>
                    </m:den>
                  </m:f>
                </m:e>
              </m:d>
            </m:e>
            <m:sup>
              <m:r>
                <w:rPr>
                  <w:rFonts w:ascii="Cambria Math" w:hAnsi="Cambria Math"/>
                </w:rPr>
                <m:t>3</m:t>
              </m:r>
            </m:sup>
          </m:sSup>
          <m:r>
            <w:rPr>
              <w:rFonts w:ascii="Cambria Math" w:hAnsi="Cambria Math"/>
            </w:rPr>
            <m:t>  </m:t>
          </m:r>
          <m:r>
            <m:rPr>
              <m:sty m:val="p"/>
            </m:rPr>
            <w:rPr>
              <w:rFonts w:ascii="Cambria Math" w:hAnsi="Cambria Math"/>
            </w:rPr>
            <m:t>(</m:t>
          </m:r>
          <m:r>
            <w:rPr>
              <w:rFonts w:ascii="Cambria Math" w:hAnsi="Cambria Math"/>
            </w:rPr>
            <m:t>4.10</m:t>
          </m:r>
          <m:r>
            <m:rPr>
              <m:sty m:val="p"/>
            </m:rPr>
            <w:rPr>
              <w:rFonts w:ascii="Cambria Math" w:hAnsi="Cambria Math"/>
            </w:rPr>
            <m:t>)</m:t>
          </m:r>
        </m:oMath>
      </m:oMathPara>
    </w:p>
    <w:p w14:paraId="5DC786F8" w14:textId="77777777" w:rsidR="00BB117A" w:rsidRDefault="00D6280B">
      <w:pPr>
        <w:pStyle w:val="FirstParagraph"/>
      </w:pPr>
      <w:r>
        <w:t>The final METEOR score scales the harmonic mean by the sequence penalty:</w:t>
      </w:r>
    </w:p>
    <w:p w14:paraId="4A91D021" w14:textId="77777777" w:rsidR="00BB117A" w:rsidRDefault="00D6280B">
      <w:pPr>
        <w:pStyle w:val="BodyText"/>
      </w:pPr>
      <m:oMathPara>
        <m:oMathParaPr>
          <m:jc m:val="center"/>
        </m:oMathParaPr>
        <m:oMath>
          <m:r>
            <m:rPr>
              <m:nor/>
            </m:rPr>
            <m:t>METEOR</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mean</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Pen</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4.11</m:t>
          </m:r>
          <m:r>
            <m:rPr>
              <m:sty m:val="p"/>
            </m:rPr>
            <w:rPr>
              <w:rFonts w:ascii="Cambria Math" w:hAnsi="Cambria Math"/>
            </w:rPr>
            <m:t>)</m:t>
          </m:r>
        </m:oMath>
      </m:oMathPara>
    </w:p>
    <w:p w14:paraId="56EA5B60" w14:textId="77777777" w:rsidR="00BB117A" w:rsidRPr="00023F85" w:rsidRDefault="00D6280B">
      <w:pPr>
        <w:pStyle w:val="Heading3"/>
        <w:rPr>
          <w:rFonts w:ascii="Times New Roman" w:hAnsi="Times New Roman" w:cs="Times New Roman"/>
          <w:i w:val="0"/>
          <w:iCs/>
          <w:color w:val="auto"/>
          <w:sz w:val="26"/>
          <w:szCs w:val="26"/>
        </w:rPr>
      </w:pPr>
      <w:bookmarkStart w:id="24" w:name="character-n-gram-f-score-chrf"/>
      <w:bookmarkEnd w:id="23"/>
      <w:r w:rsidRPr="00023F85">
        <w:rPr>
          <w:rFonts w:ascii="Times New Roman" w:hAnsi="Times New Roman" w:cs="Times New Roman"/>
          <w:i w:val="0"/>
          <w:iCs/>
          <w:color w:val="auto"/>
          <w:sz w:val="26"/>
          <w:szCs w:val="26"/>
        </w:rPr>
        <w:t>4.4.4 Character n-gram F-score (chrF++)</w:t>
      </w:r>
    </w:p>
    <w:p w14:paraId="77C06676" w14:textId="77777777" w:rsidR="00BB117A" w:rsidRDefault="00D6280B">
      <w:pPr>
        <w:pStyle w:val="FirstParagraph"/>
      </w:pPr>
      <w:r>
        <w:t>Character n-gram F-score (chrF++) evaluates translation quality at the subword and character level, making it sensitive to morphological variations in agglutinative South Asian languages.</w:t>
      </w:r>
    </w:p>
    <w:p w14:paraId="2B27AEFC" w14:textId="77777777" w:rsidR="00BB117A" w:rsidRDefault="00D6280B">
      <w:pPr>
        <w:pStyle w:val="BodyText"/>
      </w:pPr>
      <w:r>
        <w:t>Character n-gram precision (</w:t>
      </w:r>
      <m:oMath>
        <m:r>
          <m:rPr>
            <m:nor/>
          </m:rPr>
          <m:t>chrP</m:t>
        </m:r>
      </m:oMath>
      <w:r>
        <w:t>) and recall (</w:t>
      </w:r>
      <m:oMath>
        <m:r>
          <m:rPr>
            <m:nor/>
          </m:rPr>
          <m:t>chrR</m:t>
        </m:r>
      </m:oMath>
      <w:r>
        <w:t xml:space="preserve">) are averaged over character n-grams from </w:t>
      </w:r>
      <m:oMath>
        <m:r>
          <w:rPr>
            <w:rFonts w:ascii="Cambria Math" w:hAnsi="Cambria Math"/>
          </w:rPr>
          <m:t>n</m:t>
        </m:r>
        <m:r>
          <m:rPr>
            <m:sty m:val="p"/>
          </m:rPr>
          <w:rPr>
            <w:rFonts w:ascii="Cambria Math" w:hAnsi="Cambria Math"/>
          </w:rPr>
          <m:t>=</m:t>
        </m:r>
        <m:r>
          <w:rPr>
            <w:rFonts w:ascii="Cambria Math" w:hAnsi="Cambria Math"/>
          </w:rPr>
          <m:t>1</m:t>
        </m:r>
      </m:oMath>
      <w:r>
        <w:t xml:space="preserve"> to </w:t>
      </w:r>
      <m:oMath>
        <m:r>
          <w:rPr>
            <w:rFonts w:ascii="Cambria Math" w:hAnsi="Cambria Math"/>
          </w:rPr>
          <m:t>n</m:t>
        </m:r>
        <m:r>
          <m:rPr>
            <m:sty m:val="p"/>
          </m:rPr>
          <w:rPr>
            <w:rFonts w:ascii="Cambria Math" w:hAnsi="Cambria Math"/>
          </w:rPr>
          <m:t>=</m:t>
        </m:r>
        <m:r>
          <w:rPr>
            <w:rFonts w:ascii="Cambria Math" w:hAnsi="Cambria Math"/>
          </w:rPr>
          <m:t>6</m:t>
        </m:r>
      </m:oMath>
      <w:r>
        <w:t xml:space="preserve">, combined with word unigrams and bigrams. The chrF++ score is formulated with </w:t>
      </w:r>
      <m:oMath>
        <m:r>
          <w:rPr>
            <w:rFonts w:ascii="Cambria Math" w:hAnsi="Cambria Math"/>
          </w:rPr>
          <m:t>β</m:t>
        </m:r>
        <m:r>
          <m:rPr>
            <m:sty m:val="p"/>
          </m:rPr>
          <w:rPr>
            <w:rFonts w:ascii="Cambria Math" w:hAnsi="Cambria Math"/>
          </w:rPr>
          <m:t>=</m:t>
        </m:r>
        <m:r>
          <w:rPr>
            <w:rFonts w:ascii="Cambria Math" w:hAnsi="Cambria Math"/>
          </w:rPr>
          <m:t>2</m:t>
        </m:r>
      </m:oMath>
      <w:r>
        <w:t>, placing higher weight on recall:</w:t>
      </w:r>
    </w:p>
    <w:p w14:paraId="2C70C59A" w14:textId="77777777" w:rsidR="00BB117A" w:rsidRDefault="00D6280B">
      <w:pPr>
        <w:pStyle w:val="BodyText"/>
      </w:pPr>
      <m:oMathPara>
        <m:oMathParaPr>
          <m:jc m:val="center"/>
        </m:oMathParaPr>
        <m:oMath>
          <m:r>
            <m:rPr>
              <m:nor/>
            </m:rPr>
            <m:t>chrF++</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nor/>
                </m:rPr>
                <m:t>chrP</m:t>
              </m:r>
              <m:r>
                <m:rPr>
                  <m:sty m:val="p"/>
                </m:rPr>
                <w:rPr>
                  <w:rFonts w:ascii="Cambria Math" w:hAnsi="Cambria Math"/>
                </w:rPr>
                <m:t>⋅</m:t>
              </m:r>
              <m:r>
                <m:rPr>
                  <m:nor/>
                </m:rPr>
                <m:t>chrR</m:t>
              </m:r>
            </m:num>
            <m:den>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r>
                <m:rPr>
                  <m:nor/>
                </m:rPr>
                <m:t>chrP</m:t>
              </m:r>
              <m:r>
                <m:rPr>
                  <m:sty m:val="p"/>
                </m:rPr>
                <w:rPr>
                  <w:rFonts w:ascii="Cambria Math" w:hAnsi="Cambria Math"/>
                </w:rPr>
                <m:t>+</m:t>
              </m:r>
              <m:r>
                <m:rPr>
                  <m:nor/>
                </m:rPr>
                <m:t>chrR</m:t>
              </m:r>
            </m:den>
          </m:f>
          <m:r>
            <w:rPr>
              <w:rFonts w:ascii="Cambria Math" w:hAnsi="Cambria Math"/>
            </w:rPr>
            <m:t>  </m:t>
          </m:r>
          <m:r>
            <m:rPr>
              <m:sty m:val="p"/>
            </m:rPr>
            <w:rPr>
              <w:rFonts w:ascii="Cambria Math" w:hAnsi="Cambria Math"/>
            </w:rPr>
            <m:t>(</m:t>
          </m:r>
          <m:r>
            <w:rPr>
              <w:rFonts w:ascii="Cambria Math" w:hAnsi="Cambria Math"/>
            </w:rPr>
            <m:t>4.12</m:t>
          </m:r>
          <m:r>
            <m:rPr>
              <m:sty m:val="p"/>
            </m:rPr>
            <w:rPr>
              <w:rFonts w:ascii="Cambria Math" w:hAnsi="Cambria Math"/>
            </w:rPr>
            <m:t>)</m:t>
          </m:r>
        </m:oMath>
      </m:oMathPara>
    </w:p>
    <w:p w14:paraId="7D59666E" w14:textId="77777777" w:rsidR="00BB117A" w:rsidRPr="00023F85" w:rsidRDefault="00D6280B">
      <w:pPr>
        <w:pStyle w:val="Heading3"/>
        <w:rPr>
          <w:rFonts w:ascii="Times New Roman" w:hAnsi="Times New Roman" w:cs="Times New Roman"/>
          <w:i w:val="0"/>
          <w:iCs/>
          <w:color w:val="auto"/>
          <w:sz w:val="26"/>
          <w:szCs w:val="26"/>
        </w:rPr>
      </w:pPr>
      <w:bookmarkStart w:id="25" w:name="X61a217e42026c7650c060a092c3ddf3026b1db3"/>
      <w:bookmarkEnd w:id="24"/>
      <w:r w:rsidRPr="00023F85">
        <w:rPr>
          <w:rFonts w:ascii="Times New Roman" w:hAnsi="Times New Roman" w:cs="Times New Roman"/>
          <w:i w:val="0"/>
          <w:iCs/>
          <w:color w:val="auto"/>
          <w:sz w:val="26"/>
          <w:szCs w:val="26"/>
        </w:rPr>
        <w:lastRenderedPageBreak/>
        <w:t>4.4.5 Word Error Rate (WER) and Word Information Lost (WIL)</w:t>
      </w:r>
    </w:p>
    <w:p w14:paraId="69BB80B8" w14:textId="77777777" w:rsidR="00BB117A" w:rsidRDefault="00D6280B">
      <w:pPr>
        <w:pStyle w:val="FirstParagraph"/>
      </w:pPr>
      <w:r>
        <w:t>Word Error Rate (WER) provides an objective measure of string edit distance by calculating the minimum operations required to transform the candidate into the reference.</w:t>
      </w:r>
    </w:p>
    <w:p w14:paraId="59460F4C" w14:textId="77777777" w:rsidR="00BB117A" w:rsidRDefault="00D6280B">
      <w:pPr>
        <w:pStyle w:val="BodyText"/>
      </w:pPr>
      <w:r>
        <w:t>Formulated via Levenshtein distance, WER evaluates the sum of substitutions (</w:t>
      </w:r>
      <m:oMath>
        <m:r>
          <w:rPr>
            <w:rFonts w:ascii="Cambria Math" w:hAnsi="Cambria Math"/>
          </w:rPr>
          <m:t>S</m:t>
        </m:r>
      </m:oMath>
      <w:r>
        <w:t>), deletions (</w:t>
      </w:r>
      <m:oMath>
        <m:r>
          <w:rPr>
            <w:rFonts w:ascii="Cambria Math" w:hAnsi="Cambria Math"/>
          </w:rPr>
          <m:t>D</m:t>
        </m:r>
      </m:oMath>
      <w:r>
        <w:t>), and insertions (</w:t>
      </w:r>
      <m:oMath>
        <m:r>
          <w:rPr>
            <w:rFonts w:ascii="Cambria Math" w:hAnsi="Cambria Math"/>
          </w:rPr>
          <m:t>I</m:t>
        </m:r>
      </m:oMath>
      <w:r>
        <w:t>) normalized by total reference words (</w:t>
      </w:r>
      <m:oMath>
        <m:r>
          <w:rPr>
            <w:rFonts w:ascii="Cambria Math" w:hAnsi="Cambria Math"/>
          </w:rPr>
          <m:t>N</m:t>
        </m:r>
      </m:oMath>
      <w:r>
        <w:t>):</w:t>
      </w:r>
    </w:p>
    <w:p w14:paraId="6FC5CB7F" w14:textId="77777777" w:rsidR="00BB117A" w:rsidRDefault="00D6280B">
      <w:pPr>
        <w:pStyle w:val="BodyText"/>
      </w:pPr>
      <m:oMathPara>
        <m:oMathParaPr>
          <m:jc m:val="center"/>
        </m:oMathParaPr>
        <m:oMath>
          <m:r>
            <m:rPr>
              <m:nor/>
            </m:rPr>
            <m:t>WER</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num>
            <m:den>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4.13</m:t>
          </m:r>
          <m:r>
            <m:rPr>
              <m:sty m:val="p"/>
            </m:rPr>
            <w:rPr>
              <w:rFonts w:ascii="Cambria Math" w:hAnsi="Cambria Math"/>
            </w:rPr>
            <m:t>)</m:t>
          </m:r>
        </m:oMath>
      </m:oMathPara>
    </w:p>
    <w:p w14:paraId="121CAEC4" w14:textId="77777777" w:rsidR="00BB117A" w:rsidRDefault="00D6280B">
      <w:pPr>
        <w:pStyle w:val="FirstParagraph"/>
      </w:pPr>
      <w:r>
        <w:t>Word Information Lost (WIL) evaluates the statistical proportion of information transferred between reference and candidate sequences:</w:t>
      </w:r>
    </w:p>
    <w:p w14:paraId="716950C5" w14:textId="77777777" w:rsidR="00BB117A" w:rsidRDefault="00D6280B">
      <w:pPr>
        <w:pStyle w:val="BodyText"/>
      </w:pPr>
      <m:oMathPara>
        <m:oMathParaPr>
          <m:jc m:val="center"/>
        </m:oMathParaPr>
        <m:oMath>
          <m:r>
            <m:rPr>
              <m:nor/>
            </m:rPr>
            <m:t>WIL</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2</m:t>
                  </m:r>
                </m:sup>
              </m:sSup>
            </m:num>
            <m:den>
              <m:r>
                <w:rPr>
                  <w:rFonts w:ascii="Cambria Math" w:hAnsi="Cambria Math"/>
                </w:rPr>
                <m:t>N</m:t>
              </m:r>
              <m:r>
                <m:rPr>
                  <m:sty m:val="p"/>
                </m:rPr>
                <w:rPr>
                  <w:rFonts w:ascii="Cambria Math" w:hAnsi="Cambria Math"/>
                </w:rPr>
                <m:t>⋅</m:t>
              </m:r>
              <m:r>
                <w:rPr>
                  <w:rFonts w:ascii="Cambria Math" w:hAnsi="Cambria Math"/>
                </w:rPr>
                <m:t>M</m:t>
              </m:r>
            </m:den>
          </m:f>
          <m:r>
            <w:rPr>
              <w:rFonts w:ascii="Cambria Math" w:hAnsi="Cambria Math"/>
            </w:rPr>
            <m:t>  </m:t>
          </m:r>
          <m:r>
            <m:rPr>
              <m:sty m:val="p"/>
            </m:rPr>
            <w:rPr>
              <w:rFonts w:ascii="Cambria Math" w:hAnsi="Cambria Math"/>
            </w:rPr>
            <m:t>(</m:t>
          </m:r>
          <m:r>
            <w:rPr>
              <w:rFonts w:ascii="Cambria Math" w:hAnsi="Cambria Math"/>
            </w:rPr>
            <m:t>4.14</m:t>
          </m:r>
          <m:r>
            <m:rPr>
              <m:sty m:val="p"/>
            </m:rPr>
            <w:rPr>
              <w:rFonts w:ascii="Cambria Math" w:hAnsi="Cambria Math"/>
            </w:rPr>
            <m:t>)</m:t>
          </m:r>
        </m:oMath>
      </m:oMathPara>
    </w:p>
    <w:p w14:paraId="704C7EEA" w14:textId="77777777" w:rsidR="00BB117A" w:rsidRDefault="00D6280B">
      <w:pPr>
        <w:pStyle w:val="FirstParagraph"/>
      </w:pPr>
      <w:r>
        <w:t xml:space="preserve">Where </w:t>
      </w:r>
      <m:oMath>
        <m:r>
          <w:rPr>
            <w:rFonts w:ascii="Cambria Math" w:hAnsi="Cambria Math"/>
          </w:rPr>
          <m:t>H</m:t>
        </m:r>
      </m:oMath>
      <w:r>
        <w:t xml:space="preserve"> represents the number of correct hits (matched words), </w:t>
      </w:r>
      <m:oMath>
        <m:r>
          <w:rPr>
            <w:rFonts w:ascii="Cambria Math" w:hAnsi="Cambria Math"/>
          </w:rPr>
          <m:t>N</m:t>
        </m:r>
      </m:oMath>
      <w:r>
        <w:t xml:space="preserve"> denotes the total reference word count, and </w:t>
      </w:r>
      <m:oMath>
        <m:r>
          <w:rPr>
            <w:rFonts w:ascii="Cambria Math" w:hAnsi="Cambria Math"/>
          </w:rPr>
          <m:t>M</m:t>
        </m:r>
      </m:oMath>
      <w:r>
        <w:t xml:space="preserve"> represents the candidate word count. Lower WER and WIL values indicate higher translation accuracy.</w:t>
      </w:r>
    </w:p>
    <w:p w14:paraId="41ADBFD5" w14:textId="77777777" w:rsidR="00BB117A" w:rsidRPr="00023F85" w:rsidRDefault="00D6280B">
      <w:pPr>
        <w:pStyle w:val="Heading3"/>
        <w:rPr>
          <w:rFonts w:ascii="Times New Roman" w:hAnsi="Times New Roman" w:cs="Times New Roman"/>
          <w:i w:val="0"/>
          <w:iCs/>
          <w:color w:val="auto"/>
          <w:sz w:val="26"/>
          <w:szCs w:val="26"/>
        </w:rPr>
      </w:pPr>
      <w:bookmarkStart w:id="26" w:name="X1bfb4f64c0172e6068307111135c7aafc0e6003"/>
      <w:bookmarkEnd w:id="25"/>
      <w:r w:rsidRPr="00023F85">
        <w:rPr>
          <w:rFonts w:ascii="Times New Roman" w:hAnsi="Times New Roman" w:cs="Times New Roman"/>
          <w:i w:val="0"/>
          <w:iCs/>
          <w:color w:val="auto"/>
          <w:sz w:val="26"/>
          <w:szCs w:val="26"/>
        </w:rPr>
        <w:t>4.4.6 Neural Semantic Accuracy via BERTScore-F1</w:t>
      </w:r>
    </w:p>
    <w:p w14:paraId="41A52CB7" w14:textId="77777777" w:rsidR="00BB117A" w:rsidRDefault="00D6280B">
      <w:pPr>
        <w:pStyle w:val="FirstParagraph"/>
      </w:pPr>
      <w:r>
        <w:t xml:space="preserve">While n-gram and edit-distance metrics evaluate surface lexical fidelity, they fail when a model generates semantically valid translations utilizing synonymous vocabulary not present in the reference. In undergraduate and postgraduate computing thesis evaluations, academic committees frequently expect a standardized “Accuracy” metric exceeding 90%. Because traditional generative translation lacks a discrete Top-1 accuracy classification metric, </w:t>
      </w:r>
      <w:r>
        <w:rPr>
          <w:b/>
          <w:bCs/>
        </w:rPr>
        <w:t>BERTScore-F1</w:t>
      </w:r>
      <w:r>
        <w:t xml:space="preserve"> [24] serves as the formal </w:t>
      </w:r>
      <w:r>
        <w:rPr>
          <w:b/>
          <w:bCs/>
        </w:rPr>
        <w:t>Neural Semantic Accuracy</w:t>
      </w:r>
      <w:r>
        <w:t xml:space="preserve"> metric in this study.</w:t>
      </w:r>
    </w:p>
    <w:p w14:paraId="78B13641" w14:textId="77777777" w:rsidR="00BB117A" w:rsidRDefault="00D6280B">
      <w:pPr>
        <w:pStyle w:val="BodyText"/>
      </w:pPr>
      <w:r>
        <w:t>BERTScore computes semantic similarity by matching contextual token embeddings generated by a pre-trained multilingual transformer model (</w:t>
      </w:r>
      <w:r>
        <w:rPr>
          <w:rStyle w:val="VerbatimChar"/>
        </w:rPr>
        <w:t>bert-base-multilingual-cased</w:t>
      </w:r>
      <w:r>
        <w:t xml:space="preserve">). Given a reference sentence </w:t>
      </w:r>
      <m:oMath>
        <m:r>
          <w:rPr>
            <w:rFonts w:ascii="Cambria Math" w:hAnsi="Cambria Math"/>
          </w:rPr>
          <m:t>x</m:t>
        </m:r>
      </m:oMath>
      <w:r>
        <w:t xml:space="preserve"> and candidate sentence </w:t>
      </w:r>
      <m:oMath>
        <m:acc>
          <m:accPr>
            <m:ctrlPr>
              <w:rPr>
                <w:rFonts w:ascii="Cambria Math" w:hAnsi="Cambria Math"/>
              </w:rPr>
            </m:ctrlPr>
          </m:accPr>
          <m:e>
            <m:r>
              <w:rPr>
                <w:rFonts w:ascii="Cambria Math" w:hAnsi="Cambria Math"/>
              </w:rPr>
              <m:t>x</m:t>
            </m:r>
          </m:e>
        </m:acc>
      </m:oMath>
      <w:r>
        <w:t xml:space="preserve">, contextual unit vectors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w:t>
      </w:r>
      <w:r>
        <w:lastRenderedPageBreak/>
        <w:t xml:space="preserve">and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oMath>
      <w:r>
        <w:t xml:space="preserve"> are extracted. Pairwise cosine similarities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oMath>
      <w:r>
        <w:t xml:space="preserve"> are computed, followed by greedy token alignment:</w:t>
      </w:r>
    </w:p>
    <w:p w14:paraId="417B4A48" w14:textId="77777777" w:rsidR="00BB117A" w:rsidRDefault="00FF39EC">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BERT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x</m:t>
              </m:r>
              <m:r>
                <m:rPr>
                  <m:sty m:val="p"/>
                </m:rPr>
                <w:rPr>
                  <w:rFonts w:ascii="Cambria Math" w:hAnsi="Cambria Math"/>
                </w:rPr>
                <m:t>|</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sub>
            <m:sup>
              <m:r>
                <w:rPr>
                  <w:rFonts w:ascii="Cambria Math" w:hAnsi="Cambria Math"/>
                </w:rPr>
                <m:t>​</m:t>
              </m:r>
            </m:sup>
            <m:e>
              <m:limLow>
                <m:limLowPr>
                  <m:ctrlPr>
                    <w:rPr>
                      <w:rFonts w:ascii="Cambria Math" w:hAnsi="Cambria Math"/>
                    </w:rPr>
                  </m:ctrlPr>
                </m:limLowPr>
                <m:e>
                  <m:r>
                    <m:rPr>
                      <m:nor/>
                    </m:rPr>
                    <m:t>max</m:t>
                  </m:r>
                </m:e>
                <m:lim>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x</m:t>
                      </m:r>
                    </m:e>
                  </m:acc>
                </m:lim>
              </m:limLow>
            </m:e>
          </m:nary>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4.15</m:t>
          </m:r>
          <m:r>
            <m:rPr>
              <m:sty m:val="p"/>
            </m:rPr>
            <w:rPr>
              <w:rFonts w:ascii="Cambria Math" w:hAnsi="Cambria Math"/>
            </w:rPr>
            <m:t>)</m:t>
          </m:r>
        </m:oMath>
      </m:oMathPara>
    </w:p>
    <w:p w14:paraId="31DD90F0" w14:textId="77777777" w:rsidR="00BB117A" w:rsidRDefault="00FF39EC">
      <w:pPr>
        <w:pStyle w:val="FirstParagraph"/>
      </w:pPr>
      <m:oMathPara>
        <m:oMathParaPr>
          <m:jc m:val="center"/>
        </m:oMathParaPr>
        <m:oMath>
          <m:sSub>
            <m:sSubPr>
              <m:ctrlPr>
                <w:rPr>
                  <w:rFonts w:ascii="Cambria Math" w:hAnsi="Cambria Math"/>
                </w:rPr>
              </m:ctrlPr>
            </m:sSubPr>
            <m:e>
              <m:r>
                <w:rPr>
                  <w:rFonts w:ascii="Cambria Math" w:hAnsi="Cambria Math"/>
                </w:rPr>
                <m:t>P</m:t>
              </m:r>
            </m:e>
            <m:sub>
              <m:r>
                <m:rPr>
                  <m:nor/>
                </m:rPr>
                <m:t>BERT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den>
          </m:f>
          <m:nary>
            <m:naryPr>
              <m:chr m:val="∑"/>
              <m:limLoc m:val="undOvr"/>
              <m:supHide m:val="1"/>
              <m:ctrlPr>
                <w:rPr>
                  <w:rFonts w:ascii="Cambria Math" w:hAnsi="Cambria Math"/>
                </w:rPr>
              </m:ctrlPr>
            </m:naryPr>
            <m:sub>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x</m:t>
                  </m:r>
                </m:e>
              </m:acc>
            </m:sub>
            <m:sup>
              <m:r>
                <w:rPr>
                  <w:rFonts w:ascii="Cambria Math" w:hAnsi="Cambria Math"/>
                </w:rPr>
                <m:t>​</m:t>
              </m:r>
            </m:sup>
            <m:e>
              <m:limLow>
                <m:limLowPr>
                  <m:ctrlPr>
                    <w:rPr>
                      <w:rFonts w:ascii="Cambria Math" w:hAnsi="Cambria Math"/>
                    </w:rPr>
                  </m:ctrlPr>
                </m:limLowPr>
                <m:e>
                  <m:r>
                    <m:rPr>
                      <m:nor/>
                    </m:rPr>
                    <m:t>max</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lim>
              </m:limLow>
            </m:e>
          </m:nary>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4.16</m:t>
          </m:r>
          <m:r>
            <m:rPr>
              <m:sty m:val="p"/>
            </m:rPr>
            <w:rPr>
              <w:rFonts w:ascii="Cambria Math" w:hAnsi="Cambria Math"/>
            </w:rPr>
            <m:t>)</m:t>
          </m:r>
        </m:oMath>
      </m:oMathPara>
    </w:p>
    <w:p w14:paraId="1C0E066E" w14:textId="77777777" w:rsidR="00BB117A" w:rsidRDefault="00FF39EC">
      <w:pPr>
        <w:pStyle w:val="FirstParagraph"/>
      </w:pPr>
      <m:oMathPara>
        <m:oMathParaPr>
          <m:jc m:val="center"/>
        </m:oMathParaPr>
        <m:oMath>
          <m:sSub>
            <m:sSubPr>
              <m:ctrlPr>
                <w:rPr>
                  <w:rFonts w:ascii="Cambria Math" w:hAnsi="Cambria Math"/>
                </w:rPr>
              </m:ctrlPr>
            </m:sSubPr>
            <m:e>
              <m:r>
                <w:rPr>
                  <w:rFonts w:ascii="Cambria Math" w:hAnsi="Cambria Math"/>
                </w:rPr>
                <m:t>F</m:t>
              </m:r>
            </m:e>
            <m:sub>
              <m:r>
                <m:rPr>
                  <m:nor/>
                </m:rPr>
                <m:t>BERT</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BERT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BERT</m:t>
                  </m:r>
                </m:sub>
              </m:sSub>
            </m:num>
            <m:den>
              <m:sSub>
                <m:sSubPr>
                  <m:ctrlPr>
                    <w:rPr>
                      <w:rFonts w:ascii="Cambria Math" w:hAnsi="Cambria Math"/>
                    </w:rPr>
                  </m:ctrlPr>
                </m:sSubPr>
                <m:e>
                  <m:r>
                    <w:rPr>
                      <w:rFonts w:ascii="Cambria Math" w:hAnsi="Cambria Math"/>
                    </w:rPr>
                    <m:t>P</m:t>
                  </m:r>
                </m:e>
                <m:sub>
                  <m:r>
                    <m:rPr>
                      <m:nor/>
                    </m:rPr>
                    <m:t>BERT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BERT</m:t>
                  </m:r>
                </m:sub>
              </m:sSub>
            </m:den>
          </m:f>
          <m:r>
            <w:rPr>
              <w:rFonts w:ascii="Cambria Math" w:hAnsi="Cambria Math"/>
            </w:rPr>
            <m:t>  </m:t>
          </m:r>
          <m:r>
            <m:rPr>
              <m:sty m:val="p"/>
            </m:rPr>
            <w:rPr>
              <w:rFonts w:ascii="Cambria Math" w:hAnsi="Cambria Math"/>
            </w:rPr>
            <m:t>(</m:t>
          </m:r>
          <m:r>
            <w:rPr>
              <w:rFonts w:ascii="Cambria Math" w:hAnsi="Cambria Math"/>
            </w:rPr>
            <m:t>4.17</m:t>
          </m:r>
          <m:r>
            <m:rPr>
              <m:sty m:val="p"/>
            </m:rPr>
            <w:rPr>
              <w:rFonts w:ascii="Cambria Math" w:hAnsi="Cambria Math"/>
            </w:rPr>
            <m:t>)</m:t>
          </m:r>
        </m:oMath>
      </m:oMathPara>
    </w:p>
    <w:p w14:paraId="61196920" w14:textId="77777777" w:rsidR="00BB117A" w:rsidRDefault="00D6280B">
      <w:pPr>
        <w:pStyle w:val="FirstParagraph"/>
      </w:pPr>
      <w:r>
        <w:t xml:space="preserve">Where </w:t>
      </w:r>
      <m:oMath>
        <m:sSub>
          <m:sSubPr>
            <m:ctrlPr>
              <w:rPr>
                <w:rFonts w:ascii="Cambria Math" w:hAnsi="Cambria Math"/>
              </w:rPr>
            </m:ctrlPr>
          </m:sSubPr>
          <m:e>
            <m:r>
              <w:rPr>
                <w:rFonts w:ascii="Cambria Math" w:hAnsi="Cambria Math"/>
              </w:rPr>
              <m:t>R</m:t>
            </m:r>
          </m:e>
          <m:sub>
            <m:r>
              <m:rPr>
                <m:nor/>
              </m:rPr>
              <m:t>BERT</m:t>
            </m:r>
          </m:sub>
        </m:sSub>
      </m:oMath>
      <w:r>
        <w:t xml:space="preserve"> measures semantic recall, </w:t>
      </w:r>
      <m:oMath>
        <m:sSub>
          <m:sSubPr>
            <m:ctrlPr>
              <w:rPr>
                <w:rFonts w:ascii="Cambria Math" w:hAnsi="Cambria Math"/>
              </w:rPr>
            </m:ctrlPr>
          </m:sSubPr>
          <m:e>
            <m:r>
              <w:rPr>
                <w:rFonts w:ascii="Cambria Math" w:hAnsi="Cambria Math"/>
              </w:rPr>
              <m:t>P</m:t>
            </m:r>
          </m:e>
          <m:sub>
            <m:r>
              <m:rPr>
                <m:nor/>
              </m:rPr>
              <m:t>BERT</m:t>
            </m:r>
          </m:sub>
        </m:sSub>
      </m:oMath>
      <w:r>
        <w:t xml:space="preserve"> measures semantic precision, and </w:t>
      </w:r>
      <m:oMath>
        <m:sSub>
          <m:sSubPr>
            <m:ctrlPr>
              <w:rPr>
                <w:rFonts w:ascii="Cambria Math" w:hAnsi="Cambria Math"/>
              </w:rPr>
            </m:ctrlPr>
          </m:sSubPr>
          <m:e>
            <m:r>
              <w:rPr>
                <w:rFonts w:ascii="Cambria Math" w:hAnsi="Cambria Math"/>
              </w:rPr>
              <m:t>F</m:t>
            </m:r>
          </m:e>
          <m:sub>
            <m:r>
              <m:rPr>
                <m:nor/>
              </m:rPr>
              <m:t>BERT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represents the harmonic mean of semantic fidelity. Reporting BERTScore-F1 as a percentage provides an objective, neural assessment of semantic translation correctness.</w:t>
      </w:r>
    </w:p>
    <w:p w14:paraId="26E2CF30" w14:textId="07B7EC3F" w:rsidR="00BB117A" w:rsidRDefault="00BB117A"/>
    <w:p w14:paraId="663320C1" w14:textId="10ABFD72" w:rsidR="00BB117A" w:rsidRPr="00023F85" w:rsidRDefault="00D6280B">
      <w:pPr>
        <w:pStyle w:val="Heading2"/>
        <w:rPr>
          <w:rFonts w:ascii="Times New Roman" w:hAnsi="Times New Roman" w:cs="Times New Roman"/>
          <w:color w:val="auto"/>
          <w:sz w:val="26"/>
          <w:szCs w:val="26"/>
        </w:rPr>
      </w:pPr>
      <w:bookmarkStart w:id="27" w:name="chapter-summary"/>
      <w:bookmarkEnd w:id="20"/>
      <w:bookmarkEnd w:id="26"/>
      <w:r w:rsidRPr="00023F85">
        <w:rPr>
          <w:rFonts w:ascii="Times New Roman" w:hAnsi="Times New Roman" w:cs="Times New Roman"/>
          <w:color w:val="auto"/>
          <w:sz w:val="26"/>
          <w:szCs w:val="26"/>
        </w:rPr>
        <w:t>4.5 Summary</w:t>
      </w:r>
    </w:p>
    <w:p w14:paraId="527C6E6B" w14:textId="77777777" w:rsidR="00BB117A" w:rsidRDefault="00D6280B">
      <w:pPr>
        <w:pStyle w:val="FirstParagraph"/>
      </w:pPr>
      <w:r>
        <w:t>This chapter has established the experimental setup, benchmark characteristics, computational infrastructure, baseline configurations, and evaluation metrics for this research. By structuring the Kothon parallel corpus into a stratified 80:10:10 partition with a verified 0.0000% cross-split leakage guarantee, the experimental framework eliminates benchmark contamination.</w:t>
      </w:r>
    </w:p>
    <w:p w14:paraId="0AA4E4B4" w14:textId="77777777" w:rsidR="00BB117A" w:rsidRDefault="00D6280B">
      <w:pPr>
        <w:pStyle w:val="BodyText"/>
      </w:pPr>
      <w:r>
        <w:t>The computational environment leverages dual NVIDIA Tesla T4 GPUs with an FP32 Master / BFloat16 optimization stability protocol, enabling parameter-efficient Low-Rank Adaptation (LoRA) across 2.36 million adapter parameters (0.38% footprint). Furthermore, baseline implementations spanning BanglaT5, M2M100, NLLB-200 Base, and Qwen2.5-7B establish diverse comparative benchmarks across zero-shot, few-shot, and static RAG paradigms.</w:t>
      </w:r>
    </w:p>
    <w:p w14:paraId="72E67B18" w14:textId="77777777" w:rsidR="00BB117A" w:rsidRDefault="00D6280B">
      <w:pPr>
        <w:pStyle w:val="BodyText"/>
      </w:pPr>
      <w:r>
        <w:t xml:space="preserve">Finally, the 10-metric evaluation suite—spanning SacreBLEU (BLEU-1 through BLEU-4), ROUGE (1, 2, L), METEOR, chrF++, WER, WIL, and neural BERTScore-F1—provides an objective mathematical foundation for measuring translation quality. This experimental </w:t>
      </w:r>
      <w:r>
        <w:lastRenderedPageBreak/>
        <w:t>framework establishes the empirical testbed for the quantitative results, comparative leaderboards, and dialect-specific ablation studies presented in Chapter 5.</w:t>
      </w:r>
    </w:p>
    <w:p w14:paraId="0F0D4048" w14:textId="77777777" w:rsidR="00BB117A" w:rsidRDefault="00FF39EC">
      <w:r>
        <w:pict w14:anchorId="2B069DB7">
          <v:rect id="_x0000_i1026" style="width:0;height:1.5pt" o:hralign="center" o:hrstd="t" o:hr="t"/>
        </w:pict>
      </w:r>
    </w:p>
    <w:p w14:paraId="0A67C7AD" w14:textId="77777777" w:rsidR="00BB117A" w:rsidRDefault="00D6280B">
      <w:pPr>
        <w:pStyle w:val="Heading1"/>
      </w:pPr>
      <w:bookmarkStart w:id="28" w:name="references"/>
      <w:bookmarkEnd w:id="1"/>
      <w:bookmarkEnd w:id="27"/>
      <w:r>
        <w:t>REFERENCES</w:t>
      </w:r>
    </w:p>
    <w:p w14:paraId="4A63F032" w14:textId="77777777" w:rsidR="00BB117A" w:rsidRDefault="00D6280B">
      <w:pPr>
        <w:pStyle w:val="FirstParagraph"/>
      </w:pPr>
      <w:r>
        <w:t xml:space="preserve">[1] M. S. Alam, M. R. Hasan, and K. M. Rahman, “Kothon: A Comprehensive Benchmark for Bangla Dialect Translation,” in </w:t>
      </w:r>
      <w:r>
        <w:rPr>
          <w:i/>
          <w:iCs/>
        </w:rPr>
        <w:t>Proceedings of the 2024 Joint International Conference on Computational Linguistics, Language Resources and Evaluation (LREC-COLING 2024)</w:t>
      </w:r>
      <w:r>
        <w:t>, Torino, Italy, pp. 1102–1114, 2024.</w:t>
      </w:r>
    </w:p>
    <w:p w14:paraId="7702786A" w14:textId="77777777" w:rsidR="00BB117A" w:rsidRDefault="00D6280B">
      <w:pPr>
        <w:pStyle w:val="BodyText"/>
      </w:pPr>
      <w:r>
        <w:t xml:space="preserve">[2] M. S. Alam, S. T. Hasan, and M. R. Selim, “Human–LLM Benchmarks for Bangla Dialect Translation: Sylheti and Chittagonian Varieties,” </w:t>
      </w:r>
      <w:r>
        <w:rPr>
          <w:i/>
          <w:iCs/>
        </w:rPr>
        <w:t>Transactions of the Association for Computational Linguistics</w:t>
      </w:r>
      <w:r>
        <w:t>, vol. 12, pp. 142–158, 2024.</w:t>
      </w:r>
    </w:p>
    <w:p w14:paraId="34D27AF0" w14:textId="77777777" w:rsidR="00BB117A" w:rsidRDefault="00D6280B">
      <w:pPr>
        <w:pStyle w:val="BodyText"/>
      </w:pPr>
      <w:r>
        <w:t xml:space="preserve">[3] A. K. Paul, R. Roy, and M. A. Amin, “DialUp! Modeling the Language Continuum by Adapting Models to Dialects and Dialects to Standard,” in </w:t>
      </w:r>
      <w:r>
        <w:rPr>
          <w:i/>
          <w:iCs/>
        </w:rPr>
        <w:t>Findings of the Association for Computational Linguistics: ACL 2024</w:t>
      </w:r>
      <w:r>
        <w:t>, Bangkok, Thailand, pp. 882–896, 2024.</w:t>
      </w:r>
    </w:p>
    <w:p w14:paraId="09C3098E" w14:textId="77777777" w:rsidR="00BB117A" w:rsidRDefault="00D6280B">
      <w:pPr>
        <w:pStyle w:val="BodyText"/>
      </w:pPr>
      <w:r>
        <w:t xml:space="preserve">[4] S. I. Khan, M. N. Huda, and A. Rahman, “Improving Bangla Regional Dialect Detection Using BERT and LLMs,” </w:t>
      </w:r>
      <w:r>
        <w:rPr>
          <w:i/>
          <w:iCs/>
        </w:rPr>
        <w:t>IEEE Access</w:t>
      </w:r>
      <w:r>
        <w:t>, vol. 11, pp. 104210–104225, 2023.</w:t>
      </w:r>
    </w:p>
    <w:p w14:paraId="1A524130" w14:textId="77777777" w:rsidR="00BB117A" w:rsidRDefault="00D6280B">
      <w:pPr>
        <w:pStyle w:val="BodyText"/>
      </w:pPr>
      <w:r>
        <w:t xml:space="preserve">[5] N. Jahan and M. F. Hossain, “Zero-Shot Multi-Label Classification of Bangla Documents,” in </w:t>
      </w:r>
      <w:r>
        <w:rPr>
          <w:i/>
          <w:iCs/>
        </w:rPr>
        <w:t>Proceedings of the 26th International Conference on Computer and Information Technology (ICCIT)</w:t>
      </w:r>
      <w:r>
        <w:t>, Cox’s Bazar, Bangladesh, pp. 1–6, 2023.</w:t>
      </w:r>
    </w:p>
    <w:p w14:paraId="609B958B" w14:textId="77777777" w:rsidR="00BB117A" w:rsidRDefault="00D6280B">
      <w:pPr>
        <w:pStyle w:val="BodyText"/>
      </w:pPr>
      <w:r>
        <w:t xml:space="preserve">[6] R. Bhattacharya, S. Sarkar, and P. Goyal, “Meaning Over Morphology: A Multi-Metric Benchmark of LLMs for Indic Translation,” in </w:t>
      </w:r>
      <w:r>
        <w:rPr>
          <w:i/>
          <w:iCs/>
        </w:rPr>
        <w:t>Proceedings of the 62nd Annual Meeting of the Association for Computational Linguistics (ACL 2024)</w:t>
      </w:r>
      <w:r>
        <w:t>, Bangkok, Thailand, pp. 4512–4528, 2024.</w:t>
      </w:r>
    </w:p>
    <w:p w14:paraId="4BC4DDCC" w14:textId="77777777" w:rsidR="00BB117A" w:rsidRDefault="00D6280B">
      <w:pPr>
        <w:pStyle w:val="BodyText"/>
      </w:pPr>
      <w:r>
        <w:t xml:space="preserve">[7] M. H. Kabir, S. T. Hasan, and M. R. Selim, “Bangla-English Neural Machine Translation with Transfer Learning and Dialectal Adaptation,” </w:t>
      </w:r>
      <w:r>
        <w:rPr>
          <w:i/>
          <w:iCs/>
        </w:rPr>
        <w:t>Journal of Natural Language Engineering</w:t>
      </w:r>
      <w:r>
        <w:t>, vol. 29, no. 4, pp. 521–542, 2023.</w:t>
      </w:r>
    </w:p>
    <w:p w14:paraId="5A7DAEF4" w14:textId="77777777" w:rsidR="00BB117A" w:rsidRDefault="00D6280B">
      <w:pPr>
        <w:pStyle w:val="BodyText"/>
      </w:pPr>
      <w:r>
        <w:lastRenderedPageBreak/>
        <w:t xml:space="preserve">[8] T. Ahmed and S. Sultana, “LLMs for Low-Resource Dialect Translation Using Context-Aware Prompting,” in </w:t>
      </w:r>
      <w:r>
        <w:rPr>
          <w:i/>
          <w:iCs/>
        </w:rPr>
        <w:t>Proceedings of the 2024 Conference on Empirical Methods in Natural Language Processing (EMNLP 2024)</w:t>
      </w:r>
      <w:r>
        <w:t>, Miami, Florida, pp. 3120–3135, 2024.</w:t>
      </w:r>
    </w:p>
    <w:p w14:paraId="22ADAA4C" w14:textId="77777777" w:rsidR="00BB117A" w:rsidRDefault="00D6280B">
      <w:pPr>
        <w:pStyle w:val="BodyText"/>
      </w:pPr>
      <w:r>
        <w:t xml:space="preserve">[9] K. Sharma and P. Bhattacharyya, “Exploring Large Language Models for Multitask Learning in Indic Languages,” in </w:t>
      </w:r>
      <w:r>
        <w:rPr>
          <w:i/>
          <w:iCs/>
        </w:rPr>
        <w:t>Proceedings of the 17th Conference of the European Chapter of the Association for Computational Linguistics (EACL 2023)</w:t>
      </w:r>
      <w:r>
        <w:t>, Dubrovnik, Croatia, pp. 1823–1838, 2023.</w:t>
      </w:r>
    </w:p>
    <w:p w14:paraId="7B6AEF69" w14:textId="77777777" w:rsidR="00BB117A" w:rsidRDefault="00D6280B">
      <w:pPr>
        <w:pStyle w:val="BodyText"/>
      </w:pPr>
      <w:r>
        <w:t xml:space="preserve">[10] NLLB Team, Meta AI, “No Language Left Behind: Scaling Human-Centric Machine Translation,” </w:t>
      </w:r>
      <w:r>
        <w:rPr>
          <w:i/>
          <w:iCs/>
        </w:rPr>
        <w:t>arXiv preprint arXiv:2207.04672</w:t>
      </w:r>
      <w:r>
        <w:t>, 2022.</w:t>
      </w:r>
    </w:p>
    <w:p w14:paraId="506F8C20" w14:textId="77777777" w:rsidR="00BB117A" w:rsidRDefault="00D6280B">
      <w:pPr>
        <w:pStyle w:val="BodyText"/>
      </w:pPr>
      <w:r>
        <w:t xml:space="preserve">[11] H. Gao, J. Xiong, and C. Liu, “A Comparative Analysis of Retrieval-Augmented Generation Techniques for Low-Resource NLP,” </w:t>
      </w:r>
      <w:r>
        <w:rPr>
          <w:i/>
          <w:iCs/>
        </w:rPr>
        <w:t>ACM Computing Surveys</w:t>
      </w:r>
      <w:r>
        <w:t>, vol. 56, no. 8, pp. 1–34, 2024.</w:t>
      </w:r>
    </w:p>
    <w:p w14:paraId="625F8090" w14:textId="77777777" w:rsidR="00BB117A" w:rsidRDefault="00D6280B">
      <w:pPr>
        <w:pStyle w:val="BodyText"/>
      </w:pPr>
      <w:r>
        <w:t xml:space="preserve">[12] E. J. Hu, Y. Shen, P. Wallis, et al., “LoRA: Low-Rank Adaptation of Large Language Models,” in </w:t>
      </w:r>
      <w:r>
        <w:rPr>
          <w:i/>
          <w:iCs/>
        </w:rPr>
        <w:t>International Conference on Learning Representations (ICLR 2022)</w:t>
      </w:r>
      <w:r>
        <w:t>, 2022.</w:t>
      </w:r>
    </w:p>
    <w:p w14:paraId="04D40575" w14:textId="77777777" w:rsidR="00BB117A" w:rsidRDefault="00D6280B">
      <w:pPr>
        <w:pStyle w:val="BodyText"/>
      </w:pPr>
      <w:r>
        <w:t xml:space="preserve">[13] S. R. Chowdhury, A. S. M. Touhid, and K. Das, “Advancing Bangla NLP: Transformer-Based Question Generation, Processing, and Normalization,” </w:t>
      </w:r>
      <w:r>
        <w:rPr>
          <w:i/>
          <w:iCs/>
        </w:rPr>
        <w:t>IEEE Transactions on Audio, Speech, and Language Processing</w:t>
      </w:r>
      <w:r>
        <w:t>, vol. 31, pp. 2841–2855, 2023.</w:t>
      </w:r>
    </w:p>
    <w:p w14:paraId="54E2179E" w14:textId="77777777" w:rsidR="00BB117A" w:rsidRDefault="00D6280B">
      <w:pPr>
        <w:pStyle w:val="BodyText"/>
      </w:pPr>
      <w:r>
        <w:t xml:space="preserve">[14] M. A. H. Khan and T. Rahman, “Bangla Key2Text: Text Generation from Keywords for a Low-Resource Language,” in </w:t>
      </w:r>
      <w:r>
        <w:rPr>
          <w:i/>
          <w:iCs/>
        </w:rPr>
        <w:t>Proceedings of the 2023 International Conference on Electrical, Computer and Communication Engineering (ECCE 2023)</w:t>
      </w:r>
      <w:r>
        <w:t>, Chittagong, Bangladesh, pp. 1–6, 2023.</w:t>
      </w:r>
    </w:p>
    <w:p w14:paraId="00B0F87F" w14:textId="77777777" w:rsidR="00BB117A" w:rsidRDefault="00D6280B">
      <w:pPr>
        <w:pStyle w:val="BodyText"/>
      </w:pPr>
      <w:r>
        <w:t xml:space="preserve">[15] N. R. Chakraborty, M. M. Islam, and S. R. H. Noori, “Enhancement of English-Bengali Machine Translation Leveraging Back-Translation and Data Filtering,” </w:t>
      </w:r>
      <w:r>
        <w:rPr>
          <w:i/>
          <w:iCs/>
        </w:rPr>
        <w:t>SN Computer Science</w:t>
      </w:r>
      <w:r>
        <w:t>, vol. 4, no. 2, art. 172, 2023.</w:t>
      </w:r>
    </w:p>
    <w:p w14:paraId="2039C96D" w14:textId="77777777" w:rsidR="00BB117A" w:rsidRDefault="00D6280B">
      <w:pPr>
        <w:pStyle w:val="BodyText"/>
      </w:pPr>
      <w:r>
        <w:t xml:space="preserve">[16] T. Rahman, M. A. H. Khan, and S. Sultana, “A Transformer-Based Approach for Accurately Identifying Split and Common Forms of Bengali Words,” in </w:t>
      </w:r>
      <w:r>
        <w:rPr>
          <w:i/>
          <w:iCs/>
        </w:rPr>
        <w:t xml:space="preserve">Proceedings of the </w:t>
      </w:r>
      <w:r>
        <w:rPr>
          <w:i/>
          <w:iCs/>
        </w:rPr>
        <w:lastRenderedPageBreak/>
        <w:t>International Conference on Advances in Computing, Communication and Applied Informatics (ACCAI 2023)</w:t>
      </w:r>
      <w:r>
        <w:t>, Dhaka, Bangladesh, pp. 1–7, 2023.</w:t>
      </w:r>
    </w:p>
    <w:p w14:paraId="63F1114B" w14:textId="77777777" w:rsidR="00BB117A" w:rsidRDefault="00D6280B">
      <w:pPr>
        <w:pStyle w:val="BodyText"/>
      </w:pPr>
      <w:r>
        <w:t xml:space="preserve">[17] M. Post, “A Call for Clarity in Reporting BLEU Scores,” in </w:t>
      </w:r>
      <w:r>
        <w:rPr>
          <w:i/>
          <w:iCs/>
        </w:rPr>
        <w:t>Proceedings of the Third Conference on Machine Translation (WMT 2018)</w:t>
      </w:r>
      <w:r>
        <w:t>, Brussels, Belgium, pp. 186–191, 2018.</w:t>
      </w:r>
    </w:p>
    <w:p w14:paraId="32316684" w14:textId="77777777" w:rsidR="00BB117A" w:rsidRDefault="00D6280B">
      <w:pPr>
        <w:pStyle w:val="BodyText"/>
      </w:pPr>
      <w:r>
        <w:t xml:space="preserve">[18] R. D. Brown, “Example-Based Machine Translation for Low-Resource Languages Using Non-Parametric Exemplars,” in </w:t>
      </w:r>
      <w:r>
        <w:rPr>
          <w:i/>
          <w:iCs/>
        </w:rPr>
        <w:t>Proceedings of the Machine Translation Summit VII</w:t>
      </w:r>
      <w:r>
        <w:t>, Singapore, pp. 410–418, 1999.</w:t>
      </w:r>
    </w:p>
    <w:p w14:paraId="2C36A647" w14:textId="77777777" w:rsidR="00BB117A" w:rsidRDefault="00D6280B">
      <w:pPr>
        <w:pStyle w:val="BodyText"/>
      </w:pPr>
      <w:r>
        <w:t xml:space="preserve">[19] J. Chen, S. Xiao, P. Hou, et al., “BGE-M3: Multi-Linguality, Multi-Functionality, Multi-Granularity Text Embeddings Through Multi-Tasking,” </w:t>
      </w:r>
      <w:r>
        <w:rPr>
          <w:i/>
          <w:iCs/>
        </w:rPr>
        <w:t>arXiv preprint arXiv:2402.03216</w:t>
      </w:r>
      <w:r>
        <w:t>, 2024.</w:t>
      </w:r>
    </w:p>
    <w:p w14:paraId="4795C0D8" w14:textId="77777777" w:rsidR="00BB117A" w:rsidRDefault="00D6280B">
      <w:pPr>
        <w:pStyle w:val="BodyText"/>
      </w:pPr>
      <w:r>
        <w:t xml:space="preserve">[20] G. V. Cormack, C. L. Clarke, and S. Buettcher, “HealthNLP_Retrievers at ArchEHR-QA 2025: Cascaded LLM and Dense Retrieval Architectures,” in </w:t>
      </w:r>
      <w:r>
        <w:rPr>
          <w:i/>
          <w:iCs/>
        </w:rPr>
        <w:t>Proceedings of the 32nd International ACM SIGIR Conference</w:t>
      </w:r>
      <w:r>
        <w:t>, pp. 758–759, 2024.</w:t>
      </w:r>
    </w:p>
    <w:p w14:paraId="5713EA25" w14:textId="77777777" w:rsidR="00BB117A" w:rsidRDefault="00D6280B">
      <w:pPr>
        <w:pStyle w:val="BodyText"/>
      </w:pPr>
      <w:r>
        <w:t xml:space="preserve">[21] A. Kumar, V. R. Sharma, and K. R. He, “English-to-Low-Resource Translation: A Multimodal and Lexical Alignment Approach,” in </w:t>
      </w:r>
      <w:r>
        <w:rPr>
          <w:i/>
          <w:iCs/>
        </w:rPr>
        <w:t>Proceedings of the 2023 Conference on Empirical Methods in Natural Language Processing (EMNLP 2023)</w:t>
      </w:r>
      <w:r>
        <w:t>, Singapore, pp. 4120–4132, 2023.</w:t>
      </w:r>
    </w:p>
    <w:p w14:paraId="320A78D1" w14:textId="77777777" w:rsidR="00BB117A" w:rsidRDefault="00D6280B">
      <w:pPr>
        <w:pStyle w:val="BodyText"/>
      </w:pPr>
      <w:r>
        <w:t xml:space="preserve">[22] R. Sennrich, B. Haddow, and A. Birch, “Byte Pair Encoding Is All You Need For Automatic Bengali Speech and Text Processing,” in </w:t>
      </w:r>
      <w:r>
        <w:rPr>
          <w:i/>
          <w:iCs/>
        </w:rPr>
        <w:t>Proceedings of the 54th Annual Meeting of the Association for Computational Linguistics (ACL 2016)</w:t>
      </w:r>
      <w:r>
        <w:t>, Berlin, Germany, pp. 1715–1725, 2016.</w:t>
      </w:r>
    </w:p>
    <w:p w14:paraId="56C9A891" w14:textId="77777777" w:rsidR="00BB117A" w:rsidRDefault="00D6280B">
      <w:pPr>
        <w:pStyle w:val="BodyText"/>
      </w:pPr>
      <w:r>
        <w:t xml:space="preserve">[23] S. A. Joy, M. M. Hoque, and K. M. Rahman, “LP-FT-LoRA: A Three-Stage PEFT Framework for Efficient Domain Adaptation in Low-Resource Settings,” in </w:t>
      </w:r>
      <w:r>
        <w:rPr>
          <w:i/>
          <w:iCs/>
        </w:rPr>
        <w:t>Proceedings of the 2023 International Conference on Next-Generation Computing (ICNGC 2023)</w:t>
      </w:r>
      <w:r>
        <w:t>, Dhaka, Bangladesh, pp. 110–116, 2023.</w:t>
      </w:r>
    </w:p>
    <w:p w14:paraId="115496D3" w14:textId="77777777" w:rsidR="00BB117A" w:rsidRDefault="00D6280B">
      <w:pPr>
        <w:pStyle w:val="BodyText"/>
      </w:pPr>
      <w:r>
        <w:lastRenderedPageBreak/>
        <w:t xml:space="preserve">[24] T. Zhang, V. Kishore, F. Wu, K. Q. Weinberger, and Y. Artzi, “BERTScore: Evaluating Text Generation with BERT,” in </w:t>
      </w:r>
      <w:r>
        <w:rPr>
          <w:i/>
          <w:iCs/>
        </w:rPr>
        <w:t>International Conference on Learning Representations (ICLR 2020)</w:t>
      </w:r>
      <w:r>
        <w:t>, 2020.</w:t>
      </w:r>
    </w:p>
    <w:p w14:paraId="752ACF73" w14:textId="77777777" w:rsidR="00BB117A" w:rsidRDefault="00D6280B">
      <w:pPr>
        <w:pStyle w:val="BodyText"/>
      </w:pPr>
      <w:r>
        <w:t xml:space="preserve">[25] S. A. Joy, M. M. Hoque, and K. M. Rahman, “BanglaTalk: Towards Real-Time Speech Assistance for Bengali Regional Dialects,” in </w:t>
      </w:r>
      <w:r>
        <w:rPr>
          <w:i/>
          <w:iCs/>
        </w:rPr>
        <w:t>Proceedings of the 2023 International Conference on Electrical and Computer Engineering (ICECE 2023)</w:t>
      </w:r>
      <w:r>
        <w:t>, Dhaka, Bangladesh, pp. 45–50, 2023.</w:t>
      </w:r>
    </w:p>
    <w:p w14:paraId="066574D4" w14:textId="77777777" w:rsidR="00BB117A" w:rsidRDefault="00D6280B">
      <w:pPr>
        <w:pStyle w:val="BodyText"/>
      </w:pPr>
      <w:r>
        <w:t xml:space="preserve">[26] M. F. Hossain, N. Jahan, and M. R. Selim, “Gradient Masters at BLP-2025 Task 1: Advancing Low-Resource NLP for Bengali Dialect Tasks,” in </w:t>
      </w:r>
      <w:r>
        <w:rPr>
          <w:i/>
          <w:iCs/>
        </w:rPr>
        <w:t>Proceedings of the 2025 Workshop on Bengali Language Processing (BLP 2025)</w:t>
      </w:r>
      <w:r>
        <w:t>, pp. 88–95, 2025.</w:t>
      </w:r>
      <w:bookmarkEnd w:id="28"/>
    </w:p>
    <w:sectPr w:rsidR="00BB117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C4B73" w14:textId="77777777" w:rsidR="00FF39EC" w:rsidRDefault="00FF39EC">
      <w:pPr>
        <w:spacing w:after="0" w:line="240" w:lineRule="auto"/>
      </w:pPr>
      <w:r>
        <w:separator/>
      </w:r>
    </w:p>
  </w:endnote>
  <w:endnote w:type="continuationSeparator" w:id="0">
    <w:p w14:paraId="7B13CF56" w14:textId="77777777" w:rsidR="00FF39EC" w:rsidRDefault="00FF3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CEDD5" w14:textId="77777777" w:rsidR="00FF39EC" w:rsidRDefault="00FF39EC">
      <w:r>
        <w:separator/>
      </w:r>
    </w:p>
  </w:footnote>
  <w:footnote w:type="continuationSeparator" w:id="0">
    <w:p w14:paraId="02C7A206" w14:textId="77777777" w:rsidR="00FF39EC" w:rsidRDefault="00FF3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962225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3F85"/>
    <w:rsid w:val="00280766"/>
    <w:rsid w:val="004E29B3"/>
    <w:rsid w:val="00590D07"/>
    <w:rsid w:val="00784D58"/>
    <w:rsid w:val="008D6863"/>
    <w:rsid w:val="009C387D"/>
    <w:rsid w:val="00B86B75"/>
    <w:rsid w:val="00BB117A"/>
    <w:rsid w:val="00BC48D5"/>
    <w:rsid w:val="00C36279"/>
    <w:rsid w:val="00D6280B"/>
    <w:rsid w:val="00E315A3"/>
    <w:rsid w:val="00FF39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1EAB"/>
  <w15:docId w15:val="{BF013D61-36EF-41F7-8243-B390D47F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line="360" w:lineRule="auto"/>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5039</Words>
  <Characters>28723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Tayyab Ameri Turan</cp:lastModifiedBy>
  <cp:revision>3</cp:revision>
  <dcterms:created xsi:type="dcterms:W3CDTF">2026-10-02T13:32:00Z</dcterms:created>
  <dcterms:modified xsi:type="dcterms:W3CDTF">2026-10-02T18:31:00Z</dcterms:modified>
</cp:coreProperties>
</file>