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036C19">
        <w:rPr>
          <w:sz w:val="24"/>
          <w:szCs w:val="24"/>
        </w:rPr>
        <w:t>8</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036C19">
        <w:rPr>
          <w:i/>
          <w:noProof/>
          <w:sz w:val="24"/>
          <w:szCs w:val="24"/>
        </w:rPr>
        <w:t>6/21/2011 4:32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F412A8">
          <w:rPr>
            <w:webHidden/>
          </w:rPr>
          <w:t>5</w:t>
        </w:r>
        <w:r w:rsidR="00B379B1">
          <w:rPr>
            <w:webHidden/>
          </w:rPr>
          <w:fldChar w:fldCharType="end"/>
        </w:r>
      </w:hyperlink>
    </w:p>
    <w:p w:rsidR="00B379B1" w:rsidRDefault="00036C19">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036C19">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036C19">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F412A8">
          <w:rPr>
            <w:webHidden/>
          </w:rPr>
          <w:t>6</w:t>
        </w:r>
        <w:r w:rsidR="00B379B1">
          <w:rPr>
            <w:webHidden/>
          </w:rPr>
          <w:fldChar w:fldCharType="end"/>
        </w:r>
      </w:hyperlink>
    </w:p>
    <w:p w:rsidR="00B379B1" w:rsidRDefault="00036C19">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F412A8">
          <w:rPr>
            <w:noProof/>
            <w:webHidden/>
          </w:rPr>
          <w:t>6</w:t>
        </w:r>
        <w:r w:rsidR="00B379B1">
          <w:rPr>
            <w:noProof/>
            <w:webHidden/>
          </w:rPr>
          <w:fldChar w:fldCharType="end"/>
        </w:r>
      </w:hyperlink>
    </w:p>
    <w:p w:rsidR="00B379B1" w:rsidRDefault="00036C19">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F412A8">
          <w:rPr>
            <w:noProof/>
            <w:webHidden/>
          </w:rPr>
          <w:t>9</w:t>
        </w:r>
        <w:r w:rsidR="00B379B1">
          <w:rPr>
            <w:noProof/>
            <w:webHidden/>
          </w:rPr>
          <w:fldChar w:fldCharType="end"/>
        </w:r>
      </w:hyperlink>
    </w:p>
    <w:p w:rsidR="00B379B1" w:rsidRDefault="00036C19">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F412A8">
          <w:rPr>
            <w:noProof/>
            <w:webHidden/>
          </w:rPr>
          <w:t>11</w:t>
        </w:r>
        <w:r w:rsidR="00B379B1">
          <w:rPr>
            <w:noProof/>
            <w:webHidden/>
          </w:rPr>
          <w:fldChar w:fldCharType="end"/>
        </w:r>
      </w:hyperlink>
    </w:p>
    <w:p w:rsidR="00B379B1" w:rsidRDefault="00036C19">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F412A8">
          <w:rPr>
            <w:noProof/>
            <w:webHidden/>
          </w:rPr>
          <w:t>12</w:t>
        </w:r>
        <w:r w:rsidR="00B379B1">
          <w:rPr>
            <w:noProof/>
            <w:webHidden/>
          </w:rPr>
          <w:fldChar w:fldCharType="end"/>
        </w:r>
      </w:hyperlink>
    </w:p>
    <w:p w:rsidR="00B379B1" w:rsidRDefault="00036C19">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F412A8">
          <w:rPr>
            <w:noProof/>
            <w:webHidden/>
          </w:rPr>
          <w:t>14</w:t>
        </w:r>
        <w:r w:rsidR="00B379B1">
          <w:rPr>
            <w:noProof/>
            <w:webHidden/>
          </w:rPr>
          <w:fldChar w:fldCharType="end"/>
        </w:r>
      </w:hyperlink>
    </w:p>
    <w:p w:rsidR="00B379B1" w:rsidRDefault="00036C19">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F412A8">
          <w:rPr>
            <w:noProof/>
            <w:webHidden/>
          </w:rPr>
          <w:t>18</w:t>
        </w:r>
        <w:r w:rsidR="00B379B1">
          <w:rPr>
            <w:noProof/>
            <w:webHidden/>
          </w:rPr>
          <w:fldChar w:fldCharType="end"/>
        </w:r>
      </w:hyperlink>
    </w:p>
    <w:p w:rsidR="00B379B1" w:rsidRDefault="00036C19">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F412A8">
          <w:rPr>
            <w:noProof/>
            <w:webHidden/>
          </w:rPr>
          <w:t>22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F412A8">
          <w:rPr>
            <w:noProof/>
            <w:webHidden/>
          </w:rPr>
          <w:t>23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F412A8">
          <w:rPr>
            <w:noProof/>
            <w:webHidden/>
          </w:rPr>
          <w:t>24</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F412A8">
          <w:rPr>
            <w:noProof/>
            <w:webHidden/>
          </w:rPr>
          <w:t>25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F412A8">
          <w:rPr>
            <w:noProof/>
            <w:webHidden/>
          </w:rPr>
          <w:t>26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F412A8">
          <w:rPr>
            <w:noProof/>
            <w:webHidden/>
          </w:rPr>
          <w:t>29</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F412A8">
          <w:rPr>
            <w:noProof/>
            <w:webHidden/>
          </w:rPr>
          <w:t>31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036C19">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F412A8">
          <w:rPr>
            <w:noProof/>
            <w:webHidden/>
          </w:rPr>
          <w:t>63</w:t>
        </w:r>
        <w:r w:rsidR="00B379B1">
          <w:rPr>
            <w:noProof/>
            <w:webHidden/>
          </w:rPr>
          <w:fldChar w:fldCharType="end"/>
        </w:r>
      </w:hyperlink>
    </w:p>
    <w:p w:rsidR="00B379B1" w:rsidRDefault="00036C19">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F412A8">
          <w:rPr>
            <w:noProof/>
            <w:webHidden/>
          </w:rPr>
          <w:t>65</w:t>
        </w:r>
        <w:r w:rsidR="00B379B1">
          <w:rPr>
            <w:noProof/>
            <w:webHidden/>
          </w:rPr>
          <w:fldChar w:fldCharType="end"/>
        </w:r>
      </w:hyperlink>
    </w:p>
    <w:p w:rsidR="00B379B1" w:rsidRDefault="00036C19">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036C19">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036C19">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036C19">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F412A8">
          <w:rPr>
            <w:noProof/>
            <w:webHidden/>
          </w:rPr>
          <w:t>69</w:t>
        </w:r>
        <w:r w:rsidR="00B379B1">
          <w:rPr>
            <w:noProof/>
            <w:webHidden/>
          </w:rPr>
          <w:fldChar w:fldCharType="end"/>
        </w:r>
      </w:hyperlink>
    </w:p>
    <w:p w:rsidR="00B379B1" w:rsidRDefault="00036C19">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F412A8">
          <w:rPr>
            <w:webHidden/>
          </w:rPr>
          <w:t>70</w:t>
        </w:r>
        <w:r w:rsidR="00B379B1">
          <w:rPr>
            <w:webHidden/>
          </w:rPr>
          <w:fldChar w:fldCharType="end"/>
        </w:r>
      </w:hyperlink>
    </w:p>
    <w:p w:rsidR="00B379B1" w:rsidRDefault="00036C19">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F412A8">
          <w:rPr>
            <w:webHidden/>
          </w:rPr>
          <w:t>72</w:t>
        </w:r>
        <w:r w:rsidR="00B379B1">
          <w:rPr>
            <w:webHidden/>
          </w:rPr>
          <w:fldChar w:fldCharType="end"/>
        </w:r>
      </w:hyperlink>
    </w:p>
    <w:p w:rsidR="00B379B1" w:rsidRDefault="00036C19">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F412A8">
          <w:rPr>
            <w:webHidden/>
          </w:rPr>
          <w:t>73</w:t>
        </w:r>
        <w:r w:rsidR="00B379B1">
          <w:rPr>
            <w:webHidden/>
          </w:rPr>
          <w:fldChar w:fldCharType="end"/>
        </w:r>
      </w:hyperlink>
    </w:p>
    <w:p w:rsidR="00B379B1" w:rsidRDefault="00036C19">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F412A8">
          <w:rPr>
            <w:webHidden/>
          </w:rPr>
          <w:t>74</w:t>
        </w:r>
        <w:r w:rsidR="00B379B1">
          <w:rPr>
            <w:webHidden/>
          </w:rPr>
          <w:fldChar w:fldCharType="end"/>
        </w:r>
      </w:hyperlink>
    </w:p>
    <w:p w:rsidR="00B379B1" w:rsidRDefault="00036C19">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F412A8">
          <w:rPr>
            <w:noProof/>
            <w:webHidden/>
          </w:rPr>
          <w:t>76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F412A8">
          <w:rPr>
            <w:noProof/>
            <w:webHidden/>
          </w:rPr>
          <w:t>81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F412A8">
          <w:rPr>
            <w:noProof/>
            <w:webHidden/>
          </w:rPr>
          <w:t>85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F412A8">
          <w:rPr>
            <w:noProof/>
            <w:webHidden/>
          </w:rPr>
          <w:t>86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F412A8">
          <w:rPr>
            <w:noProof/>
            <w:webHidden/>
          </w:rPr>
          <w:t>88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F412A8">
          <w:rPr>
            <w:noProof/>
            <w:webHidden/>
          </w:rPr>
          <w:t>91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F412A8">
          <w:rPr>
            <w:noProof/>
            <w:webHidden/>
          </w:rPr>
          <w:t>96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F412A8">
          <w:rPr>
            <w:noProof/>
            <w:webHidden/>
          </w:rPr>
          <w:t>97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F412A8">
          <w:rPr>
            <w:noProof/>
            <w:webHidden/>
          </w:rPr>
          <w:t>99</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F412A8">
          <w:rPr>
            <w:noProof/>
            <w:webHidden/>
          </w:rPr>
          <w:t>101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F412A8">
          <w:rPr>
            <w:noProof/>
            <w:webHidden/>
          </w:rPr>
          <w:t>102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F412A8">
          <w:rPr>
            <w:noProof/>
            <w:webHidden/>
          </w:rPr>
          <w:t>103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F412A8">
          <w:rPr>
            <w:noProof/>
            <w:webHidden/>
          </w:rPr>
          <w:t>105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F412A8">
          <w:rPr>
            <w:noProof/>
            <w:webHidden/>
          </w:rPr>
          <w:t>106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F412A8">
          <w:rPr>
            <w:noProof/>
            <w:webHidden/>
          </w:rPr>
          <w:t>107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F412A8">
          <w:rPr>
            <w:noProof/>
            <w:webHidden/>
          </w:rPr>
          <w:t>109</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F412A8">
          <w:rPr>
            <w:noProof/>
            <w:webHidden/>
          </w:rPr>
          <w:t>112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F412A8">
          <w:rPr>
            <w:noProof/>
            <w:webHidden/>
          </w:rPr>
          <w:t>113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F412A8">
          <w:rPr>
            <w:noProof/>
            <w:webHidden/>
          </w:rPr>
          <w:t>115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F412A8">
          <w:rPr>
            <w:noProof/>
            <w:webHidden/>
          </w:rPr>
          <w:t>117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F412A8">
          <w:rPr>
            <w:noProof/>
            <w:webHidden/>
          </w:rPr>
          <w:t>120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F412A8">
          <w:rPr>
            <w:noProof/>
            <w:webHidden/>
          </w:rPr>
          <w:t>123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F412A8">
          <w:rPr>
            <w:noProof/>
            <w:webHidden/>
          </w:rPr>
          <w:t>125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F412A8">
          <w:rPr>
            <w:noProof/>
            <w:webHidden/>
          </w:rPr>
          <w:t>127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F412A8">
          <w:rPr>
            <w:noProof/>
            <w:webHidden/>
          </w:rPr>
          <w:t>128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F412A8">
          <w:rPr>
            <w:noProof/>
            <w:webHidden/>
          </w:rPr>
          <w:t>129</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F412A8">
          <w:rPr>
            <w:noProof/>
            <w:webHidden/>
          </w:rPr>
          <w:t>130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F412A8">
          <w:rPr>
            <w:noProof/>
            <w:webHidden/>
          </w:rPr>
          <w:t>131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F412A8">
          <w:rPr>
            <w:noProof/>
            <w:webHidden/>
          </w:rPr>
          <w:t>132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F412A8">
          <w:rPr>
            <w:noProof/>
            <w:webHidden/>
          </w:rPr>
          <w:t>133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F412A8">
          <w:rPr>
            <w:noProof/>
            <w:webHidden/>
          </w:rPr>
          <w:t>134</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F412A8">
          <w:rPr>
            <w:noProof/>
            <w:webHidden/>
          </w:rPr>
          <w:t>135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F412A8">
          <w:rPr>
            <w:noProof/>
            <w:webHidden/>
          </w:rPr>
          <w:t>137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F412A8">
          <w:rPr>
            <w:noProof/>
            <w:webHidden/>
          </w:rPr>
          <w:t>138</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F412A8">
          <w:rPr>
            <w:noProof/>
            <w:webHidden/>
          </w:rPr>
          <w:t>139</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F412A8">
          <w:rPr>
            <w:noProof/>
            <w:webHidden/>
          </w:rPr>
          <w:t>140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F412A8">
          <w:rPr>
            <w:noProof/>
            <w:webHidden/>
          </w:rPr>
          <w:t>141</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F412A8">
          <w:rPr>
            <w:noProof/>
            <w:webHidden/>
          </w:rPr>
          <w:t>142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F412A8">
          <w:rPr>
            <w:noProof/>
            <w:webHidden/>
          </w:rPr>
          <w:t>143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F412A8">
          <w:rPr>
            <w:noProof/>
            <w:webHidden/>
          </w:rPr>
          <w:t>144</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F412A8">
          <w:rPr>
            <w:noProof/>
            <w:webHidden/>
          </w:rPr>
          <w:t>145</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F412A8">
          <w:rPr>
            <w:noProof/>
            <w:webHidden/>
          </w:rPr>
          <w:t>146</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F412A8">
          <w:rPr>
            <w:noProof/>
            <w:webHidden/>
          </w:rPr>
          <w:t>147</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F412A8">
          <w:rPr>
            <w:noProof/>
            <w:webHidden/>
          </w:rPr>
          <w:t>149</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F412A8">
          <w:rPr>
            <w:noProof/>
            <w:webHidden/>
          </w:rPr>
          <w:t>150</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F412A8">
          <w:rPr>
            <w:noProof/>
            <w:webHidden/>
          </w:rPr>
          <w:t>152</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F412A8">
          <w:rPr>
            <w:noProof/>
            <w:webHidden/>
          </w:rPr>
          <w:t>153</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F412A8">
          <w:rPr>
            <w:noProof/>
            <w:webHidden/>
          </w:rPr>
          <w:t>154</w:t>
        </w:r>
        <w:r w:rsidR="00B379B1">
          <w:rPr>
            <w:noProof/>
            <w:webHidden/>
          </w:rPr>
          <w:fldChar w:fldCharType="end"/>
        </w:r>
      </w:hyperlink>
    </w:p>
    <w:p w:rsidR="00B379B1" w:rsidRDefault="00036C19">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F412A8">
          <w:rPr>
            <w:noProof/>
            <w:webHidden/>
          </w:rPr>
          <w:t>159</w:t>
        </w:r>
        <w:r w:rsidR="00B379B1">
          <w:rPr>
            <w:noProof/>
            <w:webHidden/>
          </w:rPr>
          <w:fldChar w:fldCharType="end"/>
        </w:r>
      </w:hyperlink>
    </w:p>
    <w:p w:rsidR="00B379B1" w:rsidRDefault="00036C19">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F412A8">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0" w:name="_Toc228700221"/>
      <w:bookmarkStart w:id="1" w:name="_Toc296003346"/>
      <w:r w:rsidRPr="00C25BA5">
        <w:lastRenderedPageBreak/>
        <w:t>Introduction</w:t>
      </w:r>
      <w:bookmarkEnd w:id="0"/>
      <w:bookmarkEnd w:id="1"/>
    </w:p>
    <w:p w:rsidR="00D36E13" w:rsidRPr="00C25BA5" w:rsidRDefault="00D36E13" w:rsidP="00D36E13">
      <w:pPr>
        <w:pStyle w:val="Heading2"/>
      </w:pPr>
      <w:bookmarkStart w:id="2" w:name="_Toc258312961"/>
      <w:bookmarkStart w:id="3" w:name="_Toc296003347"/>
      <w:r w:rsidRPr="00C25BA5">
        <w:t>Project Description</w:t>
      </w:r>
      <w:bookmarkEnd w:id="2"/>
      <w:bookmarkEnd w:id="3"/>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4" w:name="_Toc296003348"/>
      <w:r>
        <w:t>Description and Scope of this Document</w:t>
      </w:r>
      <w:bookmarkEnd w:id="4"/>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5"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6" w:name="_Toc296003349"/>
      <w:r>
        <w:lastRenderedPageBreak/>
        <w:t>Design</w:t>
      </w:r>
      <w:bookmarkEnd w:id="6"/>
    </w:p>
    <w:p w:rsidR="00375B38" w:rsidRDefault="00C43FEB" w:rsidP="006F0225">
      <w:pPr>
        <w:pStyle w:val="Heading2"/>
      </w:pPr>
      <w:bookmarkStart w:id="7" w:name="_Toc296003350"/>
      <w:r>
        <w:t>Products</w:t>
      </w:r>
      <w:r w:rsidR="006F0225">
        <w:t xml:space="preserve"> Service</w:t>
      </w:r>
      <w:bookmarkEnd w:id="7"/>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6C34802B" wp14:editId="3525D188">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8"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8"/>
    </w:p>
    <w:p w:rsidR="00CC1F46" w:rsidRDefault="00CC1F46">
      <w:pPr>
        <w:spacing w:after="200" w:line="276" w:lineRule="auto"/>
      </w:pPr>
      <w:r>
        <w:br w:type="page"/>
      </w:r>
    </w:p>
    <w:p w:rsidR="006F0225" w:rsidRDefault="006F0225" w:rsidP="006F0225"/>
    <w:p w:rsidR="006F0225" w:rsidRDefault="006F0225" w:rsidP="006F0225">
      <w:pPr>
        <w:pStyle w:val="Heading2"/>
      </w:pPr>
      <w:bookmarkStart w:id="9" w:name="_Toc296003351"/>
      <w:r>
        <w:t>Stores Service</w:t>
      </w:r>
      <w:bookmarkEnd w:id="9"/>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06E41511" wp14:editId="7708EBA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0"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0"/>
    </w:p>
    <w:p w:rsidR="00CC1F46" w:rsidRDefault="00CC1F46">
      <w:pPr>
        <w:spacing w:after="200" w:line="276" w:lineRule="auto"/>
      </w:pPr>
      <w:r>
        <w:br w:type="page"/>
      </w:r>
    </w:p>
    <w:p w:rsidR="006F0225" w:rsidRDefault="006F0225" w:rsidP="00375B38"/>
    <w:p w:rsidR="006F0225" w:rsidRDefault="006F0225" w:rsidP="006F0225">
      <w:pPr>
        <w:pStyle w:val="Heading2"/>
      </w:pPr>
      <w:bookmarkStart w:id="11" w:name="_Toc296003352"/>
      <w:r>
        <w:t>Top20 Service</w:t>
      </w:r>
      <w:bookmarkEnd w:id="11"/>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2C45C555" wp14:editId="0BB00900">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2"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2"/>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3" w:name="_Toc296003353"/>
      <w:r>
        <w:lastRenderedPageBreak/>
        <w:t>Inventory Service</w:t>
      </w:r>
      <w:bookmarkEnd w:id="13"/>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w:t>
      </w:r>
      <w:bookmarkStart w:id="14" w:name="_GoBack"/>
      <w:r>
        <w:t xml:space="preserve">in the Architectural Pattern’s description of the “Item Changed Event Sequence” (see </w:t>
      </w:r>
      <w:r w:rsidR="00F03166" w:rsidRPr="00F03166">
        <w:rPr>
          <w:i/>
        </w:rPr>
        <w:t xml:space="preserve">Architecture Desig, Part I – </w:t>
      </w:r>
      <w:bookmarkEnd w:id="14"/>
      <w:r w:rsidR="00F03166" w:rsidRPr="00F03166">
        <w:rPr>
          <w:i/>
        </w:rPr>
        <w:t>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036C19" w:rsidRDefault="00036C19" w:rsidP="00373157"/>
    <w:p w:rsidR="00036C19" w:rsidRPr="00036C19" w:rsidRDefault="00036C19" w:rsidP="00373157">
      <w:pPr>
        <w:rPr>
          <w:i/>
        </w:rPr>
      </w:pPr>
      <w:r w:rsidRPr="00036C19">
        <w:rPr>
          <w:i/>
        </w:rPr>
        <w:t>The Inventory Gateway will consolidate inventory changes and send Apigee a complete refresh of the Inventory.</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7B560489" wp14:editId="2DF8FD2C">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6003354"/>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44154F22" wp14:editId="0089B681">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 xml:space="preserve">Given the ProductIds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lastRenderedPageBreak/>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6003355"/>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3E2B1C99" wp14:editId="16F4FA18">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6003356"/>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6003357"/>
      <w:r>
        <w:t xml:space="preserve">Products </w:t>
      </w:r>
      <w:r w:rsidR="00371B85">
        <w:t>Gateway</w:t>
      </w:r>
      <w:bookmarkEnd w:id="21"/>
      <w:bookmarkEnd w:id="22"/>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445772" w:rsidRPr="003E148B" w:rsidRDefault="00614679" w:rsidP="00A54DFF">
      <w:pPr>
        <w:pStyle w:val="ListParagraph"/>
        <w:numPr>
          <w:ilvl w:val="0"/>
          <w:numId w:val="6"/>
        </w:numPr>
        <w:ind w:left="1440"/>
      </w:pPr>
      <w:r>
        <w:t>/Products</w:t>
      </w:r>
      <w:r w:rsidR="00445772"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60252B" w:rsidP="0060252B">
      <w:pPr>
        <w:pStyle w:val="ListParagraph"/>
        <w:numPr>
          <w:ilvl w:val="0"/>
          <w:numId w:val="6"/>
        </w:numPr>
        <w:ind w:left="1440"/>
      </w:pPr>
      <w:r>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60252B" w:rsidP="0060252B">
      <w:pPr>
        <w:pStyle w:val="ListParagraph"/>
        <w:numPr>
          <w:ilvl w:val="0"/>
          <w:numId w:val="6"/>
        </w:numPr>
        <w:ind w:left="1440"/>
      </w:pPr>
      <w:r>
        <w:t xml:space="preserve">/Products/Movies  </w:t>
      </w:r>
      <w:r w:rsidR="007277B1">
        <w:t>(PC2)</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60252B" w:rsidP="0060252B">
      <w:pPr>
        <w:pStyle w:val="ListParagraph"/>
        <w:numPr>
          <w:ilvl w:val="0"/>
          <w:numId w:val="6"/>
        </w:numPr>
        <w:ind w:left="1440"/>
      </w:pPr>
      <w:r>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60252B" w:rsidP="0060252B">
      <w:pPr>
        <w:pStyle w:val="ListParagraph"/>
        <w:numPr>
          <w:ilvl w:val="0"/>
          <w:numId w:val="6"/>
        </w:numPr>
        <w:ind w:left="1440"/>
      </w:pPr>
      <w:r>
        <w:t xml:space="preserve">/Products/Games </w:t>
      </w:r>
      <w:r w:rsidR="007277B1">
        <w:t>(PC4)</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60252B" w:rsidP="0060252B">
      <w:pPr>
        <w:pStyle w:val="ListParagraph"/>
        <w:numPr>
          <w:ilvl w:val="0"/>
          <w:numId w:val="6"/>
        </w:numPr>
        <w:ind w:left="1440"/>
      </w:pPr>
      <w:r>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60252B" w:rsidP="0060252B">
      <w:pPr>
        <w:pStyle w:val="ListParagraph"/>
        <w:numPr>
          <w:ilvl w:val="0"/>
          <w:numId w:val="6"/>
        </w:numPr>
        <w:ind w:left="1440"/>
      </w:pPr>
      <w:r>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60252B" w:rsidP="0060252B">
      <w:pPr>
        <w:pStyle w:val="ListParagraph"/>
        <w:numPr>
          <w:ilvl w:val="0"/>
          <w:numId w:val="6"/>
        </w:numPr>
        <w:ind w:left="1440"/>
      </w:pPr>
      <w:r>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60252B" w:rsidP="0060252B">
      <w:pPr>
        <w:pStyle w:val="ListParagraph"/>
        <w:numPr>
          <w:ilvl w:val="0"/>
          <w:numId w:val="6"/>
        </w:numPr>
        <w:ind w:left="1440"/>
      </w:pPr>
      <w:r>
        <w:t>/Products/Movies/Top20?period=</w:t>
      </w:r>
      <w:r w:rsidR="000124BB">
        <w:t>p</w:t>
      </w:r>
      <w:r>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60252B" w:rsidP="0060252B">
      <w:pPr>
        <w:pStyle w:val="ListParagraph"/>
        <w:numPr>
          <w:ilvl w:val="0"/>
          <w:numId w:val="6"/>
        </w:numPr>
        <w:ind w:left="1440"/>
      </w:pPr>
      <w:r>
        <w:t>/Products?sortField=</w:t>
      </w:r>
      <w:r w:rsidR="000124BB">
        <w:t>fieldName</w:t>
      </w:r>
      <w:r>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F30C7F" w:rsidRDefault="00F30C7F" w:rsidP="00F30C7F">
      <w:pPr>
        <w:pStyle w:val="ListParagraph"/>
        <w:numPr>
          <w:ilvl w:val="0"/>
          <w:numId w:val="6"/>
        </w:numPr>
        <w:ind w:left="1440"/>
      </w:pPr>
      <w:r>
        <w:t>/Products/Movies/{productId}/Similar</w:t>
      </w:r>
    </w:p>
    <w:p w:rsidR="00F30C7F" w:rsidRDefault="00F30C7F" w:rsidP="00F30C7F">
      <w:pPr>
        <w:pStyle w:val="ListParagraph"/>
        <w:numPr>
          <w:ilvl w:val="1"/>
          <w:numId w:val="6"/>
        </w:numPr>
        <w:ind w:left="2160"/>
      </w:pPr>
      <w:r>
        <w:t>Input: productId</w:t>
      </w:r>
    </w:p>
    <w:p w:rsidR="00F30C7F" w:rsidRDefault="00F30C7F" w:rsidP="00F30C7F">
      <w:pPr>
        <w:pStyle w:val="ListParagraph"/>
        <w:numPr>
          <w:ilvl w:val="1"/>
          <w:numId w:val="6"/>
        </w:numPr>
        <w:ind w:left="2160"/>
      </w:pPr>
      <w:r>
        <w:t>Output: RecommendedProductIDList,</w:t>
      </w:r>
      <w:r w:rsidRPr="00D24F1A">
        <w:t xml:space="preserve"> </w:t>
      </w:r>
      <w:r>
        <w:t xml:space="preserve">see schema </w:t>
      </w:r>
      <w:r>
        <w:fldChar w:fldCharType="begin"/>
      </w:r>
      <w:r>
        <w:instrText xml:space="preserve"> REF _Ref288056750 \r \h </w:instrText>
      </w:r>
      <w:r>
        <w:fldChar w:fldCharType="separate"/>
      </w:r>
      <w:r>
        <w:t>6.1.8</w:t>
      </w:r>
      <w:r>
        <w:fldChar w:fldCharType="end"/>
      </w:r>
      <w:r>
        <w:t xml:space="preserve"> in Appendix A</w:t>
      </w:r>
    </w:p>
    <w:p w:rsidR="00F30C7F" w:rsidRDefault="00F30C7F" w:rsidP="00F30C7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7277B1" w:rsidRDefault="007277B1" w:rsidP="007277B1"/>
    <w:p w:rsidR="007277B1" w:rsidRDefault="007277B1" w:rsidP="007277B1"/>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6003358"/>
      <w:r>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w:t>
      </w:r>
      <w:r w:rsidR="00016230">
        <w:lastRenderedPageBreak/>
        <w:t xml:space="preserve">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F30C7F" w:rsidP="00A54DFF">
      <w:pPr>
        <w:pStyle w:val="ListParagraph"/>
        <w:numPr>
          <w:ilvl w:val="0"/>
          <w:numId w:val="6"/>
        </w:numPr>
        <w:ind w:left="1440"/>
      </w:pPr>
      <w:r>
        <w:t>/Stores</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F30C7F" w:rsidP="00A54DFF">
      <w:pPr>
        <w:pStyle w:val="ListParagraph"/>
        <w:numPr>
          <w:ilvl w:val="0"/>
          <w:numId w:val="6"/>
        </w:numPr>
        <w:ind w:left="1440"/>
      </w:pPr>
      <w:r>
        <w:t>Stores/</w:t>
      </w:r>
      <w:r w:rsidR="005A63D3">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6003359"/>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F30C7F" w:rsidP="00A54DFF">
      <w:pPr>
        <w:pStyle w:val="ListParagraph"/>
        <w:numPr>
          <w:ilvl w:val="0"/>
          <w:numId w:val="6"/>
        </w:numPr>
        <w:ind w:left="1440"/>
      </w:pPr>
      <w:r>
        <w:t>/Top20</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lastRenderedPageBreak/>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6003360"/>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4C0C7D" w:rsidP="00A54DFF">
      <w:pPr>
        <w:pStyle w:val="ListParagraph"/>
        <w:numPr>
          <w:ilvl w:val="0"/>
          <w:numId w:val="6"/>
        </w:numPr>
        <w:ind w:left="1440"/>
      </w:pPr>
      <w:r>
        <w:t>/</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0F1C81" w:rsidP="00A54DFF">
      <w:pPr>
        <w:pStyle w:val="ListParagraph"/>
        <w:numPr>
          <w:ilvl w:val="0"/>
          <w:numId w:val="6"/>
        </w:numPr>
        <w:ind w:left="1440"/>
      </w:pPr>
      <w:r>
        <w:t xml:space="preserve">/Inventory </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Pr="00036C19" w:rsidRDefault="000F1C81" w:rsidP="00A54DFF">
      <w:pPr>
        <w:pStyle w:val="ListParagraph"/>
        <w:numPr>
          <w:ilvl w:val="0"/>
          <w:numId w:val="6"/>
        </w:numPr>
        <w:ind w:left="1440"/>
        <w:rPr>
          <w:color w:val="808080" w:themeColor="background1" w:themeShade="80"/>
        </w:rPr>
      </w:pPr>
      <w:r w:rsidRPr="00036C19">
        <w:rPr>
          <w:color w:val="808080" w:themeColor="background1" w:themeShade="80"/>
        </w:rPr>
        <w:t xml:space="preserve">/Inventory </w:t>
      </w:r>
      <w:r w:rsidR="003340A8" w:rsidRPr="00036C19">
        <w:rPr>
          <w:color w:val="808080" w:themeColor="background1" w:themeShade="80"/>
        </w:rPr>
        <w:t>/InventoryChanged</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Input: </w:t>
      </w:r>
      <w:r w:rsidRPr="00036C19">
        <w:rPr>
          <w:b/>
          <w:color w:val="808080" w:themeColor="background1" w:themeShade="80"/>
        </w:rPr>
        <w:t>InventoryChange</w:t>
      </w:r>
      <w:r w:rsidR="005C54C1" w:rsidRPr="00036C19">
        <w:rPr>
          <w:b/>
          <w:color w:val="808080" w:themeColor="background1" w:themeShade="80"/>
        </w:rPr>
        <w:t>dEvent</w:t>
      </w:r>
      <w:r w:rsidRPr="00036C19">
        <w:rPr>
          <w:b/>
          <w:color w:val="808080" w:themeColor="background1" w:themeShade="80"/>
        </w:rPr>
        <w:t>Message</w:t>
      </w:r>
      <w:r w:rsidRPr="00036C19">
        <w:rPr>
          <w:color w:val="808080" w:themeColor="background1" w:themeShade="80"/>
        </w:rPr>
        <w:t xml:space="preserve"> (see schema </w:t>
      </w:r>
      <w:r w:rsidR="0025693F" w:rsidRPr="00036C19">
        <w:rPr>
          <w:color w:val="808080" w:themeColor="background1" w:themeShade="80"/>
        </w:rPr>
        <w:fldChar w:fldCharType="begin"/>
      </w:r>
      <w:r w:rsidR="0025693F" w:rsidRPr="00036C19">
        <w:rPr>
          <w:color w:val="808080" w:themeColor="background1" w:themeShade="80"/>
        </w:rPr>
        <w:instrText xml:space="preserve"> REF _Ref283745718 \r \h </w:instrText>
      </w:r>
      <w:r w:rsidR="0025693F" w:rsidRPr="00036C19">
        <w:rPr>
          <w:color w:val="808080" w:themeColor="background1" w:themeShade="80"/>
        </w:rPr>
      </w:r>
      <w:r w:rsidR="0025693F" w:rsidRPr="00036C19">
        <w:rPr>
          <w:color w:val="808080" w:themeColor="background1" w:themeShade="80"/>
        </w:rPr>
        <w:fldChar w:fldCharType="separate"/>
      </w:r>
      <w:r w:rsidR="005E5C3D" w:rsidRPr="00036C19">
        <w:rPr>
          <w:color w:val="808080" w:themeColor="background1" w:themeShade="80"/>
        </w:rPr>
        <w:t>6.1.42</w:t>
      </w:r>
      <w:r w:rsidR="0025693F" w:rsidRPr="00036C19">
        <w:rPr>
          <w:color w:val="808080" w:themeColor="background1" w:themeShade="80"/>
        </w:rPr>
        <w:fldChar w:fldCharType="end"/>
      </w:r>
      <w:r w:rsidRPr="00036C19">
        <w:rPr>
          <w:color w:val="808080" w:themeColor="background1" w:themeShade="80"/>
        </w:rPr>
        <w:t>)</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Output: None</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Description: Invoked by the </w:t>
      </w:r>
      <w:r w:rsidR="005C54C1" w:rsidRPr="00036C19">
        <w:rPr>
          <w:b/>
          <w:color w:val="808080" w:themeColor="background1" w:themeShade="80"/>
        </w:rPr>
        <w:t>Inventory</w:t>
      </w:r>
      <w:r w:rsidRPr="00036C19">
        <w:rPr>
          <w:b/>
          <w:color w:val="808080" w:themeColor="background1" w:themeShade="80"/>
        </w:rPr>
        <w:t>ChangedEventHandler</w:t>
      </w:r>
      <w:r w:rsidRPr="00036C19">
        <w:rPr>
          <w:color w:val="808080" w:themeColor="background1" w:themeShade="80"/>
        </w:rPr>
        <w:t xml:space="preserve">, this operation will </w:t>
      </w:r>
      <w:r w:rsidR="00EF087C" w:rsidRPr="00036C19">
        <w:rPr>
          <w:color w:val="808080" w:themeColor="background1" w:themeShade="80"/>
        </w:rPr>
        <w:t xml:space="preserve">forward the </w:t>
      </w:r>
      <w:r w:rsidRPr="00036C19">
        <w:rPr>
          <w:color w:val="808080" w:themeColor="background1" w:themeShade="80"/>
        </w:rPr>
        <w:t xml:space="preserve">update </w:t>
      </w:r>
      <w:r w:rsidR="00EF087C" w:rsidRPr="00036C19">
        <w:rPr>
          <w:color w:val="808080" w:themeColor="background1" w:themeShade="80"/>
        </w:rPr>
        <w:t xml:space="preserve">to the Apigee layer </w:t>
      </w:r>
      <w:r w:rsidR="005C54C1" w:rsidRPr="00036C19">
        <w:rPr>
          <w:b/>
          <w:color w:val="808080" w:themeColor="background1" w:themeShade="80"/>
        </w:rPr>
        <w:t>Inventory</w:t>
      </w:r>
      <w:r w:rsidRPr="00036C19">
        <w:rPr>
          <w:b/>
          <w:color w:val="808080" w:themeColor="background1" w:themeShade="80"/>
        </w:rPr>
        <w:t xml:space="preserve"> Endpoint</w:t>
      </w:r>
      <w:r w:rsidRPr="00036C19">
        <w:rPr>
          <w:color w:val="808080" w:themeColor="background1" w:themeShade="80"/>
        </w:rPr>
        <w:t>.</w:t>
      </w:r>
    </w:p>
    <w:p w:rsidR="00A432FF" w:rsidRDefault="00A432FF" w:rsidP="00A432FF">
      <w:pPr>
        <w:pStyle w:val="ListParagraph"/>
        <w:numPr>
          <w:ilvl w:val="0"/>
          <w:numId w:val="6"/>
        </w:numPr>
        <w:ind w:left="1440"/>
      </w:pPr>
      <w:r>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6003361"/>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0F1C81" w:rsidP="00A54DFF">
      <w:pPr>
        <w:pStyle w:val="ListParagraph"/>
        <w:numPr>
          <w:ilvl w:val="0"/>
          <w:numId w:val="6"/>
        </w:numPr>
        <w:ind w:left="1440"/>
      </w:pPr>
      <w:r>
        <w:lastRenderedPageBreak/>
        <w:t>/reservations</w:t>
      </w:r>
      <w:r w:rsidR="001D2F7F">
        <w:t>/</w:t>
      </w:r>
      <w:r w:rsidR="007555E8">
        <w:t>ExecuteReservation</w:t>
      </w:r>
      <w:r w:rsidR="00240CAD">
        <w:t>Pricing</w:t>
      </w:r>
      <w:r w:rsidR="007555E8">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0F1C81" w:rsidP="00A54DFF">
      <w:pPr>
        <w:pStyle w:val="ListParagraph"/>
        <w:numPr>
          <w:ilvl w:val="0"/>
          <w:numId w:val="6"/>
        </w:numPr>
        <w:ind w:left="1440"/>
      </w:pPr>
      <w:r>
        <w:t xml:space="preserve">/reservations </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0F1C81" w:rsidP="00A432FF">
      <w:pPr>
        <w:pStyle w:val="ListParagraph"/>
        <w:numPr>
          <w:ilvl w:val="0"/>
          <w:numId w:val="6"/>
        </w:numPr>
        <w:ind w:left="1440"/>
      </w:pPr>
      <w:r>
        <w:t xml:space="preserve">/reservations </w:t>
      </w:r>
      <w:r w:rsidR="00A432FF">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0F1C81" w:rsidP="001D2F7F">
      <w:pPr>
        <w:pStyle w:val="ListParagraph"/>
        <w:numPr>
          <w:ilvl w:val="0"/>
          <w:numId w:val="6"/>
        </w:numPr>
        <w:ind w:left="1440"/>
      </w:pPr>
      <w:r>
        <w:t xml:space="preserve">/reservations </w:t>
      </w:r>
      <w:r w:rsidR="00336E4C">
        <w:t>/</w:t>
      </w:r>
      <w:r>
        <w:t>validate</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r w:rsidR="003F55DF">
        <w:t>UserID</w:t>
      </w:r>
      <w:r>
        <w:t>, if provided,</w:t>
      </w:r>
      <w:r w:rsidR="003F55DF">
        <w:t xml:space="preserve"> in the cart corresponds to an existing, active, customer</w:t>
      </w:r>
      <w:r>
        <w:t>;</w:t>
      </w:r>
    </w:p>
    <w:p w:rsidR="00336E4C" w:rsidRDefault="00336E4C" w:rsidP="00336E4C">
      <w:pPr>
        <w:pStyle w:val="ListParagraph"/>
        <w:numPr>
          <w:ilvl w:val="5"/>
          <w:numId w:val="6"/>
        </w:numPr>
      </w:pPr>
      <w:r>
        <w:t>That each ProductID in the cart is a valid ProductID;</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That the StoreID, if provided, is a valid StoreID;</w:t>
      </w:r>
    </w:p>
    <w:p w:rsidR="001D2F7F" w:rsidRDefault="00336E4C" w:rsidP="00336E4C">
      <w:pPr>
        <w:pStyle w:val="ListParagraph"/>
        <w:numPr>
          <w:ilvl w:val="5"/>
          <w:numId w:val="6"/>
        </w:numPr>
      </w:pPr>
      <w:r>
        <w:t>That the cardID,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1" w:name="_Ref286734968"/>
      <w:bookmarkStart w:id="32" w:name="_Toc296003362"/>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F1C81">
            <w:pPr>
              <w:jc w:val="center"/>
              <w:rPr>
                <w:rFonts w:ascii="Calibri" w:hAnsi="Calibri" w:cs="Calibri"/>
                <w:b/>
                <w:sz w:val="18"/>
                <w:szCs w:val="18"/>
              </w:rPr>
            </w:pPr>
            <w:r w:rsidRPr="00BD7CB7">
              <w:rPr>
                <w:b/>
                <w:szCs w:val="18"/>
              </w:rPr>
              <w:t xml:space="preserve">Note: all URLs are prefixed with: </w:t>
            </w:r>
            <w:r w:rsidR="000F1C81">
              <w:rPr>
                <w:b/>
                <w:szCs w:val="18"/>
              </w:rPr>
              <w:t>/</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0F1C81" w:rsidP="00086994">
            <w:pPr>
              <w:rPr>
                <w:sz w:val="18"/>
                <w:szCs w:val="18"/>
              </w:rPr>
            </w:pPr>
            <w:r>
              <w:rPr>
                <w:sz w:val="18"/>
                <w:szCs w:val="18"/>
              </w:rPr>
              <w:t>/Customers</w:t>
            </w:r>
            <w:r w:rsidR="00A432FF">
              <w:rPr>
                <w:sz w:val="18"/>
                <w:szCs w:val="18"/>
              </w:rPr>
              <w:t>/StatusMonitor</w:t>
            </w:r>
            <w:r>
              <w:rPr>
                <w:sz w:val="18"/>
                <w:szCs w:val="18"/>
              </w:rPr>
              <w:t xml:space="preserve"> (does not use the URL prefix noted above)</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/Customers/{new Customer Number}/Profile.</w:t>
      </w:r>
    </w:p>
    <w:p w:rsidR="00387452" w:rsidRDefault="00387452" w:rsidP="00387452">
      <w:pPr>
        <w:pStyle w:val="Heading3"/>
      </w:pPr>
      <w:bookmarkStart w:id="33" w:name="_Ref288056256"/>
      <w:bookmarkStart w:id="34" w:name="_Toc296003363"/>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0F1C81">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6003364"/>
      <w:r>
        <w:t>Trailers Gateway</w:t>
      </w:r>
      <w:bookmarkEnd w:id="35"/>
      <w:bookmarkEnd w:id="36"/>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1A5DF0" w:rsidP="009B1D72">
      <w:pPr>
        <w:pStyle w:val="ListParagraph"/>
        <w:numPr>
          <w:ilvl w:val="0"/>
          <w:numId w:val="6"/>
        </w:numPr>
        <w:ind w:left="1440"/>
      </w:pPr>
      <w:r>
        <w:t>/Trailers</w:t>
      </w:r>
      <w:r w:rsidR="009B1D72">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w:t>
      </w:r>
      <w:r w:rsidR="001A5DF0">
        <w:t>Trailers/Movies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7" w:name="_Toc296003365"/>
      <w:r>
        <w:t>Data Sources</w:t>
      </w:r>
      <w:bookmarkEnd w:id="37"/>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4F2B27DC" wp14:editId="45A50527">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8"/>
    </w:p>
    <w:p w:rsidR="00722CC1" w:rsidRPr="00A72D6F" w:rsidRDefault="00722CC1" w:rsidP="00A72D6F"/>
    <w:p w:rsidR="0046516A" w:rsidRDefault="0046516A" w:rsidP="0022605B">
      <w:pPr>
        <w:pStyle w:val="Heading3"/>
      </w:pPr>
      <w:bookmarkStart w:id="39" w:name="_Toc296003366"/>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6003367"/>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6003368"/>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6003369"/>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50" w:name="_Ref296002487"/>
      <w:r w:rsidRPr="007F232B">
        <w:rPr>
          <w:b/>
        </w:rPr>
        <w:t>Products Cache Refresh Message Handler</w:t>
      </w:r>
      <w:r>
        <w:rPr>
          <w:b/>
        </w:rPr>
        <w:t xml:space="preserve"> (R3</w:t>
      </w:r>
      <w:r w:rsidRPr="007F232B">
        <w:rPr>
          <w:b/>
        </w:rPr>
        <w:t>)</w:t>
      </w:r>
      <w:bookmarkEnd w:id="50"/>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1" w:name="_Ref283378841"/>
      <w:r w:rsidRPr="000457CE">
        <w:rPr>
          <w:b/>
        </w:rPr>
        <w:t>Stores Cache Refresh Message Handler</w:t>
      </w:r>
      <w:bookmarkEnd w:id="51"/>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2" w:name="_Ref283378933"/>
      <w:r w:rsidRPr="000457CE">
        <w:rPr>
          <w:b/>
        </w:rPr>
        <w:t>Top20 Cache Refresh Message Handler</w:t>
      </w:r>
      <w:bookmarkEnd w:id="52"/>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3" w:name="_Ref283629405"/>
      <w:r w:rsidRPr="008626C7">
        <w:rPr>
          <w:b/>
        </w:rPr>
        <w:t>Inventory Cache Refresh Message Handler</w:t>
      </w:r>
      <w:bookmarkEnd w:id="53"/>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4" w:name="_Toc296003370"/>
      <w:r>
        <w:t>Item Changed Message Handlers</w:t>
      </w:r>
      <w:bookmarkEnd w:id="54"/>
    </w:p>
    <w:p w:rsidR="00165140" w:rsidRPr="008626C7" w:rsidRDefault="00165140" w:rsidP="00C21DD3">
      <w:pPr>
        <w:pStyle w:val="Heading4"/>
        <w:rPr>
          <w:b/>
        </w:rPr>
      </w:pPr>
      <w:bookmarkStart w:id="55" w:name="_Ref283637021"/>
      <w:r w:rsidRPr="008626C7">
        <w:rPr>
          <w:b/>
        </w:rPr>
        <w:t>Store ChangedEventMessage Handler</w:t>
      </w:r>
      <w:bookmarkEnd w:id="55"/>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6" w:name="_Ref283629415"/>
      <w:r w:rsidRPr="008626C7">
        <w:rPr>
          <w:b/>
        </w:rPr>
        <w:t>Inventory ChangedEventMessage Handler</w:t>
      </w:r>
      <w:bookmarkEnd w:id="56"/>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7" w:name="_Toc296003371"/>
      <w:r>
        <w:lastRenderedPageBreak/>
        <w:t>Apigee Components</w:t>
      </w:r>
      <w:bookmarkEnd w:id="57"/>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8" w:name="_Ref283378685"/>
      <w:r>
        <w:t>Products</w:t>
      </w:r>
      <w:r w:rsidR="002B2A6F">
        <w:t xml:space="preserve"> </w:t>
      </w:r>
      <w:r w:rsidR="002B2A6F" w:rsidRPr="0022605B">
        <w:t>Endpoint</w:t>
      </w:r>
      <w:bookmarkEnd w:id="58"/>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r>
        <w:t>sortField: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/v3/Products/Games/Default  on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/v3/Titles/ComingSoon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9" w:name="_Ref283378852"/>
      <w:r>
        <w:lastRenderedPageBreak/>
        <w:t>Stores Endpoint</w:t>
      </w:r>
      <w:bookmarkEnd w:id="59"/>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60" w:name="_Ref285105256"/>
      <w:bookmarkStart w:id="61" w:name="_Ref284515587"/>
      <w:r>
        <w:lastRenderedPageBreak/>
        <w:t>Inventory Endpoint</w:t>
      </w:r>
      <w:bookmarkEnd w:id="60"/>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Pr="00036C19" w:rsidRDefault="0088415F" w:rsidP="0060340A">
            <w:pPr>
              <w:rPr>
                <w:color w:val="808080" w:themeColor="background1" w:themeShade="80"/>
                <w:sz w:val="18"/>
                <w:szCs w:val="18"/>
              </w:rPr>
            </w:pPr>
            <w:r w:rsidRPr="00036C19">
              <w:rPr>
                <w:color w:val="808080" w:themeColor="background1" w:themeShade="80"/>
                <w:sz w:val="18"/>
                <w:szCs w:val="18"/>
              </w:rPr>
              <w:t>/v3</w:t>
            </w:r>
            <w:r w:rsidR="009F3F10" w:rsidRPr="00036C19">
              <w:rPr>
                <w:color w:val="808080" w:themeColor="background1" w:themeShade="80"/>
                <w:sz w:val="18"/>
                <w:szCs w:val="18"/>
              </w:rPr>
              <w:t>/</w:t>
            </w:r>
            <w:r w:rsidR="0060340A" w:rsidRPr="00036C19">
              <w:rPr>
                <w:color w:val="808080" w:themeColor="background1" w:themeShade="80"/>
                <w:sz w:val="18"/>
                <w:szCs w:val="18"/>
              </w:rPr>
              <w:t>i</w:t>
            </w:r>
            <w:r w:rsidR="009F3F10" w:rsidRPr="00036C19">
              <w:rPr>
                <w:color w:val="808080" w:themeColor="background1" w:themeShade="80"/>
                <w:sz w:val="18"/>
                <w:szCs w:val="18"/>
              </w:rPr>
              <w:t>nventory/</w:t>
            </w:r>
            <w:r w:rsidR="0060340A" w:rsidRPr="00036C19">
              <w:rPr>
                <w:color w:val="808080" w:themeColor="background1" w:themeShade="80"/>
                <w:sz w:val="18"/>
                <w:szCs w:val="18"/>
              </w:rPr>
              <w:t>inventoryc</w:t>
            </w:r>
            <w:r w:rsidR="009F3F10" w:rsidRPr="00036C19">
              <w:rPr>
                <w:color w:val="808080" w:themeColor="background1" w:themeShade="80"/>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Pr="00036C19" w:rsidRDefault="00036C19" w:rsidP="00A54DFF">
      <w:pPr>
        <w:pStyle w:val="ListParagraph"/>
        <w:numPr>
          <w:ilvl w:val="0"/>
          <w:numId w:val="6"/>
        </w:numPr>
        <w:ind w:left="720"/>
        <w:rPr>
          <w:color w:val="808080" w:themeColor="background1" w:themeShade="80"/>
        </w:rPr>
      </w:pPr>
      <w:r w:rsidRPr="00036C19">
        <w:t xml:space="preserve">(Deprecated) </w:t>
      </w:r>
      <w:r w:rsidR="00633C56" w:rsidRPr="00036C19">
        <w:rPr>
          <w:color w:val="808080" w:themeColor="background1" w:themeShade="80"/>
        </w:rPr>
        <w:t>I3: Update the Inventory cache</w:t>
      </w:r>
      <w:r w:rsidR="004945E9" w:rsidRPr="00036C19">
        <w:rPr>
          <w:color w:val="808080" w:themeColor="background1" w:themeShade="80"/>
        </w:rPr>
        <w:t xml:space="preserve"> for a  group of changed Inventory items</w:t>
      </w:r>
    </w:p>
    <w:p w:rsidR="00633C56" w:rsidRPr="00036C19" w:rsidRDefault="0060340A" w:rsidP="00A54DFF">
      <w:pPr>
        <w:pStyle w:val="ListParagraph"/>
        <w:numPr>
          <w:ilvl w:val="1"/>
          <w:numId w:val="6"/>
        </w:numPr>
        <w:ind w:left="1440"/>
        <w:rPr>
          <w:color w:val="808080" w:themeColor="background1" w:themeShade="80"/>
        </w:rPr>
      </w:pPr>
      <w:r w:rsidRPr="00036C19">
        <w:rPr>
          <w:color w:val="808080" w:themeColor="background1" w:themeShade="80"/>
        </w:rPr>
        <w:t xml:space="preserve">URL: </w:t>
      </w:r>
      <w:r w:rsidR="0088415F" w:rsidRPr="00036C19">
        <w:rPr>
          <w:color w:val="808080" w:themeColor="background1" w:themeShade="80"/>
        </w:rPr>
        <w:t>/v3</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c</w:t>
      </w:r>
      <w:r w:rsidR="00633C56" w:rsidRPr="00036C19">
        <w:rPr>
          <w:color w:val="808080" w:themeColor="background1" w:themeShade="80"/>
        </w:rPr>
        <w:t>hanged?apiKey={key}  (HTTP POST)</w:t>
      </w:r>
    </w:p>
    <w:p w:rsidR="00FB17AA"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Input : </w:t>
      </w:r>
    </w:p>
    <w:p w:rsidR="00633C56" w:rsidRPr="00036C19" w:rsidRDefault="00633C56" w:rsidP="00A54DFF">
      <w:pPr>
        <w:pStyle w:val="ListParagraph"/>
        <w:numPr>
          <w:ilvl w:val="2"/>
          <w:numId w:val="6"/>
        </w:numPr>
        <w:ind w:left="2160"/>
        <w:rPr>
          <w:color w:val="808080" w:themeColor="background1" w:themeShade="80"/>
        </w:rPr>
      </w:pPr>
      <w:r w:rsidRPr="00036C19">
        <w:rPr>
          <w:color w:val="808080" w:themeColor="background1" w:themeShade="80"/>
        </w:rPr>
        <w:lastRenderedPageBreak/>
        <w:t xml:space="preserve">InventoryChangesMessage (see schema </w:t>
      </w:r>
      <w:r w:rsidRPr="00036C19">
        <w:rPr>
          <w:color w:val="808080" w:themeColor="background1" w:themeShade="80"/>
        </w:rPr>
        <w:fldChar w:fldCharType="begin"/>
      </w:r>
      <w:r w:rsidRPr="00036C19">
        <w:rPr>
          <w:color w:val="808080" w:themeColor="background1" w:themeShade="80"/>
        </w:rPr>
        <w:instrText xml:space="preserve"> REF _Ref283745915 \r \h </w:instrText>
      </w:r>
      <w:r w:rsidRPr="00036C19">
        <w:rPr>
          <w:color w:val="808080" w:themeColor="background1" w:themeShade="80"/>
        </w:rPr>
      </w:r>
      <w:r w:rsidRPr="00036C19">
        <w:rPr>
          <w:color w:val="808080" w:themeColor="background1" w:themeShade="80"/>
        </w:rPr>
        <w:fldChar w:fldCharType="separate"/>
      </w:r>
      <w:r w:rsidR="005E5C3D" w:rsidRPr="00036C19">
        <w:rPr>
          <w:color w:val="808080" w:themeColor="background1" w:themeShade="80"/>
        </w:rPr>
        <w:t>6.1.45</w:t>
      </w:r>
      <w:r w:rsidRPr="00036C19">
        <w:rPr>
          <w:color w:val="808080" w:themeColor="background1" w:themeShade="80"/>
        </w:rPr>
        <w:fldChar w:fldCharType="end"/>
      </w:r>
      <w:r w:rsidRPr="00036C19">
        <w:rPr>
          <w:color w:val="808080" w:themeColor="background1" w:themeShade="80"/>
        </w:rPr>
        <w:t>)</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Output: </w:t>
      </w:r>
      <w:r w:rsidR="009F3F10" w:rsidRPr="00036C19">
        <w:rPr>
          <w:color w:val="808080" w:themeColor="background1" w:themeShade="80"/>
        </w:rPr>
        <w:t>None</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Description: Update Inventory cache content with the data provided in the InventoryChangesMessage.  This may include updates for</w:t>
      </w:r>
      <w:r w:rsidR="00C52B37" w:rsidRPr="00036C19">
        <w:rPr>
          <w:color w:val="808080" w:themeColor="background1" w:themeShade="80"/>
        </w:rPr>
        <w:t xml:space="preserve"> a single or</w:t>
      </w:r>
      <w:r w:rsidRPr="00036C19">
        <w:rPr>
          <w:color w:val="808080" w:themeColor="background1" w:themeShade="80"/>
        </w:rPr>
        <w:t xml:space="preserve"> multiple inventory items.</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2" w:name="_Ref285105320"/>
      <w:r>
        <w:lastRenderedPageBreak/>
        <w:t>Reservation Endpoint</w:t>
      </w:r>
      <w:bookmarkEnd w:id="61"/>
      <w:bookmarkEnd w:id="62"/>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/validate</w:t>
      </w:r>
      <w:r w:rsidR="00DF023F">
        <w:t xml:space="preserve">?apiKey={key}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Apigee will also validate that the UserID in the Cart matches the UserID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r>
        <w:t xml:space="preserve">After the Reservation Gateway has returned a CartValidation, if the CartValidation object indicates no errors, the Apigee Layer will further validate the cart by validating that the ProductIDs in the cart are “InStock” in the inventory of the StoreID (provided that the cart </w:t>
      </w:r>
      <w:r>
        <w:lastRenderedPageBreak/>
        <w:t>contains both a StoreID and at least one ProductID).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r>
        <w:lastRenderedPageBreak/>
        <w:t>CustomerAccount Endpoint</w:t>
      </w:r>
      <w:bookmarkEnd w:id="63"/>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0259099"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66C38806" wp14:editId="76464CB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5"/>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036C19">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036C19"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036C19">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036C19">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036C19"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036C19">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036C19" w:rsidRPr="00425070" w:rsidRDefault="00036C19" w:rsidP="00036C19">
      <w:pPr>
        <w:rPr>
          <w:b/>
          <w:color w:val="FF0000"/>
          <w:sz w:val="28"/>
        </w:rPr>
      </w:pPr>
      <w:r w:rsidRPr="00425070">
        <w:rPr>
          <w:b/>
          <w:color w:val="FF0000"/>
          <w:sz w:val="28"/>
        </w:rPr>
        <w:t>This schema has been deprecated and is no longer used.</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036C19"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xml</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version</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encoding</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utf-8</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xmlns:tns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elementFormDefault</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qualified</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targetNamespace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xmlns:xs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http://www.w3.org/2001/XMLSchema</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xmlns:oapi</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xs:import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true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false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ref</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008000"/>
          <w:sz w:val="16"/>
          <w:szCs w:val="16"/>
          <w:lang w:bidi="ar-SA"/>
        </w:rPr>
        <w:t>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&lt;xs:element minOccurs="0" maxOccurs="unbounded" name="StoreInventory" type="tns:ArrayOfProductInventory"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oapi:Paging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base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lastRenderedPageBreak/>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OutOfStock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LowStock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&lt;xs:enumeration value="Removed"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&gt;</w:t>
      </w:r>
    </w:p>
    <w:p w:rsidR="00FC55ED" w:rsidRPr="00036C19" w:rsidRDefault="00FC55ED">
      <w:pPr>
        <w:spacing w:after="200" w:line="276" w:lineRule="auto"/>
        <w:rPr>
          <w:b/>
          <w:iCs/>
          <w:spacing w:val="5"/>
          <w:sz w:val="16"/>
          <w:szCs w:val="16"/>
        </w:rPr>
      </w:pPr>
      <w:r w:rsidRPr="00036C19">
        <w:rPr>
          <w:sz w:val="16"/>
          <w:szCs w:val="16"/>
        </w:rP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5" w:name="_Ref288058122"/>
      <w:bookmarkStart w:id="146" w:name="_Ref288058136"/>
      <w:bookmarkStart w:id="147" w:name="_Toc296003419"/>
      <w:r>
        <w:lastRenderedPageBreak/>
        <w:t>Preferences</w:t>
      </w:r>
      <w:bookmarkEnd w:id="145"/>
      <w:bookmarkEnd w:id="146"/>
      <w:bookmarkEnd w:id="147"/>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 </w:t>
      </w:r>
      <w:r w:rsidRPr="00C91513">
        <w:rPr>
          <w:rFonts w:ascii="Consolas" w:eastAsia="Times New Roman" w:hAnsi="Consolas" w:cs="Consolas"/>
          <w:color w:val="FF0000"/>
          <w:sz w:val="16"/>
          <w:szCs w:val="16"/>
          <w:lang w:bidi="ar-SA"/>
        </w:rPr>
        <w:t>xmlns</w:t>
      </w:r>
      <w:r w:rsidRPr="00C91513">
        <w:rPr>
          <w:rFonts w:ascii="Consolas" w:eastAsia="Times New Roman" w:hAnsi="Consolas" w:cs="Consolas"/>
          <w:color w:val="0000FF"/>
          <w:sz w:val="16"/>
          <w:szCs w:val="16"/>
          <w:lang w:bidi="ar-SA"/>
        </w:rPr>
        <w: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http://api.redbox.com/v3/CustomerAccount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AccountNumber1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AccountAlias1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FirstName1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LastFour1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ExpirationDate1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Extensions</w:t>
      </w:r>
      <w:r w:rsidRPr="00C91513">
        <w:rPr>
          <w:rFonts w:ascii="Consolas" w:eastAsia="Times New Roman" w:hAnsi="Consolas" w:cs="Consolas"/>
          <w:color w:val="0000FF"/>
          <w:sz w:val="16"/>
          <w:szCs w:val="16"/>
          <w:lang w:bidi="ar-SA"/>
        </w:rPr>
        <w:t> /&gt;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FirstName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LastName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036C19"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p w:rsidR="00614679" w:rsidRDefault="00614679" w:rsidP="006431B0">
            <w:pPr>
              <w:rPr>
                <w:color w:val="000000"/>
                <w:sz w:val="18"/>
                <w:szCs w:val="18"/>
              </w:rPr>
            </w:pPr>
          </w:p>
        </w:tc>
      </w:tr>
      <w:tr w:rsidR="00614679" w:rsidRPr="00C25BA5" w:rsidTr="0066122F">
        <w:trPr>
          <w:cantSplit/>
          <w:trHeight w:val="302"/>
        </w:trPr>
        <w:tc>
          <w:tcPr>
            <w:tcW w:w="1191" w:type="dxa"/>
          </w:tcPr>
          <w:p w:rsidR="00614679" w:rsidRDefault="00614679" w:rsidP="00684FB6">
            <w:pPr>
              <w:rPr>
                <w:color w:val="000000"/>
                <w:sz w:val="18"/>
                <w:szCs w:val="18"/>
              </w:rPr>
            </w:pPr>
            <w:r>
              <w:rPr>
                <w:color w:val="000000"/>
                <w:sz w:val="18"/>
                <w:szCs w:val="18"/>
              </w:rPr>
              <w:t>6/21/11</w:t>
            </w:r>
          </w:p>
        </w:tc>
        <w:tc>
          <w:tcPr>
            <w:tcW w:w="1326" w:type="dxa"/>
          </w:tcPr>
          <w:p w:rsidR="00614679" w:rsidRDefault="00614679" w:rsidP="002D1177">
            <w:pPr>
              <w:rPr>
                <w:color w:val="000000"/>
                <w:sz w:val="18"/>
                <w:szCs w:val="18"/>
              </w:rPr>
            </w:pPr>
            <w:r>
              <w:rPr>
                <w:color w:val="000000"/>
                <w:sz w:val="18"/>
                <w:szCs w:val="18"/>
              </w:rPr>
              <w:t>3.0 Draft 7</w:t>
            </w:r>
          </w:p>
        </w:tc>
        <w:tc>
          <w:tcPr>
            <w:tcW w:w="1466" w:type="dxa"/>
          </w:tcPr>
          <w:p w:rsidR="00614679" w:rsidRDefault="00614679" w:rsidP="002D1177">
            <w:pPr>
              <w:rPr>
                <w:color w:val="000000"/>
                <w:sz w:val="18"/>
                <w:szCs w:val="18"/>
              </w:rPr>
            </w:pPr>
          </w:p>
        </w:tc>
        <w:tc>
          <w:tcPr>
            <w:tcW w:w="6097" w:type="dxa"/>
          </w:tcPr>
          <w:p w:rsidR="00614679" w:rsidRDefault="00614679" w:rsidP="006431B0">
            <w:pPr>
              <w:rPr>
                <w:color w:val="000000"/>
                <w:sz w:val="18"/>
                <w:szCs w:val="18"/>
              </w:rPr>
            </w:pPr>
            <w:r>
              <w:rPr>
                <w:color w:val="000000"/>
                <w:sz w:val="18"/>
                <w:szCs w:val="18"/>
              </w:rPr>
              <w:t>Modified (internal) OpenServices gateway URL structures to make the naming consistent across gateway service operations.</w:t>
            </w:r>
          </w:p>
        </w:tc>
      </w:tr>
      <w:tr w:rsidR="00036C19" w:rsidRPr="00C25BA5" w:rsidTr="0066122F">
        <w:trPr>
          <w:cantSplit/>
          <w:trHeight w:val="302"/>
        </w:trPr>
        <w:tc>
          <w:tcPr>
            <w:tcW w:w="1191" w:type="dxa"/>
          </w:tcPr>
          <w:p w:rsidR="00036C19" w:rsidRDefault="00036C19" w:rsidP="00684FB6">
            <w:pPr>
              <w:rPr>
                <w:color w:val="000000"/>
                <w:sz w:val="18"/>
                <w:szCs w:val="18"/>
              </w:rPr>
            </w:pPr>
            <w:r>
              <w:rPr>
                <w:color w:val="000000"/>
                <w:sz w:val="18"/>
                <w:szCs w:val="18"/>
              </w:rPr>
              <w:t>6/22/11</w:t>
            </w:r>
          </w:p>
        </w:tc>
        <w:tc>
          <w:tcPr>
            <w:tcW w:w="1326" w:type="dxa"/>
          </w:tcPr>
          <w:p w:rsidR="00036C19" w:rsidRDefault="00036C19" w:rsidP="002D1177">
            <w:pPr>
              <w:rPr>
                <w:color w:val="000000"/>
                <w:sz w:val="18"/>
                <w:szCs w:val="18"/>
              </w:rPr>
            </w:pPr>
            <w:r>
              <w:rPr>
                <w:color w:val="000000"/>
                <w:sz w:val="18"/>
                <w:szCs w:val="18"/>
              </w:rPr>
              <w:t>3.0 Draft 8</w:t>
            </w:r>
          </w:p>
        </w:tc>
        <w:tc>
          <w:tcPr>
            <w:tcW w:w="1466" w:type="dxa"/>
          </w:tcPr>
          <w:p w:rsidR="00036C19" w:rsidRDefault="00036C19" w:rsidP="002D1177">
            <w:pPr>
              <w:rPr>
                <w:color w:val="000000"/>
                <w:sz w:val="18"/>
                <w:szCs w:val="18"/>
              </w:rPr>
            </w:pPr>
          </w:p>
        </w:tc>
        <w:tc>
          <w:tcPr>
            <w:tcW w:w="6097" w:type="dxa"/>
          </w:tcPr>
          <w:p w:rsidR="00036C19" w:rsidRDefault="00036C19" w:rsidP="006431B0">
            <w:pPr>
              <w:rPr>
                <w:color w:val="000000"/>
                <w:sz w:val="18"/>
                <w:szCs w:val="18"/>
              </w:rPr>
            </w:pPr>
            <w:r>
              <w:rPr>
                <w:color w:val="000000"/>
                <w:sz w:val="18"/>
                <w:szCs w:val="18"/>
              </w:rPr>
              <w:t>Updated Inventory cache update handling to match Apigee capabilities:</w:t>
            </w:r>
          </w:p>
          <w:p w:rsidR="00036C19" w:rsidRDefault="00036C19" w:rsidP="00036C19">
            <w:pPr>
              <w:pStyle w:val="ListParagraph"/>
              <w:numPr>
                <w:ilvl w:val="0"/>
                <w:numId w:val="29"/>
              </w:numPr>
              <w:rPr>
                <w:color w:val="000000"/>
                <w:sz w:val="18"/>
                <w:szCs w:val="18"/>
              </w:rPr>
            </w:pPr>
            <w:r>
              <w:rPr>
                <w:color w:val="000000"/>
                <w:sz w:val="18"/>
                <w:szCs w:val="18"/>
              </w:rPr>
              <w:t>Full refresh (I4) schema is now the External InventoryLookup schema (6.1.14)</w:t>
            </w:r>
          </w:p>
          <w:p w:rsidR="00036C19" w:rsidRDefault="00036C19" w:rsidP="00036C19">
            <w:pPr>
              <w:pStyle w:val="ListParagraph"/>
              <w:numPr>
                <w:ilvl w:val="0"/>
                <w:numId w:val="29"/>
              </w:numPr>
              <w:rPr>
                <w:color w:val="000000"/>
                <w:sz w:val="18"/>
                <w:szCs w:val="18"/>
              </w:rPr>
            </w:pPr>
            <w:r>
              <w:rPr>
                <w:color w:val="000000"/>
                <w:sz w:val="18"/>
                <w:szCs w:val="18"/>
              </w:rPr>
              <w:t>Source inventory list schema is deprecated (6.1.12)</w:t>
            </w:r>
          </w:p>
          <w:p w:rsidR="00036C19" w:rsidRDefault="00036C19" w:rsidP="00036C19">
            <w:pPr>
              <w:pStyle w:val="ListParagraph"/>
              <w:numPr>
                <w:ilvl w:val="0"/>
                <w:numId w:val="29"/>
              </w:numPr>
              <w:rPr>
                <w:color w:val="000000"/>
                <w:sz w:val="18"/>
                <w:szCs w:val="18"/>
              </w:rPr>
            </w:pPr>
            <w:r>
              <w:rPr>
                <w:color w:val="000000"/>
                <w:sz w:val="18"/>
                <w:szCs w:val="18"/>
              </w:rPr>
              <w:t>Inventory change message to Apigee is deprecated (6.1.45)</w:t>
            </w:r>
          </w:p>
          <w:p w:rsidR="00036C19" w:rsidRDefault="00036C19" w:rsidP="00036C19">
            <w:pPr>
              <w:pStyle w:val="ListParagraph"/>
              <w:numPr>
                <w:ilvl w:val="0"/>
                <w:numId w:val="29"/>
              </w:numPr>
              <w:rPr>
                <w:color w:val="000000"/>
                <w:sz w:val="18"/>
                <w:szCs w:val="18"/>
              </w:rPr>
            </w:pPr>
            <w:r>
              <w:rPr>
                <w:color w:val="000000"/>
                <w:sz w:val="18"/>
                <w:szCs w:val="18"/>
              </w:rPr>
              <w:t>Operation I3 at Apigee is deprecated</w:t>
            </w:r>
          </w:p>
          <w:p w:rsidR="00036C19" w:rsidRPr="00036C19" w:rsidRDefault="00036C19" w:rsidP="00036C19">
            <w:pPr>
              <w:pStyle w:val="ListParagraph"/>
              <w:numPr>
                <w:ilvl w:val="0"/>
                <w:numId w:val="29"/>
              </w:numPr>
              <w:rPr>
                <w:color w:val="000000"/>
                <w:sz w:val="18"/>
                <w:szCs w:val="18"/>
              </w:rPr>
            </w:pPr>
            <w:r w:rsidRPr="00036C19">
              <w:rPr>
                <w:color w:val="000000"/>
                <w:sz w:val="18"/>
                <w:szCs w:val="18"/>
              </w:rPr>
              <w:t>Operation /Inventory/InventoryChanged</w:t>
            </w:r>
            <w:r>
              <w:rPr>
                <w:color w:val="000000"/>
                <w:sz w:val="18"/>
                <w:szCs w:val="18"/>
              </w:rPr>
              <w:t xml:space="preserve"> at Inventory Gateway is deprecated</w:t>
            </w:r>
          </w:p>
          <w:p w:rsidR="00036C19" w:rsidRPr="00036C19" w:rsidRDefault="00036C19" w:rsidP="00036C19">
            <w:pPr>
              <w:rPr>
                <w:color w:val="000000"/>
                <w:sz w:val="18"/>
                <w:szCs w:val="18"/>
              </w:rPr>
            </w:pP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036C19" w:rsidRDefault="00036C19">
      <w:pPr>
        <w:pStyle w:val="CommentText"/>
      </w:pPr>
      <w:r>
        <w:rPr>
          <w:rStyle w:val="CommentReference"/>
        </w:rPr>
        <w:annotationRef/>
      </w:r>
      <w:r>
        <w:t>add detail on use of WCF performance counters</w:t>
      </w:r>
    </w:p>
  </w:comment>
  <w:comment w:id="81" w:author="crudolphi" w:date="2011-03-11T15:44:00Z" w:initials="CLR">
    <w:p w:rsidR="00036C19" w:rsidRDefault="00036C19">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160" w:rsidRDefault="00BD5160" w:rsidP="008879D4">
      <w:r>
        <w:separator/>
      </w:r>
    </w:p>
  </w:endnote>
  <w:endnote w:type="continuationSeparator" w:id="0">
    <w:p w:rsidR="00BD5160" w:rsidRDefault="00BD5160"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E72A5D">
      <w:rPr>
        <w:rFonts w:asciiTheme="majorHAnsi" w:hAnsiTheme="majorHAnsi" w:cs="Arial"/>
        <w:noProof/>
        <w:sz w:val="18"/>
        <w:szCs w:val="18"/>
      </w:rPr>
      <w:t>12</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E72A5D">
      <w:rPr>
        <w:rFonts w:asciiTheme="majorHAnsi" w:hAnsiTheme="majorHAnsi" w:cs="Arial"/>
        <w:noProof/>
        <w:sz w:val="18"/>
        <w:szCs w:val="18"/>
      </w:rPr>
      <w:t>167</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Pr="00482184" w:rsidRDefault="00036C19"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036C19" w:rsidRPr="00482184" w:rsidRDefault="00036C19"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Pr>
        <w:rFonts w:asciiTheme="majorHAnsi" w:hAnsiTheme="majorHAnsi" w:cs="Arial"/>
        <w:noProof/>
        <w:sz w:val="18"/>
        <w:szCs w:val="18"/>
      </w:rPr>
      <w:t>167</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160" w:rsidRDefault="00BD5160" w:rsidP="008879D4">
      <w:r>
        <w:separator/>
      </w:r>
    </w:p>
  </w:footnote>
  <w:footnote w:type="continuationSeparator" w:id="0">
    <w:p w:rsidR="00BD5160" w:rsidRDefault="00BD5160"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Pr="00EF421A" w:rsidRDefault="00036C19"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036C19" w:rsidRDefault="00036C19"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Pr="00036C19">
        <w:rPr>
          <w:rFonts w:asciiTheme="majorHAnsi" w:hAnsiTheme="majorHAnsi" w:cs="Arial"/>
          <w:noProof/>
          <w:sz w:val="18"/>
          <w:szCs w:val="18"/>
        </w:rPr>
        <w:t>6/21/2011 4:32:00</w:t>
      </w:r>
      <w:r>
        <w:rPr>
          <w:noProof/>
        </w:rPr>
        <w:t xml:space="preserve"> PM</w:t>
      </w:r>
    </w:fldSimple>
  </w:p>
  <w:p w:rsidR="00036C19" w:rsidRDefault="00036C19"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36C19"/>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1C81"/>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5DF0"/>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0C7D"/>
    <w:rsid w:val="004C2516"/>
    <w:rsid w:val="004C5BFB"/>
    <w:rsid w:val="004C7995"/>
    <w:rsid w:val="004D2562"/>
    <w:rsid w:val="004D4341"/>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14679"/>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518A"/>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5160"/>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2A5D"/>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C7F"/>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0869264">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20FA959-AB61-47B4-8025-2D6CABEEF08F}"/>
</file>

<file path=customXml/itemProps2.xml><?xml version="1.0" encoding="utf-8"?>
<ds:datastoreItem xmlns:ds="http://schemas.openxmlformats.org/officeDocument/2006/customXml" ds:itemID="{3BA3DF46-B69E-43B0-B435-C771E1841722}"/>
</file>

<file path=customXml/itemProps3.xml><?xml version="1.0" encoding="utf-8"?>
<ds:datastoreItem xmlns:ds="http://schemas.openxmlformats.org/officeDocument/2006/customXml" ds:itemID="{35E09F3A-800C-498F-8403-13582ABDB37A}"/>
</file>

<file path=customXml/itemProps4.xml><?xml version="1.0" encoding="utf-8"?>
<ds:datastoreItem xmlns:ds="http://schemas.openxmlformats.org/officeDocument/2006/customXml" ds:itemID="{C0182A72-9471-43DB-9844-52010ADFFCBE}"/>
</file>

<file path=docProps/app.xml><?xml version="1.0" encoding="utf-8"?>
<Properties xmlns="http://schemas.openxmlformats.org/officeDocument/2006/extended-properties" xmlns:vt="http://schemas.openxmlformats.org/officeDocument/2006/docPropsVTypes">
  <Template>Detailed Requirements.dotx</Template>
  <TotalTime>0</TotalTime>
  <Pages>167</Pages>
  <Words>51076</Words>
  <Characters>291138</Characters>
  <Application>Microsoft Office Word</Application>
  <DocSecurity>0</DocSecurity>
  <Lines>2426</Lines>
  <Paragraphs>683</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341531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cp:lastPrinted>2011-03-15T16:21:00Z</cp:lastPrinted>
  <dcterms:created xsi:type="dcterms:W3CDTF">2011-06-22T19:45:00Z</dcterms:created>
  <dcterms:modified xsi:type="dcterms:W3CDTF">2011-06-22T19:45:00Z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