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AD0" w:rsidRDefault="00644AD0" w:rsidP="00644AD0">
      <w:pPr>
        <w:pStyle w:val="Table"/>
        <w:spacing w:after="120"/>
        <w:ind w:hanging="90"/>
        <w:jc w:val="center"/>
      </w:pPr>
      <w:r>
        <w:t>Solano 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166A86" w:rsidRPr="00FF6A77" w:rsidTr="00D96F77">
        <w:trPr>
          <w:trHeight w:val="510"/>
          <w:tblHeader/>
        </w:trPr>
        <w:tc>
          <w:tcPr>
            <w:tcW w:w="8010" w:type="dxa"/>
            <w:tcBorders>
              <w:bottom w:val="single" w:sz="8" w:space="0" w:color="auto"/>
            </w:tcBorders>
            <w:shd w:val="clear" w:color="auto" w:fill="C6D9F1"/>
            <w:hideMark/>
          </w:tcPr>
          <w:p w:rsidR="00166A86" w:rsidRPr="00FF6A77" w:rsidRDefault="00166A86" w:rsidP="002043E9">
            <w:pPr>
              <w:jc w:val="center"/>
              <w:rPr>
                <w:b/>
                <w:bCs/>
                <w:color w:val="000000"/>
                <w:sz w:val="18"/>
                <w:szCs w:val="18"/>
              </w:rPr>
            </w:pPr>
            <w:r w:rsidRPr="00FF6A77">
              <w:rPr>
                <w:b/>
                <w:bCs/>
                <w:color w:val="000000"/>
                <w:sz w:val="18"/>
                <w:szCs w:val="18"/>
              </w:rPr>
              <w:t xml:space="preserve">Project Design, Review, and Approval Avoidance and Minimization Measure Requirements for </w:t>
            </w:r>
            <w:r w:rsidR="002043E9" w:rsidRPr="00FF6A77">
              <w:rPr>
                <w:b/>
                <w:bCs/>
                <w:color w:val="000000"/>
                <w:sz w:val="18"/>
                <w:szCs w:val="18"/>
              </w:rPr>
              <w:t>California Red-Legged Frog</w:t>
            </w:r>
          </w:p>
        </w:tc>
        <w:tc>
          <w:tcPr>
            <w:tcW w:w="1890" w:type="dxa"/>
            <w:tcBorders>
              <w:bottom w:val="single" w:sz="8" w:space="0" w:color="auto"/>
            </w:tcBorders>
            <w:shd w:val="clear" w:color="auto" w:fill="C6D9F1"/>
          </w:tcPr>
          <w:p w:rsidR="00166A86" w:rsidRPr="00FF6A77" w:rsidRDefault="00166A86" w:rsidP="00B45EB6">
            <w:pPr>
              <w:jc w:val="center"/>
              <w:rPr>
                <w:b/>
                <w:bCs/>
                <w:color w:val="000000"/>
                <w:sz w:val="18"/>
                <w:szCs w:val="18"/>
              </w:rPr>
            </w:pPr>
            <w:r w:rsidRPr="00FF6A77">
              <w:rPr>
                <w:b/>
                <w:bCs/>
                <w:color w:val="000000"/>
                <w:sz w:val="18"/>
                <w:szCs w:val="18"/>
              </w:rPr>
              <w:t>Project Impact/</w:t>
            </w:r>
          </w:p>
          <w:p w:rsidR="00166A86" w:rsidRPr="00FF6A77" w:rsidRDefault="00166A86" w:rsidP="00B45EB6">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166A86" w:rsidRPr="00FF6A77" w:rsidRDefault="00166A86" w:rsidP="00B45EB6">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166A86" w:rsidRPr="00FF6A77" w:rsidRDefault="00166A86" w:rsidP="00582C08">
            <w:pPr>
              <w:jc w:val="center"/>
              <w:rPr>
                <w:b/>
                <w:bCs/>
                <w:color w:val="000000"/>
                <w:sz w:val="18"/>
                <w:szCs w:val="18"/>
              </w:rPr>
            </w:pPr>
            <w:r w:rsidRPr="00FF6A77">
              <w:rPr>
                <w:b/>
                <w:bCs/>
                <w:color w:val="000000"/>
                <w:sz w:val="18"/>
                <w:szCs w:val="18"/>
              </w:rPr>
              <w:t>Proposal Compl</w:t>
            </w:r>
            <w:r w:rsidR="00582C08">
              <w:rPr>
                <w:b/>
                <w:bCs/>
                <w:color w:val="000000"/>
                <w:sz w:val="18"/>
                <w:szCs w:val="18"/>
              </w:rPr>
              <w:t>ies</w:t>
            </w:r>
            <w:r w:rsidRPr="00FF6A77">
              <w:rPr>
                <w:b/>
                <w:bCs/>
                <w:color w:val="000000"/>
                <w:sz w:val="18"/>
                <w:szCs w:val="18"/>
              </w:rPr>
              <w:t xml:space="preserve"> With Measures or Not</w:t>
            </w:r>
          </w:p>
        </w:tc>
      </w:tr>
      <w:tr w:rsidR="00166A86" w:rsidRPr="00FF6A77" w:rsidTr="00D96F77">
        <w:trPr>
          <w:trHeight w:val="576"/>
        </w:trPr>
        <w:tc>
          <w:tcPr>
            <w:tcW w:w="13050" w:type="dxa"/>
            <w:gridSpan w:val="4"/>
            <w:tcBorders>
              <w:bottom w:val="single" w:sz="4" w:space="0" w:color="auto"/>
            </w:tcBorders>
            <w:shd w:val="clear" w:color="auto" w:fill="auto"/>
            <w:vAlign w:val="center"/>
          </w:tcPr>
          <w:p w:rsidR="00166A86" w:rsidRPr="00FF6A77" w:rsidRDefault="00166A86" w:rsidP="00B45EB6">
            <w:pPr>
              <w:jc w:val="center"/>
              <w:rPr>
                <w:b/>
                <w:color w:val="000000"/>
                <w:sz w:val="18"/>
                <w:szCs w:val="18"/>
              </w:rPr>
            </w:pPr>
            <w:r w:rsidRPr="00FF6A77">
              <w:rPr>
                <w:b/>
                <w:color w:val="000000"/>
                <w:sz w:val="18"/>
                <w:szCs w:val="18"/>
              </w:rPr>
              <w:t>CALIFORNIA RED-LEGGED FROG:</w:t>
            </w:r>
          </w:p>
          <w:p w:rsidR="00166A86" w:rsidRPr="00FF6A77" w:rsidRDefault="00166A86" w:rsidP="00B45EB6">
            <w:pPr>
              <w:jc w:val="center"/>
              <w:rPr>
                <w:b/>
                <w:color w:val="000000"/>
                <w:sz w:val="18"/>
                <w:szCs w:val="18"/>
              </w:rPr>
            </w:pPr>
            <w:r w:rsidRPr="00FF6A77">
              <w:rPr>
                <w:b/>
                <w:sz w:val="18"/>
                <w:szCs w:val="18"/>
              </w:rPr>
              <w:t>DESIGN, REVIEW, AND APPROVAL AVOIDANCE AND MINIMIZATION MEASURES IN SECTION 6.3.3.1</w:t>
            </w:r>
          </w:p>
        </w:tc>
      </w:tr>
      <w:tr w:rsidR="00166A86" w:rsidRPr="00FF6A77" w:rsidTr="00B718E0">
        <w:trPr>
          <w:trHeight w:val="475"/>
        </w:trPr>
        <w:tc>
          <w:tcPr>
            <w:tcW w:w="8010" w:type="dxa"/>
            <w:shd w:val="clear" w:color="auto" w:fill="auto"/>
          </w:tcPr>
          <w:p w:rsidR="00166A86" w:rsidRPr="00FF6A77" w:rsidRDefault="00166A86" w:rsidP="00B45EB6">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166A86" w:rsidRPr="00FF6A77" w:rsidRDefault="00166A86" w:rsidP="00B45EB6">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166A86" w:rsidRPr="00FF6A77" w:rsidRDefault="00166A86" w:rsidP="00B45EB6">
            <w:pPr>
              <w:rPr>
                <w:sz w:val="18"/>
                <w:szCs w:val="18"/>
              </w:rPr>
            </w:pPr>
          </w:p>
          <w:p w:rsidR="00166A86" w:rsidRPr="00FF6A77" w:rsidRDefault="00166A86" w:rsidP="00166A86">
            <w:pPr>
              <w:numPr>
                <w:ilvl w:val="0"/>
                <w:numId w:val="46"/>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DefaultPlaceholder_1082065158"/>
            </w:placeholder>
            <w:showingPlcHdr/>
            <w:text/>
          </w:sdtPr>
          <w:sdtContent>
            <w:tc>
              <w:tcPr>
                <w:tcW w:w="1980" w:type="dxa"/>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DefaultPlaceholder_1082065158"/>
            </w:placeholder>
            <w:showingPlcHdr/>
            <w:text/>
          </w:sdtPr>
          <w:sdtContent>
            <w:tc>
              <w:tcPr>
                <w:tcW w:w="1170" w:type="dxa"/>
                <w:tcBorders>
                  <w:bottom w:val="single" w:sz="4"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385"/>
        </w:trPr>
        <w:tc>
          <w:tcPr>
            <w:tcW w:w="8010" w:type="dxa"/>
            <w:shd w:val="clear" w:color="auto" w:fill="auto"/>
          </w:tcPr>
          <w:p w:rsidR="00166A86" w:rsidRPr="00FF6A77" w:rsidRDefault="00166A86" w:rsidP="00166A86">
            <w:pPr>
              <w:numPr>
                <w:ilvl w:val="0"/>
                <w:numId w:val="46"/>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DefaultPlaceholder_1082065158"/>
            </w:placeholder>
            <w:showingPlcHdr/>
            <w:text/>
          </w:sdtPr>
          <w:sdtContent>
            <w:tc>
              <w:tcPr>
                <w:tcW w:w="1980" w:type="dxa"/>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DefaultPlaceholder_1082065158"/>
            </w:placeholder>
            <w:showingPlcHdr/>
            <w:text/>
          </w:sdtPr>
          <w:sdtContent>
            <w:tc>
              <w:tcPr>
                <w:tcW w:w="1170" w:type="dxa"/>
                <w:tcBorders>
                  <w:top w:val="single" w:sz="4" w:space="0" w:color="auto"/>
                  <w:bottom w:val="single" w:sz="4"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250"/>
        </w:trPr>
        <w:tc>
          <w:tcPr>
            <w:tcW w:w="8010" w:type="dxa"/>
            <w:shd w:val="clear" w:color="auto" w:fill="auto"/>
          </w:tcPr>
          <w:p w:rsidR="00166A86" w:rsidRPr="00FF6A77" w:rsidRDefault="00166A86" w:rsidP="00166A86">
            <w:pPr>
              <w:numPr>
                <w:ilvl w:val="0"/>
                <w:numId w:val="46"/>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DefaultPlaceholder_1082065158"/>
            </w:placeholder>
            <w:showingPlcHdr/>
            <w:text/>
          </w:sdtPr>
          <w:sdtContent>
            <w:tc>
              <w:tcPr>
                <w:tcW w:w="1980" w:type="dxa"/>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DefaultPlaceholder_1082065158"/>
            </w:placeholder>
            <w:showingPlcHdr/>
            <w:text/>
          </w:sdtPr>
          <w:sdtContent>
            <w:tc>
              <w:tcPr>
                <w:tcW w:w="1170" w:type="dxa"/>
                <w:tcBorders>
                  <w:top w:val="single" w:sz="4" w:space="0" w:color="auto"/>
                  <w:bottom w:val="single" w:sz="4"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tcBorders>
              <w:bottom w:val="single" w:sz="8" w:space="0" w:color="auto"/>
            </w:tcBorders>
            <w:shd w:val="clear" w:color="auto" w:fill="auto"/>
          </w:tcPr>
          <w:p w:rsidR="00166A86" w:rsidRPr="00FF6A77" w:rsidRDefault="00166A86" w:rsidP="00B45EB6">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DefaultPlaceholder_1082065158"/>
            </w:placeholder>
            <w:showingPlcHdr/>
            <w:text/>
          </w:sdtPr>
          <w:sdtContent>
            <w:tc>
              <w:tcPr>
                <w:tcW w:w="1890" w:type="dxa"/>
                <w:tcBorders>
                  <w:bottom w:val="single" w:sz="8" w:space="0" w:color="auto"/>
                </w:tcBorders>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DefaultPlaceholder_1082065158"/>
            </w:placeholder>
            <w:showingPlcHdr/>
            <w:text/>
          </w:sdtPr>
          <w:sdtContent>
            <w:tc>
              <w:tcPr>
                <w:tcW w:w="1980" w:type="dxa"/>
                <w:tcBorders>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DefaultPlaceholder_1082065158"/>
            </w:placeholder>
            <w:showingPlcHdr/>
            <w:text/>
          </w:sdtPr>
          <w:sdtContent>
            <w:tc>
              <w:tcPr>
                <w:tcW w:w="1170" w:type="dxa"/>
                <w:tcBorders>
                  <w:top w:val="single" w:sz="4" w:space="0" w:color="auto"/>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1618"/>
        </w:trPr>
        <w:tc>
          <w:tcPr>
            <w:tcW w:w="8010" w:type="dxa"/>
            <w:tcBorders>
              <w:top w:val="single" w:sz="8" w:space="0" w:color="auto"/>
              <w:bottom w:val="single" w:sz="8" w:space="0" w:color="auto"/>
            </w:tcBorders>
            <w:shd w:val="clear" w:color="auto" w:fill="auto"/>
          </w:tcPr>
          <w:p w:rsidR="00166A86" w:rsidRPr="00FF6A77" w:rsidRDefault="00166A86" w:rsidP="00D96F77">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166A86" w:rsidRPr="00FF6A77" w:rsidRDefault="00166A86" w:rsidP="00D96F77">
            <w:pPr>
              <w:rPr>
                <w:sz w:val="18"/>
                <w:szCs w:val="18"/>
              </w:rPr>
            </w:pPr>
          </w:p>
          <w:p w:rsidR="00166A86" w:rsidRPr="00FF6A77" w:rsidRDefault="00166A86" w:rsidP="00D96F77">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DefaultPlaceholder_1082065158"/>
            </w:placeholder>
            <w:showingPlcHdr/>
            <w:text/>
          </w:sdtPr>
          <w:sdtContent>
            <w:tc>
              <w:tcPr>
                <w:tcW w:w="1890" w:type="dxa"/>
                <w:tcBorders>
                  <w:top w:val="single" w:sz="8" w:space="0" w:color="auto"/>
                  <w:bottom w:val="single" w:sz="8" w:space="0" w:color="auto"/>
                </w:tcBorders>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DefaultPlaceholder_1082065158"/>
            </w:placeholder>
            <w:showingPlcHdr/>
            <w:text/>
          </w:sdtPr>
          <w:sdtContent>
            <w:tc>
              <w:tcPr>
                <w:tcW w:w="1980" w:type="dxa"/>
                <w:tcBorders>
                  <w:top w:val="single" w:sz="8" w:space="0" w:color="auto"/>
                  <w:bottom w:val="single" w:sz="8" w:space="0" w:color="auto"/>
                </w:tcBorders>
              </w:tcPr>
              <w:p w:rsidR="00166A86" w:rsidRPr="00FF6A77" w:rsidRDefault="00B718E0" w:rsidP="00B718E0">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DefaultPlaceholder_1082065158"/>
            </w:placeholder>
            <w:showingPlcHdr/>
            <w:text/>
          </w:sdtPr>
          <w:sdtContent>
            <w:tc>
              <w:tcPr>
                <w:tcW w:w="1170" w:type="dxa"/>
                <w:vMerge w:val="restart"/>
                <w:tcBorders>
                  <w:top w:val="single" w:sz="8" w:space="0" w:color="auto"/>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1825"/>
        </w:trPr>
        <w:tc>
          <w:tcPr>
            <w:tcW w:w="8010" w:type="dxa"/>
            <w:tcBorders>
              <w:top w:val="single" w:sz="8" w:space="0" w:color="auto"/>
            </w:tcBorders>
            <w:shd w:val="clear" w:color="auto" w:fill="auto"/>
          </w:tcPr>
          <w:p w:rsidR="00166A86" w:rsidRPr="00FF6A77" w:rsidRDefault="00166A86" w:rsidP="00D96F77">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166A86" w:rsidRPr="00FF6A77" w:rsidRDefault="00166A86" w:rsidP="00D96F77">
            <w:pPr>
              <w:ind w:left="252"/>
              <w:rPr>
                <w:sz w:val="18"/>
                <w:szCs w:val="18"/>
              </w:rPr>
            </w:pPr>
          </w:p>
          <w:p w:rsidR="00166A86" w:rsidRPr="00FF6A77" w:rsidRDefault="00166A86" w:rsidP="00D96F77">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166A86" w:rsidRPr="00FF6A77" w:rsidRDefault="00166A86" w:rsidP="00D96F77">
            <w:pPr>
              <w:pStyle w:val="ListLeftB"/>
              <w:spacing w:after="0"/>
              <w:ind w:left="612"/>
              <w:jc w:val="both"/>
              <w:rPr>
                <w:sz w:val="18"/>
                <w:szCs w:val="18"/>
              </w:rPr>
            </w:pPr>
            <w:r w:rsidRPr="00FF6A77">
              <w:rPr>
                <w:sz w:val="18"/>
                <w:szCs w:val="18"/>
              </w:rPr>
              <w:t>Corridors more than 500 feet in length but less than 1,320 feet in length shall have minimum dimensions of 1:1 (i.e.</w:t>
            </w:r>
            <w:proofErr w:type="gramStart"/>
            <w:r w:rsidRPr="00FF6A77">
              <w:rPr>
                <w:sz w:val="18"/>
                <w:szCs w:val="18"/>
              </w:rPr>
              <w:t>, a 700 feet long corridor shall be 700 feet in length)</w:t>
            </w:r>
            <w:proofErr w:type="gramEnd"/>
            <w:r w:rsidRPr="00FF6A77">
              <w:rPr>
                <w:sz w:val="18"/>
                <w:szCs w:val="18"/>
              </w:rPr>
              <w:t>.</w:t>
            </w:r>
          </w:p>
          <w:p w:rsidR="00166A86" w:rsidRPr="00FF6A77" w:rsidRDefault="00166A86" w:rsidP="00D96F77">
            <w:pPr>
              <w:pStyle w:val="ListLeftB"/>
              <w:ind w:left="612"/>
              <w:rPr>
                <w:b/>
                <w:sz w:val="18"/>
                <w:szCs w:val="18"/>
              </w:rPr>
            </w:pPr>
            <w:r w:rsidRPr="00FF6A77">
              <w:rPr>
                <w:sz w:val="18"/>
                <w:szCs w:val="18"/>
              </w:rPr>
              <w:t>Corridors 1,320 feet or longer shall have a minimum width of 1,320 feet.</w:t>
            </w:r>
          </w:p>
          <w:p w:rsidR="00166A86" w:rsidRPr="00FF6A77" w:rsidRDefault="00166A86" w:rsidP="00D96F77">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DefaultPlaceholder_1082065158"/>
            </w:placeholder>
            <w:showingPlcHdr/>
            <w:text/>
          </w:sdtPr>
          <w:sdtContent>
            <w:tc>
              <w:tcPr>
                <w:tcW w:w="1890" w:type="dxa"/>
                <w:tcBorders>
                  <w:top w:val="single" w:sz="8" w:space="0" w:color="auto"/>
                </w:tcBorders>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DefaultPlaceholder_1082065158"/>
            </w:placeholder>
            <w:showingPlcHdr/>
            <w:text/>
          </w:sdtPr>
          <w:sdtContent>
            <w:tc>
              <w:tcPr>
                <w:tcW w:w="1980" w:type="dxa"/>
                <w:tcBorders>
                  <w:top w:val="single" w:sz="8" w:space="0" w:color="auto"/>
                </w:tcBorders>
              </w:tcPr>
              <w:p w:rsidR="00166A86" w:rsidRPr="00FF6A77" w:rsidRDefault="00B718E0" w:rsidP="00B718E0">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166A86" w:rsidRPr="00FF6A77" w:rsidRDefault="00166A86" w:rsidP="00B45EB6">
            <w:pPr>
              <w:keepNext/>
              <w:jc w:val="center"/>
              <w:rPr>
                <w:b/>
                <w:color w:val="000000"/>
                <w:sz w:val="18"/>
                <w:szCs w:val="18"/>
              </w:rPr>
            </w:pPr>
          </w:p>
        </w:tc>
      </w:tr>
      <w:tr w:rsidR="00166A86" w:rsidRPr="00FF6A77" w:rsidTr="00B718E0">
        <w:trPr>
          <w:trHeight w:val="475"/>
        </w:trPr>
        <w:tc>
          <w:tcPr>
            <w:tcW w:w="8010" w:type="dxa"/>
            <w:shd w:val="clear" w:color="auto" w:fill="auto"/>
          </w:tcPr>
          <w:p w:rsidR="00166A86" w:rsidRPr="00FF6A77" w:rsidRDefault="00166A86" w:rsidP="00B45EB6">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DefaultPlaceholder_1082065158"/>
            </w:placeholder>
            <w:showingPlcHdr/>
            <w:text/>
          </w:sdtPr>
          <w:sdtContent>
            <w:tc>
              <w:tcPr>
                <w:tcW w:w="1980" w:type="dxa"/>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DefaultPlaceholder_1082065158"/>
            </w:placeholder>
            <w:showingPlcHdr/>
            <w:text/>
          </w:sdtPr>
          <w:sdtContent>
            <w:tc>
              <w:tcPr>
                <w:tcW w:w="1170" w:type="dxa"/>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576"/>
        </w:trPr>
        <w:tc>
          <w:tcPr>
            <w:tcW w:w="13050" w:type="dxa"/>
            <w:gridSpan w:val="4"/>
            <w:tcBorders>
              <w:bottom w:val="single" w:sz="8" w:space="0" w:color="auto"/>
            </w:tcBorders>
            <w:shd w:val="clear" w:color="auto" w:fill="auto"/>
          </w:tcPr>
          <w:p w:rsidR="00166A86" w:rsidRPr="00FF6A77" w:rsidRDefault="00166A86" w:rsidP="00B45EB6">
            <w:pPr>
              <w:keepNext/>
              <w:jc w:val="center"/>
              <w:rPr>
                <w:b/>
                <w:color w:val="000000"/>
                <w:sz w:val="18"/>
                <w:szCs w:val="18"/>
              </w:rPr>
            </w:pPr>
            <w:r w:rsidRPr="00FF6A77">
              <w:rPr>
                <w:b/>
                <w:color w:val="000000"/>
                <w:sz w:val="18"/>
                <w:szCs w:val="18"/>
              </w:rPr>
              <w:t>CALIFORNIA RED-LEGGED FROG:</w:t>
            </w:r>
          </w:p>
          <w:p w:rsidR="00166A86" w:rsidRPr="00FF6A77" w:rsidRDefault="00166A86" w:rsidP="00B45EB6">
            <w:pPr>
              <w:keepNext/>
              <w:jc w:val="center"/>
              <w:rPr>
                <w:b/>
                <w:color w:val="000000"/>
                <w:sz w:val="18"/>
                <w:szCs w:val="18"/>
              </w:rPr>
            </w:pPr>
            <w:r w:rsidRPr="00FF6A77">
              <w:rPr>
                <w:b/>
                <w:sz w:val="18"/>
                <w:szCs w:val="18"/>
              </w:rPr>
              <w:t>IMPLEMENTATION AND CONSTRUCTION AVOIDANCE AND MINIMIZATION MEASURE IN SECTION 6.3.3.2</w:t>
            </w:r>
          </w:p>
        </w:tc>
      </w:tr>
      <w:tr w:rsidR="00166A86" w:rsidRPr="00FF6A77" w:rsidTr="00B718E0">
        <w:trPr>
          <w:trHeight w:val="475"/>
        </w:trPr>
        <w:tc>
          <w:tcPr>
            <w:tcW w:w="8010" w:type="dxa"/>
            <w:tcBorders>
              <w:top w:val="single" w:sz="8" w:space="0" w:color="auto"/>
              <w:bottom w:val="single" w:sz="8" w:space="0" w:color="auto"/>
            </w:tcBorders>
            <w:shd w:val="clear" w:color="auto" w:fill="auto"/>
          </w:tcPr>
          <w:p w:rsidR="00166A86" w:rsidRPr="00FF6A77" w:rsidRDefault="00166A86" w:rsidP="008D2645">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166A86" w:rsidRPr="00FF6A77" w:rsidRDefault="00166A86" w:rsidP="008D2645">
            <w:pPr>
              <w:rPr>
                <w:b/>
                <w:sz w:val="18"/>
                <w:szCs w:val="18"/>
              </w:rPr>
            </w:pPr>
          </w:p>
          <w:p w:rsidR="00166A86" w:rsidRPr="00FF6A77" w:rsidRDefault="00166A86" w:rsidP="008D2645">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166A86" w:rsidRPr="00FF6A77" w:rsidRDefault="00166A86" w:rsidP="008D2645">
            <w:pPr>
              <w:rPr>
                <w:sz w:val="18"/>
                <w:szCs w:val="18"/>
              </w:rPr>
            </w:pPr>
          </w:p>
          <w:p w:rsidR="00166A86" w:rsidRPr="00FF6A77" w:rsidRDefault="00166A86" w:rsidP="008D2645">
            <w:pPr>
              <w:pStyle w:val="ListLeft"/>
              <w:numPr>
                <w:ilvl w:val="0"/>
                <w:numId w:val="47"/>
              </w:numPr>
              <w:spacing w:after="0"/>
              <w:ind w:left="252" w:hanging="252"/>
              <w:rPr>
                <w:b/>
                <w:sz w:val="18"/>
                <w:szCs w:val="18"/>
              </w:rPr>
            </w:pPr>
            <w:r w:rsidRPr="00FF6A77">
              <w:rPr>
                <w:b/>
                <w:sz w:val="18"/>
                <w:szCs w:val="18"/>
              </w:rPr>
              <w:t>Biological Monitor</w:t>
            </w:r>
          </w:p>
          <w:p w:rsidR="00166A86" w:rsidRPr="00FF6A77" w:rsidRDefault="00166A86" w:rsidP="008D2645">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166A86" w:rsidRPr="00FF6A77" w:rsidRDefault="00166A86" w:rsidP="008D2645">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proofErr w:type="gramStart"/>
            <w:r w:rsidRPr="00FF6A77">
              <w:rPr>
                <w:sz w:val="18"/>
                <w:szCs w:val="18"/>
              </w:rPr>
              <w:lastRenderedPageBreak/>
              <w:t>(3) who</w:t>
            </w:r>
            <w:proofErr w:type="gramEnd"/>
            <w:r w:rsidRPr="00FF6A77">
              <w:rPr>
                <w:sz w:val="18"/>
                <w:szCs w:val="18"/>
              </w:rPr>
              <w:t xml:space="preserve"> is authorized to handle and relocate frogs; and (4) identification of the boundaries of permitted work areas. </w:t>
            </w:r>
          </w:p>
          <w:p w:rsidR="00166A86" w:rsidRPr="00FF6A77" w:rsidRDefault="00166A86" w:rsidP="008D2645">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DefaultPlaceholder_1082065158"/>
            </w:placeholder>
            <w:showingPlcHdr/>
            <w:text/>
          </w:sdtPr>
          <w:sdtContent>
            <w:tc>
              <w:tcPr>
                <w:tcW w:w="1890" w:type="dxa"/>
                <w:tcBorders>
                  <w:top w:val="single" w:sz="8" w:space="0" w:color="auto"/>
                  <w:bottom w:val="single" w:sz="8" w:space="0" w:color="auto"/>
                </w:tcBorders>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DefaultPlaceholder_1082065158"/>
            </w:placeholder>
            <w:showingPlcHdr/>
            <w:text/>
          </w:sdtPr>
          <w:sdtContent>
            <w:tc>
              <w:tcPr>
                <w:tcW w:w="1980" w:type="dxa"/>
                <w:tcBorders>
                  <w:top w:val="single" w:sz="8" w:space="0" w:color="auto"/>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DefaultPlaceholder_1082065158"/>
            </w:placeholder>
            <w:showingPlcHdr/>
            <w:text/>
          </w:sdtPr>
          <w:sdtContent>
            <w:tc>
              <w:tcPr>
                <w:tcW w:w="1170" w:type="dxa"/>
                <w:tcBorders>
                  <w:top w:val="single" w:sz="8" w:space="0" w:color="auto"/>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blPrEx>
          <w:tblBorders>
            <w:top w:val="single" w:sz="8" w:space="0" w:color="auto"/>
            <w:bottom w:val="single" w:sz="8" w:space="0" w:color="auto"/>
          </w:tblBorders>
        </w:tblPrEx>
        <w:trPr>
          <w:trHeight w:val="475"/>
        </w:trPr>
        <w:tc>
          <w:tcPr>
            <w:tcW w:w="8010" w:type="dxa"/>
            <w:shd w:val="clear" w:color="auto" w:fill="auto"/>
          </w:tcPr>
          <w:p w:rsidR="00166A86" w:rsidRPr="00FF6A77" w:rsidRDefault="00166A86" w:rsidP="008D2645">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166A86" w:rsidRPr="00FF6A77" w:rsidRDefault="00166A86" w:rsidP="008D2645">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166A86" w:rsidRPr="00FF6A77" w:rsidRDefault="00166A86" w:rsidP="008D2645">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DefaultPlaceholder_1082065158"/>
            </w:placeholder>
            <w:showingPlcHdr/>
            <w:text/>
          </w:sdtPr>
          <w:sdtContent>
            <w:tc>
              <w:tcPr>
                <w:tcW w:w="1890" w:type="dxa"/>
              </w:tcPr>
              <w:p w:rsidR="00166A86"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DefaultPlaceholder_1082065158"/>
            </w:placeholder>
            <w:showingPlcHdr/>
            <w:text/>
          </w:sdtPr>
          <w:sdtContent>
            <w:tc>
              <w:tcPr>
                <w:tcW w:w="1980" w:type="dxa"/>
              </w:tcPr>
              <w:p w:rsidR="00166A86" w:rsidRPr="00FF6A77" w:rsidRDefault="00B718E0" w:rsidP="00B45EB6">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DefaultPlaceholder_1082065158"/>
            </w:placeholder>
            <w:showingPlcHdr/>
            <w:text/>
          </w:sdtPr>
          <w:sdtContent>
            <w:tc>
              <w:tcPr>
                <w:tcW w:w="1170" w:type="dxa"/>
              </w:tcPr>
              <w:p w:rsidR="00166A86" w:rsidRPr="00FF6A77" w:rsidRDefault="00B718E0" w:rsidP="00B45EB6">
                <w:pPr>
                  <w:keepNext/>
                  <w:rPr>
                    <w:b/>
                    <w:color w:val="000000"/>
                    <w:sz w:val="18"/>
                    <w:szCs w:val="18"/>
                  </w:rPr>
                </w:pPr>
                <w:r w:rsidRPr="009F7154">
                  <w:rPr>
                    <w:rStyle w:val="PlaceholderText"/>
                  </w:rPr>
                  <w:t>Click here to enter text.</w:t>
                </w:r>
              </w:p>
            </w:tc>
          </w:sdtContent>
        </w:sdt>
      </w:tr>
      <w:tr w:rsidR="008D2645" w:rsidRPr="00FF6A77" w:rsidTr="00B718E0">
        <w:trPr>
          <w:trHeight w:val="1490"/>
        </w:trPr>
        <w:tc>
          <w:tcPr>
            <w:tcW w:w="8010" w:type="dxa"/>
            <w:tcBorders>
              <w:top w:val="single" w:sz="8" w:space="0" w:color="auto"/>
              <w:bottom w:val="single" w:sz="8" w:space="0" w:color="auto"/>
            </w:tcBorders>
            <w:shd w:val="clear" w:color="auto" w:fill="auto"/>
          </w:tcPr>
          <w:p w:rsidR="008D2645" w:rsidRPr="00FF6A77" w:rsidRDefault="008D2645" w:rsidP="008D2645">
            <w:pPr>
              <w:pStyle w:val="ListLeft"/>
              <w:spacing w:after="0"/>
              <w:ind w:left="252" w:hanging="252"/>
              <w:rPr>
                <w:b/>
                <w:sz w:val="18"/>
                <w:szCs w:val="18"/>
              </w:rPr>
            </w:pPr>
            <w:r w:rsidRPr="00FF6A77">
              <w:rPr>
                <w:b/>
                <w:sz w:val="18"/>
                <w:szCs w:val="18"/>
              </w:rPr>
              <w:t>Preconstruction Surveys</w:t>
            </w:r>
          </w:p>
          <w:p w:rsidR="008D2645" w:rsidRPr="00FF6A77" w:rsidRDefault="008D2645" w:rsidP="008D2645">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DefaultPlaceholder_1082065158"/>
            </w:placeholder>
            <w:showingPlcHdr/>
            <w:text/>
          </w:sdtPr>
          <w:sdtContent>
            <w:tc>
              <w:tcPr>
                <w:tcW w:w="1890" w:type="dxa"/>
                <w:tcBorders>
                  <w:top w:val="single" w:sz="8" w:space="0" w:color="auto"/>
                  <w:bottom w:val="single" w:sz="8" w:space="0" w:color="auto"/>
                </w:tcBorders>
              </w:tcPr>
              <w:p w:rsidR="008D2645"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DefaultPlaceholder_1082065158"/>
            </w:placeholder>
            <w:showingPlcHdr/>
            <w:text/>
          </w:sdtPr>
          <w:sdtContent>
            <w:tc>
              <w:tcPr>
                <w:tcW w:w="1980" w:type="dxa"/>
                <w:tcBorders>
                  <w:top w:val="single" w:sz="8" w:space="0" w:color="auto"/>
                  <w:bottom w:val="single" w:sz="8" w:space="0" w:color="auto"/>
                </w:tcBorders>
              </w:tcPr>
              <w:p w:rsidR="008D2645" w:rsidRPr="00FF6A77" w:rsidRDefault="00B718E0" w:rsidP="00B45EB6">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DefaultPlaceholder_1082065158"/>
            </w:placeholder>
            <w:showingPlcHdr/>
            <w:text/>
          </w:sdtPr>
          <w:sdtContent>
            <w:tc>
              <w:tcPr>
                <w:tcW w:w="1170" w:type="dxa"/>
                <w:vMerge w:val="restart"/>
                <w:tcBorders>
                  <w:top w:val="single" w:sz="8" w:space="0" w:color="auto"/>
                  <w:bottom w:val="single" w:sz="8" w:space="0" w:color="auto"/>
                </w:tcBorders>
              </w:tcPr>
              <w:p w:rsidR="008D2645" w:rsidRPr="00FF6A77" w:rsidRDefault="00B718E0" w:rsidP="00B45EB6">
                <w:pPr>
                  <w:keepNext/>
                  <w:rPr>
                    <w:b/>
                    <w:color w:val="000000"/>
                    <w:sz w:val="18"/>
                    <w:szCs w:val="18"/>
                  </w:rPr>
                </w:pPr>
                <w:r w:rsidRPr="009F7154">
                  <w:rPr>
                    <w:rStyle w:val="PlaceholderText"/>
                  </w:rPr>
                  <w:t>Click here to enter text.</w:t>
                </w:r>
              </w:p>
            </w:tc>
          </w:sdtContent>
        </w:sdt>
      </w:tr>
      <w:tr w:rsidR="008D2645" w:rsidRPr="00FF6A77" w:rsidTr="00B718E0">
        <w:trPr>
          <w:trHeight w:val="475"/>
        </w:trPr>
        <w:tc>
          <w:tcPr>
            <w:tcW w:w="8010" w:type="dxa"/>
            <w:tcBorders>
              <w:top w:val="single" w:sz="8" w:space="0" w:color="auto"/>
              <w:bottom w:val="single" w:sz="8" w:space="0" w:color="auto"/>
            </w:tcBorders>
            <w:shd w:val="clear" w:color="auto" w:fill="auto"/>
          </w:tcPr>
          <w:p w:rsidR="008D2645" w:rsidRPr="00FF6A77" w:rsidRDefault="008D2645" w:rsidP="008D2645">
            <w:pPr>
              <w:pStyle w:val="ListLeft"/>
              <w:keepNext/>
              <w:keepLines/>
              <w:spacing w:after="0"/>
              <w:ind w:left="252" w:hanging="252"/>
              <w:rPr>
                <w:b/>
                <w:sz w:val="18"/>
                <w:szCs w:val="18"/>
              </w:rPr>
            </w:pPr>
            <w:r w:rsidRPr="00FF6A77">
              <w:rPr>
                <w:b/>
                <w:sz w:val="18"/>
                <w:szCs w:val="18"/>
              </w:rPr>
              <w:lastRenderedPageBreak/>
              <w:t>Work Timing</w:t>
            </w:r>
          </w:p>
          <w:p w:rsidR="008D2645" w:rsidRPr="00FF6A77" w:rsidRDefault="008D2645" w:rsidP="008D2645">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8D2645" w:rsidRPr="00FF6A77" w:rsidRDefault="008D2645" w:rsidP="008D2645">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DefaultPlaceholder_1082065158"/>
            </w:placeholder>
            <w:showingPlcHdr/>
            <w:text/>
          </w:sdtPr>
          <w:sdtContent>
            <w:tc>
              <w:tcPr>
                <w:tcW w:w="1890" w:type="dxa"/>
                <w:tcBorders>
                  <w:top w:val="single" w:sz="8" w:space="0" w:color="auto"/>
                  <w:bottom w:val="single" w:sz="8" w:space="0" w:color="auto"/>
                </w:tcBorders>
              </w:tcPr>
              <w:p w:rsidR="008D2645"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DefaultPlaceholder_1082065158"/>
            </w:placeholder>
            <w:showingPlcHdr/>
            <w:text/>
          </w:sdtPr>
          <w:sdtContent>
            <w:tc>
              <w:tcPr>
                <w:tcW w:w="1980" w:type="dxa"/>
                <w:tcBorders>
                  <w:top w:val="single" w:sz="8" w:space="0" w:color="auto"/>
                  <w:bottom w:val="single" w:sz="8" w:space="0" w:color="auto"/>
                </w:tcBorders>
              </w:tcPr>
              <w:p w:rsidR="008D2645" w:rsidRPr="00FF6A77" w:rsidRDefault="00B718E0" w:rsidP="00B45EB6">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8D2645" w:rsidRPr="00FF6A77" w:rsidRDefault="008D2645" w:rsidP="00B45EB6">
            <w:pPr>
              <w:keepNext/>
              <w:rPr>
                <w:b/>
                <w:color w:val="000000"/>
                <w:sz w:val="18"/>
                <w:szCs w:val="18"/>
              </w:rPr>
            </w:pPr>
          </w:p>
        </w:tc>
      </w:tr>
      <w:tr w:rsidR="008D2645" w:rsidRPr="00FF6A77" w:rsidTr="00B718E0">
        <w:trPr>
          <w:trHeight w:val="3157"/>
        </w:trPr>
        <w:tc>
          <w:tcPr>
            <w:tcW w:w="8010" w:type="dxa"/>
            <w:tcBorders>
              <w:top w:val="single" w:sz="8" w:space="0" w:color="auto"/>
            </w:tcBorders>
            <w:shd w:val="clear" w:color="auto" w:fill="auto"/>
          </w:tcPr>
          <w:p w:rsidR="008D2645" w:rsidRPr="00FF6A77" w:rsidRDefault="008D2645" w:rsidP="008D2645">
            <w:pPr>
              <w:pStyle w:val="ListLeft"/>
              <w:spacing w:after="0"/>
              <w:ind w:left="252" w:hanging="252"/>
              <w:rPr>
                <w:b/>
                <w:sz w:val="18"/>
                <w:szCs w:val="18"/>
              </w:rPr>
            </w:pPr>
            <w:r w:rsidRPr="00FF6A77">
              <w:rPr>
                <w:b/>
                <w:sz w:val="18"/>
                <w:szCs w:val="18"/>
              </w:rPr>
              <w:t>Dewatering Activities</w:t>
            </w:r>
          </w:p>
          <w:p w:rsidR="008D2645" w:rsidRPr="00FF6A77" w:rsidRDefault="008D2645" w:rsidP="008D2645">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8D2645" w:rsidRPr="00FF6A77" w:rsidRDefault="008D2645" w:rsidP="008D2645">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8D2645" w:rsidRPr="00FF6A77" w:rsidRDefault="008D2645" w:rsidP="008D2645">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8D2645" w:rsidRPr="00FF6A77" w:rsidRDefault="008D2645" w:rsidP="008D2645">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DefaultPlaceholder_1082065158"/>
            </w:placeholder>
            <w:showingPlcHdr/>
            <w:text/>
          </w:sdtPr>
          <w:sdtContent>
            <w:tc>
              <w:tcPr>
                <w:tcW w:w="1890" w:type="dxa"/>
                <w:tcBorders>
                  <w:top w:val="single" w:sz="8" w:space="0" w:color="auto"/>
                </w:tcBorders>
              </w:tcPr>
              <w:p w:rsidR="008D2645"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DefaultPlaceholder_1082065158"/>
            </w:placeholder>
            <w:showingPlcHdr/>
            <w:text/>
          </w:sdtPr>
          <w:sdtContent>
            <w:tc>
              <w:tcPr>
                <w:tcW w:w="1980" w:type="dxa"/>
                <w:tcBorders>
                  <w:top w:val="single" w:sz="8" w:space="0" w:color="auto"/>
                </w:tcBorders>
              </w:tcPr>
              <w:p w:rsidR="008D2645" w:rsidRPr="00FF6A77" w:rsidRDefault="00B718E0" w:rsidP="00B45EB6">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DefaultPlaceholder_1082065158"/>
            </w:placeholder>
            <w:showingPlcHdr/>
            <w:text/>
          </w:sdtPr>
          <w:sdtContent>
            <w:tc>
              <w:tcPr>
                <w:tcW w:w="1170" w:type="dxa"/>
                <w:tcBorders>
                  <w:top w:val="single" w:sz="8" w:space="0" w:color="auto"/>
                </w:tcBorders>
              </w:tcPr>
              <w:p w:rsidR="008D2645" w:rsidRPr="00FF6A77" w:rsidRDefault="00B718E0" w:rsidP="00B45EB6">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tcBorders>
              <w:bottom w:val="single" w:sz="8" w:space="0" w:color="auto"/>
            </w:tcBorders>
            <w:shd w:val="clear" w:color="auto" w:fill="auto"/>
          </w:tcPr>
          <w:p w:rsidR="00166A86" w:rsidRPr="00FF6A77" w:rsidRDefault="00166A86" w:rsidP="008D2645">
            <w:pPr>
              <w:pStyle w:val="ListLeft"/>
              <w:spacing w:after="0"/>
              <w:ind w:left="252" w:hanging="252"/>
              <w:rPr>
                <w:b/>
                <w:sz w:val="18"/>
                <w:szCs w:val="18"/>
              </w:rPr>
            </w:pPr>
            <w:r w:rsidRPr="00FF6A77">
              <w:rPr>
                <w:b/>
                <w:sz w:val="18"/>
                <w:szCs w:val="18"/>
              </w:rPr>
              <w:t>Exotic Species Removal</w:t>
            </w:r>
          </w:p>
          <w:p w:rsidR="00166A86" w:rsidRPr="00FF6A77" w:rsidRDefault="00166A86" w:rsidP="008D2645">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DefaultPlaceholder_1082065158"/>
            </w:placeholder>
            <w:showingPlcHdr/>
            <w:text/>
          </w:sdtPr>
          <w:sdtContent>
            <w:tc>
              <w:tcPr>
                <w:tcW w:w="1890" w:type="dxa"/>
                <w:tcBorders>
                  <w:bottom w:val="single" w:sz="8" w:space="0" w:color="auto"/>
                </w:tcBorders>
              </w:tcPr>
              <w:p w:rsidR="00166A86"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DefaultPlaceholder_1082065158"/>
            </w:placeholder>
            <w:showingPlcHdr/>
            <w:text/>
          </w:sdtPr>
          <w:sdtContent>
            <w:tc>
              <w:tcPr>
                <w:tcW w:w="1980" w:type="dxa"/>
                <w:tcBorders>
                  <w:bottom w:val="single" w:sz="8" w:space="0" w:color="auto"/>
                </w:tcBorders>
              </w:tcPr>
              <w:p w:rsidR="00166A86" w:rsidRPr="00FF6A77" w:rsidRDefault="00B718E0" w:rsidP="00B45EB6">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DefaultPlaceholder_1082065158"/>
            </w:placeholder>
            <w:showingPlcHdr/>
            <w:text/>
          </w:sdtPr>
          <w:sdtContent>
            <w:tc>
              <w:tcPr>
                <w:tcW w:w="1170" w:type="dxa"/>
                <w:tcBorders>
                  <w:top w:val="single" w:sz="4" w:space="0" w:color="auto"/>
                  <w:bottom w:val="single" w:sz="8" w:space="0" w:color="auto"/>
                </w:tcBorders>
              </w:tcPr>
              <w:p w:rsidR="00166A86" w:rsidRPr="00FF6A77" w:rsidRDefault="00B718E0" w:rsidP="00B45EB6">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tcBorders>
              <w:top w:val="single" w:sz="8" w:space="0" w:color="auto"/>
              <w:bottom w:val="single" w:sz="8" w:space="0" w:color="auto"/>
            </w:tcBorders>
            <w:shd w:val="clear" w:color="auto" w:fill="auto"/>
          </w:tcPr>
          <w:p w:rsidR="00166A86" w:rsidRPr="00FF6A77" w:rsidRDefault="00166A86" w:rsidP="008D2645">
            <w:pPr>
              <w:pStyle w:val="ListLeft"/>
              <w:spacing w:after="0"/>
              <w:ind w:left="252" w:hanging="252"/>
              <w:rPr>
                <w:b/>
                <w:sz w:val="18"/>
                <w:szCs w:val="18"/>
              </w:rPr>
            </w:pPr>
            <w:r w:rsidRPr="00FF6A77">
              <w:rPr>
                <w:b/>
                <w:sz w:val="18"/>
                <w:szCs w:val="18"/>
              </w:rPr>
              <w:t>Site Restoration</w:t>
            </w:r>
          </w:p>
          <w:p w:rsidR="00166A86" w:rsidRPr="00FF6A77" w:rsidRDefault="00166A86" w:rsidP="008D2645">
            <w:pPr>
              <w:pStyle w:val="ListLeftB"/>
              <w:spacing w:after="0"/>
              <w:ind w:left="630"/>
              <w:rPr>
                <w:sz w:val="18"/>
                <w:szCs w:val="18"/>
              </w:rPr>
            </w:pPr>
            <w:r w:rsidRPr="00FF6A77">
              <w:rPr>
                <w:sz w:val="18"/>
                <w:szCs w:val="18"/>
              </w:rPr>
              <w:t xml:space="preserve">After completion of any work activities that would temporarily disturb California red-legged frog aquatic or upland habitat, temporarily disturbed areas shall be restored to their original condition, including </w:t>
            </w:r>
            <w:proofErr w:type="spellStart"/>
            <w:r w:rsidRPr="00FF6A77">
              <w:rPr>
                <w:sz w:val="18"/>
                <w:szCs w:val="18"/>
              </w:rPr>
              <w:t>prework</w:t>
            </w:r>
            <w:proofErr w:type="spellEnd"/>
            <w:r w:rsidRPr="00FF6A77">
              <w:rPr>
                <w:sz w:val="18"/>
                <w:szCs w:val="18"/>
              </w:rPr>
              <w:t xml:space="preserve"> topography and hydrology. Disturbed areas shall be reseeded, if necessary, using local, native, noninvasive species seed mixes. All such restoration work shall be conducted under the supervision of an Approved Biologist.</w:t>
            </w:r>
          </w:p>
          <w:p w:rsidR="00166A86" w:rsidRPr="00FF6A77" w:rsidRDefault="00166A86" w:rsidP="008D2645">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DefaultPlaceholder_1082065158"/>
            </w:placeholder>
            <w:showingPlcHdr/>
            <w:text/>
          </w:sdtPr>
          <w:sdtContent>
            <w:tc>
              <w:tcPr>
                <w:tcW w:w="1890" w:type="dxa"/>
                <w:tcBorders>
                  <w:top w:val="single" w:sz="8" w:space="0" w:color="auto"/>
                  <w:bottom w:val="single" w:sz="8" w:space="0" w:color="auto"/>
                </w:tcBorders>
              </w:tcPr>
              <w:p w:rsidR="00166A86"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DefaultPlaceholder_1082065158"/>
            </w:placeholder>
            <w:showingPlcHdr/>
            <w:text/>
          </w:sdtPr>
          <w:sdtContent>
            <w:tc>
              <w:tcPr>
                <w:tcW w:w="1980" w:type="dxa"/>
                <w:tcBorders>
                  <w:top w:val="single" w:sz="8" w:space="0" w:color="auto"/>
                  <w:bottom w:val="single" w:sz="8" w:space="0" w:color="auto"/>
                </w:tcBorders>
              </w:tcPr>
              <w:p w:rsidR="00166A86" w:rsidRPr="00FF6A77" w:rsidRDefault="00B718E0" w:rsidP="00B45EB6">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DefaultPlaceholder_1082065158"/>
            </w:placeholder>
            <w:showingPlcHdr/>
            <w:text/>
          </w:sdtPr>
          <w:sdtContent>
            <w:tc>
              <w:tcPr>
                <w:tcW w:w="1170" w:type="dxa"/>
                <w:vMerge w:val="restart"/>
                <w:tcBorders>
                  <w:top w:val="single" w:sz="8" w:space="0" w:color="auto"/>
                  <w:bottom w:val="single" w:sz="8" w:space="0" w:color="auto"/>
                </w:tcBorders>
              </w:tcPr>
              <w:p w:rsidR="00166A86" w:rsidRPr="00FF6A77" w:rsidRDefault="00B718E0" w:rsidP="00B45EB6">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tcBorders>
              <w:top w:val="single" w:sz="8" w:space="0" w:color="auto"/>
            </w:tcBorders>
            <w:shd w:val="clear" w:color="auto" w:fill="auto"/>
          </w:tcPr>
          <w:p w:rsidR="00166A86" w:rsidRPr="00FF6A77" w:rsidRDefault="00166A86" w:rsidP="008D2645">
            <w:pPr>
              <w:pStyle w:val="ListLeft"/>
              <w:spacing w:after="0"/>
              <w:ind w:left="252" w:hanging="252"/>
              <w:rPr>
                <w:b/>
                <w:sz w:val="18"/>
                <w:szCs w:val="18"/>
              </w:rPr>
            </w:pPr>
            <w:r w:rsidRPr="00FF6A77">
              <w:rPr>
                <w:b/>
                <w:sz w:val="18"/>
                <w:szCs w:val="18"/>
              </w:rPr>
              <w:t>Firebreak Construction and Maintenance</w:t>
            </w:r>
          </w:p>
          <w:p w:rsidR="00166A86" w:rsidRPr="00FF6A77" w:rsidRDefault="00166A86" w:rsidP="008D2645">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166A86" w:rsidRPr="00FF6A77" w:rsidRDefault="00166A86" w:rsidP="008D2645">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166A86" w:rsidRPr="00FF6A77" w:rsidRDefault="00166A86" w:rsidP="008D2645">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166A86" w:rsidRPr="00FF6A77" w:rsidRDefault="00166A86" w:rsidP="008D2645">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166A86" w:rsidRPr="00FF6A77" w:rsidRDefault="00166A86" w:rsidP="008D2645">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DefaultPlaceholder_1082065158"/>
            </w:placeholder>
            <w:showingPlcHdr/>
            <w:text/>
          </w:sdtPr>
          <w:sdtContent>
            <w:tc>
              <w:tcPr>
                <w:tcW w:w="1890" w:type="dxa"/>
                <w:tcBorders>
                  <w:top w:val="single" w:sz="8" w:space="0" w:color="auto"/>
                </w:tcBorders>
              </w:tcPr>
              <w:p w:rsidR="00166A86"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DefaultPlaceholder_1082065158"/>
            </w:placeholder>
            <w:showingPlcHdr/>
            <w:text/>
          </w:sdtPr>
          <w:sdtContent>
            <w:tc>
              <w:tcPr>
                <w:tcW w:w="1980" w:type="dxa"/>
                <w:tcBorders>
                  <w:top w:val="single" w:sz="8" w:space="0" w:color="auto"/>
                </w:tcBorders>
              </w:tcPr>
              <w:p w:rsidR="00166A86" w:rsidRPr="00FF6A77" w:rsidRDefault="00B718E0" w:rsidP="00B45EB6">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166A86" w:rsidRPr="00FF6A77" w:rsidRDefault="00166A86" w:rsidP="00B45EB6">
            <w:pPr>
              <w:keepNext/>
              <w:rPr>
                <w:b/>
                <w:color w:val="000000"/>
                <w:sz w:val="18"/>
                <w:szCs w:val="18"/>
              </w:rPr>
            </w:pPr>
          </w:p>
        </w:tc>
      </w:tr>
      <w:tr w:rsidR="00166A86" w:rsidRPr="00FF6A77" w:rsidTr="00B718E0">
        <w:trPr>
          <w:trHeight w:val="576"/>
        </w:trPr>
        <w:tc>
          <w:tcPr>
            <w:tcW w:w="13050" w:type="dxa"/>
            <w:gridSpan w:val="4"/>
            <w:shd w:val="clear" w:color="auto" w:fill="auto"/>
          </w:tcPr>
          <w:p w:rsidR="00166A86" w:rsidRPr="00FF6A77" w:rsidRDefault="00166A86" w:rsidP="00B45EB6">
            <w:pPr>
              <w:keepNext/>
              <w:jc w:val="center"/>
              <w:rPr>
                <w:b/>
                <w:color w:val="000000"/>
                <w:sz w:val="18"/>
                <w:szCs w:val="18"/>
              </w:rPr>
            </w:pPr>
            <w:r w:rsidRPr="00FF6A77">
              <w:rPr>
                <w:b/>
                <w:color w:val="000000"/>
                <w:sz w:val="18"/>
                <w:szCs w:val="18"/>
              </w:rPr>
              <w:t>CALIFORNIA RED-LEGGED FROG:</w:t>
            </w:r>
          </w:p>
          <w:p w:rsidR="00EB4C09" w:rsidRPr="00FF6A77" w:rsidRDefault="00166A86" w:rsidP="00B45EB6">
            <w:pPr>
              <w:keepNext/>
              <w:jc w:val="center"/>
              <w:rPr>
                <w:b/>
                <w:sz w:val="18"/>
                <w:szCs w:val="18"/>
              </w:rPr>
            </w:pPr>
            <w:r w:rsidRPr="00FF6A77">
              <w:rPr>
                <w:b/>
                <w:sz w:val="18"/>
                <w:szCs w:val="18"/>
              </w:rPr>
              <w:t xml:space="preserve">MITIGATION MEASURES IN SECTION 6.4.3 WITHIN THE CALIFORNIA RED-LEGGED FROG CONSERVATION AREA (FIGURE 4-14) AND </w:t>
            </w:r>
          </w:p>
          <w:p w:rsidR="00166A86" w:rsidRPr="00FF6A77" w:rsidRDefault="00166A86" w:rsidP="00B45EB6">
            <w:pPr>
              <w:keepNext/>
              <w:jc w:val="center"/>
              <w:rPr>
                <w:b/>
                <w:color w:val="000000"/>
                <w:sz w:val="18"/>
                <w:szCs w:val="18"/>
              </w:rPr>
            </w:pPr>
            <w:r w:rsidRPr="00FF6A77">
              <w:rPr>
                <w:b/>
                <w:sz w:val="18"/>
                <w:szCs w:val="18"/>
              </w:rPr>
              <w:t>INNER COAST RANGE NATURAL COMMUNITY (FIGURE 3-5)</w:t>
            </w:r>
          </w:p>
        </w:tc>
      </w:tr>
      <w:tr w:rsidR="00166A86" w:rsidRPr="00FF6A77" w:rsidTr="00B718E0">
        <w:trPr>
          <w:trHeight w:val="475"/>
        </w:trPr>
        <w:tc>
          <w:tcPr>
            <w:tcW w:w="8010" w:type="dxa"/>
            <w:shd w:val="clear" w:color="auto" w:fill="auto"/>
          </w:tcPr>
          <w:p w:rsidR="00166A86" w:rsidRPr="00FF6A77" w:rsidRDefault="00166A86" w:rsidP="00B45EB6">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166A86" w:rsidRPr="00FF6A77" w:rsidRDefault="00166A86" w:rsidP="00B45EB6">
            <w:pPr>
              <w:rPr>
                <w:b/>
                <w:sz w:val="18"/>
                <w:szCs w:val="18"/>
              </w:rPr>
            </w:pPr>
          </w:p>
          <w:p w:rsidR="00166A86" w:rsidRPr="00FF6A77" w:rsidRDefault="00166A86" w:rsidP="00B45EB6">
            <w:pPr>
              <w:rPr>
                <w:b/>
                <w:sz w:val="18"/>
                <w:szCs w:val="18"/>
              </w:rPr>
            </w:pPr>
            <w:r w:rsidRPr="00FF6A77">
              <w:rPr>
                <w:b/>
                <w:sz w:val="18"/>
                <w:szCs w:val="18"/>
              </w:rPr>
              <w:t xml:space="preserve">RLF MIT 1: Mitigation for Direct and Indirect Impacts to Upland Habitat in the California Red-Legged Frog Conservation Area- </w:t>
            </w:r>
          </w:p>
          <w:p w:rsidR="00166A86" w:rsidRPr="00FF6A77" w:rsidRDefault="00166A86" w:rsidP="00B45EB6">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DefaultPlaceholder_1082065158"/>
            </w:placeholder>
            <w:showingPlcHdr/>
            <w:text/>
          </w:sdtPr>
          <w:sdtContent>
            <w:tc>
              <w:tcPr>
                <w:tcW w:w="1980" w:type="dxa"/>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DefaultPlaceholder_1082065158"/>
            </w:placeholder>
            <w:showingPlcHdr/>
            <w:text/>
          </w:sdtPr>
          <w:sdtContent>
            <w:tc>
              <w:tcPr>
                <w:tcW w:w="1170" w:type="dxa"/>
                <w:tcBorders>
                  <w:bottom w:val="single" w:sz="4"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tcBorders>
              <w:bottom w:val="single" w:sz="8" w:space="0" w:color="auto"/>
            </w:tcBorders>
            <w:shd w:val="clear" w:color="auto" w:fill="auto"/>
          </w:tcPr>
          <w:p w:rsidR="00166A86" w:rsidRPr="00FF6A77" w:rsidRDefault="00166A86" w:rsidP="00B45EB6">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DefaultPlaceholder_1082065158"/>
            </w:placeholder>
            <w:showingPlcHdr/>
            <w:text/>
          </w:sdtPr>
          <w:sdtContent>
            <w:tc>
              <w:tcPr>
                <w:tcW w:w="1890" w:type="dxa"/>
                <w:tcBorders>
                  <w:bottom w:val="single" w:sz="8" w:space="0" w:color="auto"/>
                </w:tcBorders>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DefaultPlaceholder_1082065158"/>
            </w:placeholder>
            <w:showingPlcHdr/>
            <w:text/>
          </w:sdtPr>
          <w:sdtContent>
            <w:tc>
              <w:tcPr>
                <w:tcW w:w="1980" w:type="dxa"/>
                <w:tcBorders>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DefaultPlaceholder_1082065158"/>
            </w:placeholder>
            <w:showingPlcHdr/>
            <w:text/>
          </w:sdtPr>
          <w:sdtContent>
            <w:tc>
              <w:tcPr>
                <w:tcW w:w="1170" w:type="dxa"/>
                <w:tcBorders>
                  <w:top w:val="single" w:sz="4" w:space="0" w:color="auto"/>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blPrEx>
          <w:tblBorders>
            <w:top w:val="single" w:sz="8" w:space="0" w:color="auto"/>
            <w:bottom w:val="single" w:sz="8" w:space="0" w:color="auto"/>
          </w:tblBorders>
        </w:tblPrEx>
        <w:trPr>
          <w:trHeight w:val="259"/>
        </w:trPr>
        <w:tc>
          <w:tcPr>
            <w:tcW w:w="8010" w:type="dxa"/>
            <w:shd w:val="clear" w:color="auto" w:fill="auto"/>
          </w:tcPr>
          <w:p w:rsidR="00166A86" w:rsidRPr="00FF6A77" w:rsidRDefault="00166A86" w:rsidP="00D96F77">
            <w:pPr>
              <w:keepNext/>
              <w:rPr>
                <w:sz w:val="18"/>
                <w:szCs w:val="18"/>
              </w:rPr>
            </w:pPr>
            <w:r w:rsidRPr="00FF6A77">
              <w:rPr>
                <w:b/>
                <w:sz w:val="18"/>
                <w:szCs w:val="18"/>
              </w:rPr>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166A86" w:rsidRPr="00EF4DB2" w:rsidRDefault="00166A86" w:rsidP="00D96F77">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DefaultPlaceholder_1082065158"/>
            </w:placeholder>
            <w:showingPlcHdr/>
            <w:text/>
          </w:sdtPr>
          <w:sdtContent>
            <w:tc>
              <w:tcPr>
                <w:tcW w:w="1890" w:type="dxa"/>
              </w:tcPr>
              <w:p w:rsidR="00166A86" w:rsidRPr="00FF6A77" w:rsidRDefault="00B718E0" w:rsidP="00B718E0">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DefaultPlaceholder_1082065158"/>
            </w:placeholder>
            <w:showingPlcHdr/>
            <w:text/>
          </w:sdtPr>
          <w:sdtContent>
            <w:tc>
              <w:tcPr>
                <w:tcW w:w="1980" w:type="dxa"/>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DefaultPlaceholder_1082065158"/>
            </w:placeholder>
            <w:showingPlcHdr/>
            <w:text/>
          </w:sdtPr>
          <w:sdtContent>
            <w:tc>
              <w:tcPr>
                <w:tcW w:w="1170" w:type="dxa"/>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blPrEx>
          <w:tblBorders>
            <w:top w:val="single" w:sz="8" w:space="0" w:color="auto"/>
            <w:bottom w:val="single" w:sz="8" w:space="0" w:color="auto"/>
          </w:tblBorders>
        </w:tblPrEx>
        <w:trPr>
          <w:trHeight w:val="259"/>
        </w:trPr>
        <w:tc>
          <w:tcPr>
            <w:tcW w:w="8010" w:type="dxa"/>
            <w:shd w:val="clear" w:color="auto" w:fill="auto"/>
          </w:tcPr>
          <w:p w:rsidR="00166A86" w:rsidRPr="00FF6A77" w:rsidRDefault="00166A86" w:rsidP="00B45EB6">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 xml:space="preserve">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w:t>
            </w:r>
            <w:proofErr w:type="spellStart"/>
            <w:r w:rsidRPr="00FF6A77">
              <w:rPr>
                <w:sz w:val="18"/>
                <w:szCs w:val="18"/>
              </w:rPr>
              <w:t>pepperweed</w:t>
            </w:r>
            <w:proofErr w:type="spellEnd"/>
            <w:r w:rsidRPr="00FF6A77">
              <w:rPr>
                <w:sz w:val="18"/>
                <w:szCs w:val="18"/>
              </w:rPr>
              <w:t>).</w:t>
            </w:r>
          </w:p>
        </w:tc>
        <w:sdt>
          <w:sdtPr>
            <w:rPr>
              <w:bCs/>
              <w:color w:val="000000"/>
              <w:sz w:val="18"/>
              <w:szCs w:val="18"/>
            </w:rPr>
            <w:id w:val="-11838067"/>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DefaultPlaceholder_1082065158"/>
            </w:placeholder>
            <w:showingPlcHdr/>
            <w:text/>
          </w:sdtPr>
          <w:sdtContent>
            <w:tc>
              <w:tcPr>
                <w:tcW w:w="1980" w:type="dxa"/>
              </w:tcPr>
              <w:p w:rsidR="00166A86" w:rsidRPr="00FF6A77" w:rsidRDefault="00B718E0" w:rsidP="00B718E0">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DefaultPlaceholder_1082065158"/>
            </w:placeholder>
            <w:showingPlcHdr/>
            <w:text/>
          </w:sdtPr>
          <w:sdtContent>
            <w:tc>
              <w:tcPr>
                <w:tcW w:w="1170" w:type="dxa"/>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8D2645" w:rsidRPr="00FF6A77" w:rsidTr="00B718E0">
        <w:trPr>
          <w:trHeight w:val="862"/>
        </w:trPr>
        <w:tc>
          <w:tcPr>
            <w:tcW w:w="8010" w:type="dxa"/>
            <w:tcBorders>
              <w:top w:val="single" w:sz="8" w:space="0" w:color="auto"/>
              <w:bottom w:val="single" w:sz="8" w:space="0" w:color="auto"/>
            </w:tcBorders>
            <w:shd w:val="clear" w:color="auto" w:fill="auto"/>
          </w:tcPr>
          <w:p w:rsidR="008D2645" w:rsidRPr="00FF6A77" w:rsidRDefault="008D2645" w:rsidP="00B45EB6">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DefaultPlaceholder_1082065158"/>
            </w:placeholder>
            <w:showingPlcHdr/>
            <w:text/>
          </w:sdtPr>
          <w:sdtContent>
            <w:tc>
              <w:tcPr>
                <w:tcW w:w="1890" w:type="dxa"/>
                <w:tcBorders>
                  <w:top w:val="single" w:sz="8" w:space="0" w:color="auto"/>
                  <w:bottom w:val="single" w:sz="8" w:space="0" w:color="auto"/>
                </w:tcBorders>
              </w:tcPr>
              <w:p w:rsidR="008D2645" w:rsidRPr="00FF6A77" w:rsidRDefault="00B718E0" w:rsidP="00B45EB6">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DefaultPlaceholder_1082065158"/>
            </w:placeholder>
            <w:showingPlcHdr/>
            <w:text/>
          </w:sdtPr>
          <w:sdtContent>
            <w:tc>
              <w:tcPr>
                <w:tcW w:w="1980" w:type="dxa"/>
                <w:tcBorders>
                  <w:top w:val="single" w:sz="8" w:space="0" w:color="auto"/>
                  <w:bottom w:val="single" w:sz="8" w:space="0" w:color="auto"/>
                </w:tcBorders>
              </w:tcPr>
              <w:p w:rsidR="008D2645" w:rsidRPr="00FF6A77" w:rsidRDefault="00B718E0" w:rsidP="00B45EB6">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DefaultPlaceholder_1082065158"/>
            </w:placeholder>
            <w:showingPlcHdr/>
            <w:text/>
          </w:sdtPr>
          <w:sdtContent>
            <w:tc>
              <w:tcPr>
                <w:tcW w:w="1170" w:type="dxa"/>
                <w:tcBorders>
                  <w:top w:val="single" w:sz="8" w:space="0" w:color="auto"/>
                  <w:bottom w:val="single" w:sz="8" w:space="0" w:color="auto"/>
                </w:tcBorders>
              </w:tcPr>
              <w:p w:rsidR="008D2645" w:rsidRPr="00FF6A77" w:rsidRDefault="00B718E0" w:rsidP="00B45EB6">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tcBorders>
              <w:top w:val="single" w:sz="8" w:space="0" w:color="auto"/>
              <w:bottom w:val="single" w:sz="8" w:space="0" w:color="auto"/>
            </w:tcBorders>
            <w:shd w:val="clear" w:color="auto" w:fill="auto"/>
          </w:tcPr>
          <w:p w:rsidR="00166A86" w:rsidRPr="00FF6A77" w:rsidRDefault="00166A86" w:rsidP="00B45EB6">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166A86" w:rsidRPr="00FF6A77" w:rsidRDefault="00166A86" w:rsidP="00B45EB6">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DefaultPlaceholder_1082065158"/>
            </w:placeholder>
            <w:showingPlcHdr/>
            <w:text/>
          </w:sdtPr>
          <w:sdtContent>
            <w:tc>
              <w:tcPr>
                <w:tcW w:w="1890" w:type="dxa"/>
                <w:tcBorders>
                  <w:top w:val="single" w:sz="8" w:space="0" w:color="auto"/>
                  <w:bottom w:val="single" w:sz="8" w:space="0" w:color="auto"/>
                </w:tcBorders>
              </w:tcPr>
              <w:p w:rsidR="00166A86" w:rsidRPr="00FF6A77" w:rsidRDefault="00B718E0" w:rsidP="00B718E0">
                <w:pPr>
                  <w:rPr>
                    <w:bCs/>
                    <w:color w:val="000000"/>
                    <w:sz w:val="18"/>
                    <w:szCs w:val="18"/>
                  </w:rPr>
                </w:pPr>
                <w:r w:rsidRPr="009F7154">
                  <w:rPr>
                    <w:rStyle w:val="PlaceholderText"/>
                  </w:rPr>
                  <w:t>Click here to enter text.</w:t>
                </w:r>
              </w:p>
            </w:tc>
          </w:sdtContent>
        </w:sdt>
        <w:sdt>
          <w:sdtPr>
            <w:rPr>
              <w:sz w:val="18"/>
              <w:szCs w:val="18"/>
            </w:rPr>
            <w:id w:val="1351063338"/>
            <w:placeholder>
              <w:docPart w:val="DefaultPlaceholder_1082065158"/>
            </w:placeholder>
            <w:showingPlcHdr/>
            <w:text/>
          </w:sdtPr>
          <w:sdtContent>
            <w:tc>
              <w:tcPr>
                <w:tcW w:w="1980" w:type="dxa"/>
                <w:tcBorders>
                  <w:top w:val="single" w:sz="8" w:space="0" w:color="auto"/>
                  <w:bottom w:val="single" w:sz="8" w:space="0" w:color="auto"/>
                </w:tcBorders>
              </w:tcPr>
              <w:p w:rsidR="00166A86" w:rsidRPr="00FF6A77" w:rsidRDefault="00B718E0" w:rsidP="00B718E0">
                <w:pPr>
                  <w:rPr>
                    <w:sz w:val="18"/>
                    <w:szCs w:val="18"/>
                  </w:rPr>
                </w:pPr>
                <w:r w:rsidRPr="009F7154">
                  <w:rPr>
                    <w:rStyle w:val="PlaceholderText"/>
                  </w:rPr>
                  <w:t>Click here to enter text.</w:t>
                </w:r>
              </w:p>
            </w:tc>
          </w:sdtContent>
        </w:sdt>
        <w:sdt>
          <w:sdtPr>
            <w:rPr>
              <w:b/>
              <w:color w:val="000000"/>
              <w:sz w:val="18"/>
              <w:szCs w:val="18"/>
            </w:rPr>
            <w:id w:val="548118860"/>
            <w:placeholder>
              <w:docPart w:val="DefaultPlaceholder_1082065158"/>
            </w:placeholder>
            <w:showingPlcHdr/>
            <w:text/>
          </w:sdtPr>
          <w:sdtContent>
            <w:tc>
              <w:tcPr>
                <w:tcW w:w="1170" w:type="dxa"/>
                <w:tcBorders>
                  <w:top w:val="single" w:sz="8" w:space="0" w:color="auto"/>
                  <w:bottom w:val="single" w:sz="8"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286"/>
        </w:trPr>
        <w:tc>
          <w:tcPr>
            <w:tcW w:w="8010" w:type="dxa"/>
            <w:tcBorders>
              <w:top w:val="single" w:sz="8" w:space="0" w:color="auto"/>
            </w:tcBorders>
            <w:shd w:val="clear" w:color="auto" w:fill="auto"/>
          </w:tcPr>
          <w:p w:rsidR="00166A86" w:rsidRPr="00FF6A77" w:rsidRDefault="00166A86" w:rsidP="00B45EB6">
            <w:pPr>
              <w:pStyle w:val="BodyText"/>
              <w:rPr>
                <w:b/>
                <w:sz w:val="18"/>
                <w:szCs w:val="18"/>
              </w:rPr>
            </w:pPr>
            <w:r w:rsidRPr="00FF6A77">
              <w:rPr>
                <w:b/>
                <w:sz w:val="18"/>
                <w:szCs w:val="18"/>
              </w:rPr>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DefaultPlaceholder_1082065158"/>
            </w:placeholder>
            <w:showingPlcHdr/>
            <w:text/>
          </w:sdtPr>
          <w:sdtContent>
            <w:tc>
              <w:tcPr>
                <w:tcW w:w="1890" w:type="dxa"/>
                <w:tcBorders>
                  <w:top w:val="single" w:sz="8" w:space="0" w:color="auto"/>
                </w:tcBorders>
              </w:tcPr>
              <w:p w:rsidR="00166A86" w:rsidRPr="00FF6A77" w:rsidRDefault="00B718E0" w:rsidP="00B718E0">
                <w:pPr>
                  <w:rPr>
                    <w:bCs/>
                    <w:color w:val="000000"/>
                    <w:sz w:val="18"/>
                    <w:szCs w:val="18"/>
                  </w:rPr>
                </w:pPr>
                <w:r w:rsidRPr="009F7154">
                  <w:rPr>
                    <w:rStyle w:val="PlaceholderText"/>
                  </w:rPr>
                  <w:t>Click here to enter text.</w:t>
                </w:r>
              </w:p>
            </w:tc>
          </w:sdtContent>
        </w:sdt>
        <w:sdt>
          <w:sdtPr>
            <w:rPr>
              <w:sz w:val="18"/>
              <w:szCs w:val="18"/>
            </w:rPr>
            <w:id w:val="-800766584"/>
            <w:placeholder>
              <w:docPart w:val="DefaultPlaceholder_1082065158"/>
            </w:placeholder>
            <w:showingPlcHdr/>
            <w:text/>
          </w:sdtPr>
          <w:sdtContent>
            <w:tc>
              <w:tcPr>
                <w:tcW w:w="1980" w:type="dxa"/>
                <w:tcBorders>
                  <w:top w:val="single" w:sz="8" w:space="0" w:color="auto"/>
                  <w:bottom w:val="single" w:sz="4" w:space="0" w:color="auto"/>
                </w:tcBorders>
              </w:tcPr>
              <w:p w:rsidR="00166A86" w:rsidRPr="00FF6A77" w:rsidRDefault="00B718E0" w:rsidP="00B718E0">
                <w:pPr>
                  <w:rPr>
                    <w:sz w:val="18"/>
                    <w:szCs w:val="18"/>
                  </w:rPr>
                </w:pPr>
                <w:r w:rsidRPr="009F7154">
                  <w:rPr>
                    <w:rStyle w:val="PlaceholderText"/>
                  </w:rPr>
                  <w:t>Click here to enter text.</w:t>
                </w:r>
              </w:p>
            </w:tc>
          </w:sdtContent>
        </w:sdt>
        <w:sdt>
          <w:sdtPr>
            <w:rPr>
              <w:b/>
              <w:color w:val="000000"/>
              <w:sz w:val="18"/>
              <w:szCs w:val="18"/>
            </w:rPr>
            <w:id w:val="-1077659068"/>
            <w:placeholder>
              <w:docPart w:val="DefaultPlaceholder_1082065158"/>
            </w:placeholder>
            <w:showingPlcHdr/>
            <w:text/>
          </w:sdtPr>
          <w:sdtContent>
            <w:tc>
              <w:tcPr>
                <w:tcW w:w="1170" w:type="dxa"/>
                <w:tcBorders>
                  <w:top w:val="single" w:sz="8" w:space="0" w:color="auto"/>
                  <w:bottom w:val="single" w:sz="4"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shd w:val="clear" w:color="auto" w:fill="auto"/>
          </w:tcPr>
          <w:p w:rsidR="00166A86" w:rsidRPr="00FF6A77" w:rsidRDefault="00166A86" w:rsidP="00B45EB6">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sz w:val="18"/>
              <w:szCs w:val="18"/>
            </w:rPr>
            <w:id w:val="1283305687"/>
            <w:placeholder>
              <w:docPart w:val="DefaultPlaceholder_1082065158"/>
            </w:placeholder>
            <w:showingPlcHdr/>
            <w:text/>
          </w:sdtPr>
          <w:sdtContent>
            <w:tc>
              <w:tcPr>
                <w:tcW w:w="1980" w:type="dxa"/>
              </w:tcPr>
              <w:p w:rsidR="00166A86" w:rsidRPr="00FF6A77" w:rsidRDefault="00B718E0" w:rsidP="00B718E0">
                <w:pPr>
                  <w:rPr>
                    <w:sz w:val="18"/>
                    <w:szCs w:val="18"/>
                  </w:rPr>
                </w:pPr>
                <w:r w:rsidRPr="009F7154">
                  <w:rPr>
                    <w:rStyle w:val="PlaceholderText"/>
                  </w:rPr>
                  <w:t>Click here to enter text.</w:t>
                </w:r>
              </w:p>
            </w:tc>
          </w:sdtContent>
        </w:sdt>
        <w:sdt>
          <w:sdtPr>
            <w:rPr>
              <w:b/>
              <w:color w:val="000000"/>
              <w:sz w:val="18"/>
              <w:szCs w:val="18"/>
            </w:rPr>
            <w:id w:val="-1507588336"/>
            <w:placeholder>
              <w:docPart w:val="DefaultPlaceholder_1082065158"/>
            </w:placeholder>
            <w:showingPlcHdr/>
            <w:text/>
          </w:sdtPr>
          <w:sdtContent>
            <w:tc>
              <w:tcPr>
                <w:tcW w:w="1170" w:type="dxa"/>
                <w:tcBorders>
                  <w:top w:val="single" w:sz="4" w:space="0" w:color="auto"/>
                  <w:bottom w:val="single" w:sz="4"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178"/>
        </w:trPr>
        <w:tc>
          <w:tcPr>
            <w:tcW w:w="8010" w:type="dxa"/>
            <w:shd w:val="clear" w:color="auto" w:fill="auto"/>
          </w:tcPr>
          <w:p w:rsidR="00166A86" w:rsidRPr="00FF6A77" w:rsidRDefault="00166A86" w:rsidP="00B45EB6">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sz w:val="18"/>
              <w:szCs w:val="18"/>
            </w:rPr>
            <w:id w:val="1456295178"/>
            <w:placeholder>
              <w:docPart w:val="DefaultPlaceholder_1082065158"/>
            </w:placeholder>
            <w:showingPlcHdr/>
            <w:text/>
          </w:sdtPr>
          <w:sdtContent>
            <w:tc>
              <w:tcPr>
                <w:tcW w:w="1980" w:type="dxa"/>
              </w:tcPr>
              <w:p w:rsidR="00166A86" w:rsidRPr="00FF6A77" w:rsidRDefault="00B718E0" w:rsidP="00B718E0">
                <w:pPr>
                  <w:rPr>
                    <w:sz w:val="18"/>
                    <w:szCs w:val="18"/>
                  </w:rPr>
                </w:pPr>
                <w:r w:rsidRPr="009F7154">
                  <w:rPr>
                    <w:rStyle w:val="PlaceholderText"/>
                  </w:rPr>
                  <w:t>Click here to enter text.</w:t>
                </w:r>
              </w:p>
            </w:tc>
          </w:sdtContent>
        </w:sdt>
        <w:sdt>
          <w:sdtPr>
            <w:rPr>
              <w:b/>
              <w:color w:val="000000"/>
              <w:sz w:val="18"/>
              <w:szCs w:val="18"/>
            </w:rPr>
            <w:id w:val="-981460426"/>
            <w:placeholder>
              <w:docPart w:val="DefaultPlaceholder_1082065158"/>
            </w:placeholder>
            <w:showingPlcHdr/>
            <w:text/>
          </w:sdtPr>
          <w:sdtContent>
            <w:tc>
              <w:tcPr>
                <w:tcW w:w="1170" w:type="dxa"/>
                <w:tcBorders>
                  <w:top w:val="single" w:sz="4" w:space="0" w:color="auto"/>
                </w:tcBorders>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259"/>
        </w:trPr>
        <w:tc>
          <w:tcPr>
            <w:tcW w:w="8010" w:type="dxa"/>
            <w:shd w:val="clear" w:color="auto" w:fill="auto"/>
          </w:tcPr>
          <w:p w:rsidR="00166A86" w:rsidRPr="00FF6A77" w:rsidRDefault="00166A86" w:rsidP="00B45EB6">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DefaultPlaceholder_1082065158"/>
            </w:placeholder>
            <w:showingPlcHdr/>
            <w:text/>
          </w:sdtPr>
          <w:sdtContent>
            <w:tc>
              <w:tcPr>
                <w:tcW w:w="1890" w:type="dxa"/>
              </w:tcPr>
              <w:p w:rsidR="00166A86" w:rsidRPr="00FF6A77" w:rsidRDefault="00B718E0" w:rsidP="00B718E0">
                <w:pPr>
                  <w:rPr>
                    <w:bCs/>
                    <w:color w:val="000000"/>
                    <w:sz w:val="18"/>
                    <w:szCs w:val="18"/>
                  </w:rPr>
                </w:pPr>
                <w:r w:rsidRPr="009F7154">
                  <w:rPr>
                    <w:rStyle w:val="PlaceholderText"/>
                  </w:rPr>
                  <w:t>Click here to enter text.</w:t>
                </w:r>
              </w:p>
            </w:tc>
          </w:sdtContent>
        </w:sdt>
        <w:sdt>
          <w:sdtPr>
            <w:rPr>
              <w:sz w:val="18"/>
              <w:szCs w:val="18"/>
            </w:rPr>
            <w:id w:val="-649515853"/>
            <w:placeholder>
              <w:docPart w:val="DefaultPlaceholder_1082065158"/>
            </w:placeholder>
            <w:showingPlcHdr/>
            <w:text/>
          </w:sdtPr>
          <w:sdtContent>
            <w:tc>
              <w:tcPr>
                <w:tcW w:w="1980" w:type="dxa"/>
              </w:tcPr>
              <w:p w:rsidR="00166A86" w:rsidRPr="00FF6A77" w:rsidRDefault="00B718E0" w:rsidP="00B718E0">
                <w:pPr>
                  <w:rPr>
                    <w:sz w:val="18"/>
                    <w:szCs w:val="18"/>
                  </w:rPr>
                </w:pPr>
                <w:r w:rsidRPr="009F7154">
                  <w:rPr>
                    <w:rStyle w:val="PlaceholderText"/>
                  </w:rPr>
                  <w:t>Click here to enter text.</w:t>
                </w:r>
              </w:p>
            </w:tc>
          </w:sdtContent>
        </w:sdt>
        <w:sdt>
          <w:sdtPr>
            <w:rPr>
              <w:b/>
              <w:color w:val="000000"/>
              <w:sz w:val="18"/>
              <w:szCs w:val="18"/>
            </w:rPr>
            <w:id w:val="-931746863"/>
            <w:placeholder>
              <w:docPart w:val="DefaultPlaceholder_1082065158"/>
            </w:placeholder>
            <w:showingPlcHdr/>
            <w:text/>
          </w:sdtPr>
          <w:sdtContent>
            <w:tc>
              <w:tcPr>
                <w:tcW w:w="1170" w:type="dxa"/>
              </w:tcPr>
              <w:p w:rsidR="00166A86" w:rsidRPr="00FF6A77" w:rsidRDefault="00B718E0" w:rsidP="00B718E0">
                <w:pPr>
                  <w:keepNext/>
                  <w:rPr>
                    <w:b/>
                    <w:color w:val="000000"/>
                    <w:sz w:val="18"/>
                    <w:szCs w:val="18"/>
                  </w:rPr>
                </w:pPr>
                <w:r w:rsidRPr="009F7154">
                  <w:rPr>
                    <w:rStyle w:val="PlaceholderText"/>
                  </w:rPr>
                  <w:t>Click here to enter text.</w:t>
                </w:r>
              </w:p>
            </w:tc>
          </w:sdtContent>
        </w:sdt>
      </w:tr>
      <w:tr w:rsidR="00166A86" w:rsidRPr="00FF6A77" w:rsidTr="00B718E0">
        <w:trPr>
          <w:trHeight w:val="475"/>
        </w:trPr>
        <w:tc>
          <w:tcPr>
            <w:tcW w:w="8010" w:type="dxa"/>
            <w:shd w:val="clear" w:color="auto" w:fill="auto"/>
          </w:tcPr>
          <w:p w:rsidR="00166A86" w:rsidRPr="00FF6A77" w:rsidRDefault="00166A86" w:rsidP="008D2645">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sidR="00644AD0">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w:t>
            </w:r>
            <w:proofErr w:type="spellStart"/>
            <w:r w:rsidRPr="00FF6A77">
              <w:rPr>
                <w:sz w:val="18"/>
                <w:szCs w:val="18"/>
              </w:rPr>
              <w:t>perennialization</w:t>
            </w:r>
            <w:proofErr w:type="spellEnd"/>
            <w:r w:rsidRPr="00FF6A77">
              <w:rPr>
                <w:sz w:val="18"/>
                <w:szCs w:val="18"/>
              </w:rPr>
              <w:t>”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DefaultPlaceholder_1082065158"/>
            </w:placeholder>
            <w:showingPlcHdr/>
            <w:text/>
          </w:sdtPr>
          <w:sdtContent>
            <w:tc>
              <w:tcPr>
                <w:tcW w:w="1890" w:type="dxa"/>
              </w:tcPr>
              <w:p w:rsidR="00166A86" w:rsidRPr="00FF6A77" w:rsidRDefault="00B718E0" w:rsidP="00B45EB6">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DefaultPlaceholder_1082065158"/>
            </w:placeholder>
            <w:showingPlcHdr/>
            <w:text/>
          </w:sdtPr>
          <w:sdtContent>
            <w:tc>
              <w:tcPr>
                <w:tcW w:w="1980" w:type="dxa"/>
              </w:tcPr>
              <w:p w:rsidR="00166A86" w:rsidRPr="00FF6A77" w:rsidRDefault="00B718E0" w:rsidP="00B45EB6">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DefaultPlaceholder_1082065158"/>
            </w:placeholder>
            <w:showingPlcHdr/>
            <w:text/>
          </w:sdtPr>
          <w:sdtContent>
            <w:tc>
              <w:tcPr>
                <w:tcW w:w="1170" w:type="dxa"/>
              </w:tcPr>
              <w:p w:rsidR="00166A86" w:rsidRPr="00FF6A77" w:rsidRDefault="00B718E0" w:rsidP="00B45EB6">
                <w:pPr>
                  <w:keepNext/>
                  <w:rPr>
                    <w:b/>
                    <w:color w:val="000000"/>
                    <w:sz w:val="18"/>
                    <w:szCs w:val="18"/>
                  </w:rPr>
                </w:pPr>
                <w:r w:rsidRPr="009F7154">
                  <w:rPr>
                    <w:rStyle w:val="PlaceholderText"/>
                  </w:rPr>
                  <w:t>Click here to enter text.</w:t>
                </w:r>
              </w:p>
            </w:tc>
          </w:sdtContent>
        </w:sdt>
      </w:tr>
    </w:tbl>
    <w:p w:rsidR="009E6233" w:rsidRDefault="009E62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BA = Biological Assessment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 xml:space="preserve">BMP = Best Management Practices </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CDFW = California Department of Fish and Wildlife</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Dixon RCD = Dixon Resource Conservation District</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DPS = Distinct Population Segment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ESU = Evolutionarily Significant Unit</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HCP = Habitat Conservation Plan</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MMP = Mitigation and Monitoring Plan</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MPWD = Maine Prairie Water District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NOAA NMFS = National Oceanic Atmospheric Association National Marine Fisheries Service</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NPDES = National Pollutant Discharge Elimination System</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O&amp;M = Operation and Maintenance</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 xml:space="preserve">RD 2068 = Reclamation District 2068 </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RSM = Riparian, Stream, and Freshwater Marsh</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SCWA = Solano County Water Agency</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SID = Solano Irrigation District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SWPPP = Storm Water Pollution Prevention Plan</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USFWS = United States Fish and Wildlife Service</w:t>
            </w:r>
          </w:p>
        </w:tc>
        <w:tc>
          <w:tcPr>
            <w:tcW w:w="6588" w:type="dxa"/>
          </w:tcPr>
          <w:p w:rsidR="008D2645" w:rsidRPr="008D2645" w:rsidRDefault="008D2645" w:rsidP="00C12E07">
            <w:pPr>
              <w:tabs>
                <w:tab w:val="left" w:pos="3420"/>
                <w:tab w:val="left" w:pos="6930"/>
              </w:tabs>
              <w:rPr>
                <w:sz w:val="16"/>
                <w:szCs w:val="16"/>
              </w:rPr>
            </w:pPr>
          </w:p>
        </w:tc>
      </w:tr>
    </w:tbl>
    <w:p w:rsidR="005D34D0" w:rsidRDefault="005D34D0" w:rsidP="005D34D0">
      <w:pPr>
        <w:tabs>
          <w:tab w:val="left" w:pos="3420"/>
          <w:tab w:val="left" w:pos="6930"/>
        </w:tabs>
        <w:rPr>
          <w:sz w:val="18"/>
          <w:szCs w:val="18"/>
        </w:rPr>
      </w:pPr>
    </w:p>
    <w:p w:rsidR="005D34D0" w:rsidRDefault="005D34D0">
      <w:bookmarkStart w:id="4" w:name="_GoBack"/>
      <w:bookmarkEnd w:id="4"/>
    </w:p>
    <w:sectPr w:rsidR="005D34D0"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B718E0">
      <w:rPr>
        <w:rStyle w:val="PageNumber"/>
        <w:noProof/>
      </w:rPr>
      <w:t>7</w:t>
    </w:r>
    <w:r w:rsidRPr="002426D6">
      <w:rPr>
        <w:rStyle w:val="PageNumber"/>
      </w:rPr>
      <w:fldChar w:fldCharType="end"/>
    </w:r>
  </w:p>
  <w:p w:rsidR="00C01254" w:rsidRDefault="00B718E0" w:rsidP="00DD548E">
    <w:pPr>
      <w:pStyle w:val="Footer"/>
      <w:pBdr>
        <w:top w:val="single" w:sz="4" w:space="9" w:color="005BBF"/>
      </w:pBdr>
    </w:pPr>
    <w:r>
      <w:fldChar w:fldCharType="begin"/>
    </w:r>
    <w:r>
      <w:instrText xml:space="preserve"> FILENAME  \p </w:instrText>
    </w:r>
    <w:r>
      <w:fldChar w:fldCharType="separate"/>
    </w:r>
    <w:r w:rsidR="009E6CE6">
      <w:rPr>
        <w:noProof/>
      </w:rPr>
      <w:t>P:\SWG1001\Public Draft Solano HCP\Implementation Compliance 8-2016\Solano HCP Compliance Monitoring RLF.docx</w:t>
    </w:r>
    <w:r>
      <w:rPr>
        <w:noProof/>
      </w:rPr>
      <w:fldChar w:fldCharType="end"/>
    </w:r>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2">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3">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5">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8">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1">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3">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29">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0">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1">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4">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8">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39">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1">
    <w:nsid w:val="64E44AFF"/>
    <w:multiLevelType w:val="multilevel"/>
    <w:tmpl w:val="4E4C27D8"/>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2">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2"/>
  </w:num>
  <w:num w:numId="2">
    <w:abstractNumId w:val="16"/>
  </w:num>
  <w:num w:numId="3">
    <w:abstractNumId w:val="25"/>
  </w:num>
  <w:num w:numId="4">
    <w:abstractNumId w:val="41"/>
  </w:num>
  <w:num w:numId="5">
    <w:abstractNumId w:val="11"/>
  </w:num>
  <w:num w:numId="6">
    <w:abstractNumId w:val="35"/>
  </w:num>
  <w:num w:numId="7">
    <w:abstractNumId w:val="13"/>
  </w:num>
  <w:num w:numId="8">
    <w:abstractNumId w:val="32"/>
  </w:num>
  <w:num w:numId="9">
    <w:abstractNumId w:val="15"/>
  </w:num>
  <w:num w:numId="10">
    <w:abstractNumId w:val="44"/>
  </w:num>
  <w:num w:numId="11">
    <w:abstractNumId w:val="43"/>
  </w:num>
  <w:num w:numId="12">
    <w:abstractNumId w:val="7"/>
  </w:num>
  <w:num w:numId="13">
    <w:abstractNumId w:val="30"/>
  </w:num>
  <w:num w:numId="14">
    <w:abstractNumId w:val="38"/>
  </w:num>
  <w:num w:numId="15">
    <w:abstractNumId w:val="14"/>
  </w:num>
  <w:num w:numId="16">
    <w:abstractNumId w:val="6"/>
  </w:num>
  <w:num w:numId="17">
    <w:abstractNumId w:val="19"/>
  </w:num>
  <w:num w:numId="18">
    <w:abstractNumId w:val="36"/>
  </w:num>
  <w:num w:numId="19">
    <w:abstractNumId w:val="31"/>
  </w:num>
  <w:num w:numId="20">
    <w:abstractNumId w:val="29"/>
  </w:num>
  <w:num w:numId="21">
    <w:abstractNumId w:val="24"/>
  </w:num>
  <w:num w:numId="22">
    <w:abstractNumId w:val="12"/>
  </w:num>
  <w:num w:numId="23">
    <w:abstractNumId w:val="17"/>
  </w:num>
  <w:num w:numId="24">
    <w:abstractNumId w:val="42"/>
  </w:num>
  <w:num w:numId="25">
    <w:abstractNumId w:val="21"/>
  </w:num>
  <w:num w:numId="26">
    <w:abstractNumId w:val="4"/>
  </w:num>
  <w:num w:numId="27">
    <w:abstractNumId w:val="40"/>
  </w:num>
  <w:num w:numId="28">
    <w:abstractNumId w:val="33"/>
  </w:num>
  <w:num w:numId="29">
    <w:abstractNumId w:val="5"/>
  </w:num>
  <w:num w:numId="30">
    <w:abstractNumId w:val="3"/>
  </w:num>
  <w:num w:numId="31">
    <w:abstractNumId w:val="2"/>
  </w:num>
  <w:num w:numId="32">
    <w:abstractNumId w:val="1"/>
  </w:num>
  <w:num w:numId="33">
    <w:abstractNumId w:val="0"/>
  </w:num>
  <w:num w:numId="34">
    <w:abstractNumId w:val="27"/>
  </w:num>
  <w:num w:numId="35">
    <w:abstractNumId w:val="18"/>
  </w:num>
  <w:num w:numId="36">
    <w:abstractNumId w:val="9"/>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8"/>
  </w:num>
  <w:num w:numId="40">
    <w:abstractNumId w:val="20"/>
  </w:num>
  <w:num w:numId="41">
    <w:abstractNumId w:val="34"/>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23"/>
  </w:num>
  <w:num w:numId="45">
    <w:abstractNumId w:val="8"/>
  </w:num>
  <w:num w:numId="46">
    <w:abstractNumId w:val="26"/>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90B43"/>
    <w:rsid w:val="00166A86"/>
    <w:rsid w:val="001C4991"/>
    <w:rsid w:val="001D4BF5"/>
    <w:rsid w:val="002043E9"/>
    <w:rsid w:val="00236C80"/>
    <w:rsid w:val="00332134"/>
    <w:rsid w:val="004C3B50"/>
    <w:rsid w:val="00526E9E"/>
    <w:rsid w:val="00582C08"/>
    <w:rsid w:val="005D34D0"/>
    <w:rsid w:val="00644AD0"/>
    <w:rsid w:val="00712288"/>
    <w:rsid w:val="00722CB8"/>
    <w:rsid w:val="007B1E4D"/>
    <w:rsid w:val="00890C00"/>
    <w:rsid w:val="008D0A7E"/>
    <w:rsid w:val="008D2645"/>
    <w:rsid w:val="008F7443"/>
    <w:rsid w:val="00905F41"/>
    <w:rsid w:val="009E6233"/>
    <w:rsid w:val="009E6CE6"/>
    <w:rsid w:val="009F7929"/>
    <w:rsid w:val="00B006EB"/>
    <w:rsid w:val="00B208C3"/>
    <w:rsid w:val="00B718E0"/>
    <w:rsid w:val="00C01254"/>
    <w:rsid w:val="00CD04C8"/>
    <w:rsid w:val="00D96F77"/>
    <w:rsid w:val="00EB2598"/>
    <w:rsid w:val="00EB4C09"/>
    <w:rsid w:val="00EF4DB2"/>
    <w:rsid w:val="00F20E9C"/>
    <w:rsid w:val="00F830B1"/>
    <w:rsid w:val="00F91F3F"/>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A86"/>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A86"/>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3D03FA5B-5085-4D3D-8DA8-C3076B9BCCC9}"/>
      </w:docPartPr>
      <w:docPartBody>
        <w:p w:rsidR="00000000" w:rsidRDefault="00D206BC">
          <w:r w:rsidRPr="009F715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BC"/>
    <w:rsid w:val="00D2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6B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6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22590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16</cp:revision>
  <dcterms:created xsi:type="dcterms:W3CDTF">2016-12-01T20:15:00Z</dcterms:created>
  <dcterms:modified xsi:type="dcterms:W3CDTF">2016-12-05T23:52:00Z</dcterms:modified>
</cp:coreProperties>
</file>