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DATA STORY – Exploring Chemical Space in Tropical Plant Metabolites</w:t>
      </w:r>
    </w:p>
    <w:p>
      <w:r>
        <w:rPr>
          <w:sz w:val="20"/>
        </w:rPr>
      </w:r>
    </w:p>
    <w:p>
      <w:r>
        <w:rPr>
          <w:sz w:val="20"/>
        </w:rPr>
        <w:t>Introduction</w:t>
      </w:r>
    </w:p>
    <w:p>
      <w:r>
        <w:rPr>
          <w:sz w:val="20"/>
        </w:rPr>
        <w:t>Understanding how metabolites differ in chemical properties is essential for interpreting plant metabolic diversity. Walker et al. (2023) showed that metabolomes across ~800 species can be summarized along major chemical axes. This project explores whether simple molecular‑formula descriptors (C, H, N, O counts, etc.) can reveal similar structure in the tropical dataset. Because high‑density scatterplots obscure structure, I use probability‑density (KDE) cloud plots to visualize metabolite distributions more clearly.</w:t>
      </w:r>
    </w:p>
    <w:p>
      <w:r>
        <w:rPr>
          <w:sz w:val="20"/>
        </w:rPr>
      </w:r>
    </w:p>
    <w:p>
      <w:r>
        <w:rPr>
          <w:sz w:val="20"/>
        </w:rPr>
        <w:t>Methods</w:t>
      </w:r>
    </w:p>
    <w:p>
      <w:r>
        <w:rPr>
          <w:sz w:val="20"/>
        </w:rPr>
        <w:t>Data: mtbs_tropical_annotations.tsv from Walker et al.</w:t>
      </w:r>
    </w:p>
    <w:p>
      <w:r>
        <w:rPr>
          <w:sz w:val="20"/>
        </w:rPr>
        <w:t>Descriptor Construction: Molecular formulas were parsed via regex into atom counts. Derived descriptors included C, H, N, O, P, S, Other, Total_atoms, and Hetero_atoms.</w:t>
      </w:r>
    </w:p>
    <w:p>
      <w:r>
        <w:rPr>
          <w:sz w:val="20"/>
        </w:rPr>
        <w:t>Classes: The eight most common NPClassifier superclasses were retained; all others merged into “Other”.</w:t>
      </w:r>
    </w:p>
    <w:p>
      <w:r>
        <w:rPr>
          <w:sz w:val="20"/>
        </w:rPr>
        <w:t>PCA: Standardized descriptors underwent PCA (2 components). PC1 corresponded to molecular size; PC2 to heteroatom enrichment.</w:t>
      </w:r>
    </w:p>
    <w:p>
      <w:r>
        <w:rPr>
          <w:sz w:val="20"/>
        </w:rPr>
        <w:t>Visualization: Two PCA figures were generated: (1) scatter + loadings and (2) KDE density clouds, the latter used to avoid overplotting and reveal class‑level structure.</w:t>
      </w:r>
    </w:p>
    <w:p>
      <w:r>
        <w:rPr>
          <w:sz w:val="20"/>
        </w:rPr>
      </w:r>
    </w:p>
    <w:p>
      <w:r>
        <w:rPr>
          <w:sz w:val="20"/>
        </w:rPr>
        <w:t>Results</w:t>
      </w:r>
    </w:p>
    <w:p>
      <w:r>
        <w:rPr>
          <w:sz w:val="20"/>
        </w:rPr>
        <w:t>Scatter plots showed broad grouping but suffered from heavy overplotting. PCA’s PC1 reflected molecule size, while PC2 reflected heteroatom substitution. KDE clouds revealed clear class‑level structure: terpenoids dominated high‑PC1 regions; flavonoid classes were enriched along high‑PC2; alkaloids showed nitrogen‑associated displacement; “Other” remained diffuse. KDE visualizations made patterns apparent that scatterplots concealed.</w:t>
      </w:r>
    </w:p>
    <w:p>
      <w:r>
        <w:rPr>
          <w:sz w:val="20"/>
        </w:rPr>
      </w:r>
    </w:p>
    <w:p>
      <w:r>
        <w:rPr>
          <w:sz w:val="20"/>
        </w:rPr>
        <w:t>Discussion</w:t>
      </w:r>
    </w:p>
    <w:p>
      <w:r>
        <w:rPr>
          <w:sz w:val="20"/>
        </w:rPr>
        <w:t>Simple molecular‑formula descriptors are sufficient to recover meaningful axes of chemical variation, mirroring findings by Walker et al. KDE cloud visualization is essential for large metabolomics datasets because it reduces noise and highlights distribution shapes. This project demonstrates how preprocessing and probability‑density visualization enable clear, interpretable insights into metabolite diversity.</w:t>
      </w:r>
    </w:p>
    <w:p>
      <w:r>
        <w:rPr>
          <w:sz w:val="20"/>
        </w:rPr>
      </w:r>
    </w:p>
    <w:p>
      <w:r>
        <w:rPr>
          <w:sz w:val="20"/>
        </w:rPr>
        <w:t>References</w:t>
      </w:r>
    </w:p>
    <w:p>
      <w:r>
        <w:rPr>
          <w:sz w:val="20"/>
        </w:rPr>
        <w:t>Walker et al., Science Advances (2023).</w:t>
      </w:r>
    </w:p>
    <w:p>
      <w:r>
        <w:rPr>
          <w:sz w:val="20"/>
        </w:rPr>
        <w:t>Example data story by Diego Söldi.</w:t>
      </w:r>
    </w:p>
    <w:p>
      <w:r>
        <w:rPr>
          <w:sz w:val="2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