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4"/>
        </w:rPr>
        <w:t>Network Security Improvement Plan</w:t>
        <w:br/>
        <w:t>(NIST CSF 2.0 Aligned)</w:t>
      </w:r>
    </w:p>
    <w:p>
      <w:pPr>
        <w:spacing w:after="320"/>
      </w:pPr>
      <w:r>
        <w:rPr>
          <w:rFonts w:ascii="Arial" w:hAnsi="Arial"/>
          <w:i/>
          <w:color w:val="4A5568"/>
          <w:sz w:val="26"/>
        </w:rPr>
        <w:t>Post-Incident Analysis &amp; Strategic Hardening for Multimedia &amp; Web Design Operations</w:t>
      </w:r>
    </w:p>
    <w:p>
      <w:pPr>
        <w:spacing w:after="320"/>
        <w:pBdr>
          <w:bottom w:val="single" w:sz="12" w:space="1" w:color="1A365D"/>
        </w:pBdr>
      </w:pPr>
    </w:p>
    <w:p>
      <w:pPr>
        <w:pStyle w:val="Heading1"/>
        <w:spacing w:before="240" w:after="120"/>
      </w:pPr>
      <w:r>
        <w:rPr>
          <w:color w:val="1A365D"/>
          <w:sz w:val="32"/>
        </w:rPr>
        <w:t>Executive Summary</w:t>
      </w:r>
    </w:p>
    <w:p>
      <w:pPr>
        <w:spacing w:after="240"/>
      </w:pPr>
      <w:r>
        <w:t>Following our recent Denial of Service (DoS) security event—where an incoming flood of ICMP packets bypassed an unconfigured firewall and disrupted internal network services for two hours—this document establishes a comprehensive remediation strategy. Aligned with the updated National Institute of Standards and Technology (NIST) Cybersecurity Framework (CSF 2.0), which now incorporates GOVERN as a foundational core function alongside IDENTIFY, PROTECT, DETECT, RESPOND, and RECOVER, this plan outlines structured measures to harden our infrastructure and ensure resilient operations for our multimedia, web design, and digital marketing services.</w:t>
      </w:r>
    </w:p>
    <w:p>
      <w:pPr>
        <w:pStyle w:val="Heading2"/>
        <w:spacing w:before="280" w:after="80"/>
      </w:pPr>
      <w:r>
        <w:rPr>
          <w:b/>
          <w:color w:val="4A5568"/>
          <w:sz w:val="26"/>
        </w:rPr>
        <w:t>1. Govern (GV)</w:t>
      </w:r>
    </w:p>
    <w:p>
      <w:pPr>
        <w:spacing w:after="120"/>
      </w:pPr>
      <w:r>
        <w:rPr>
          <w:i/>
          <w:sz w:val="21"/>
        </w:rPr>
        <w:t>The updated NIST CSF 2.0 core function establishing organizational cybersecurity risk management strategy, expectations, and policy leadership.</w:t>
      </w:r>
    </w:p>
    <w:p>
      <w:pPr>
        <w:pStyle w:val="ListBullet"/>
        <w:spacing w:after="80" w:line="276" w:lineRule="auto"/>
      </w:pPr>
      <w:r>
        <w:rPr>
          <w:b/>
          <w:color w:val="1A365D"/>
        </w:rPr>
        <w:t xml:space="preserve">Cybersecurity Governance &amp; Policy Enforcement: </w:t>
      </w:r>
      <w:r>
        <w:t>Formalize organization-wide security policies ensuring no firewall or perimeter device is deployed in an unconfigured, default-permissive state.</w:t>
      </w:r>
    </w:p>
    <w:p>
      <w:pPr>
        <w:pStyle w:val="ListBullet"/>
        <w:spacing w:after="80" w:line="276" w:lineRule="auto"/>
      </w:pPr>
      <w:r>
        <w:rPr>
          <w:b/>
          <w:color w:val="1A365D"/>
        </w:rPr>
        <w:t xml:space="preserve">Roles, Responsibilities &amp; Authorities: </w:t>
      </w:r>
      <w:r>
        <w:t>Define explicit accountability for network administrators and incident management teams, establishing clear escalation paths and authorization protocols for taking non-critical services offline during an attack.</w:t>
      </w:r>
    </w:p>
    <w:p>
      <w:pPr>
        <w:pStyle w:val="ListBullet"/>
        <w:spacing w:after="80" w:line="276" w:lineRule="auto"/>
      </w:pPr>
      <w:r>
        <w:rPr>
          <w:b/>
          <w:color w:val="1A365D"/>
        </w:rPr>
        <w:t xml:space="preserve">Risk Management Strategy &amp; Integration: </w:t>
      </w:r>
      <w:r>
        <w:t>Incorporate cybersecurity risk tolerances directly into business planning for client web design and social media marketing operations, ensuring security investments scale with organizational growth.</w:t>
      </w:r>
    </w:p>
    <w:p>
      <w:pPr>
        <w:pStyle w:val="Heading2"/>
        <w:spacing w:before="280" w:after="80"/>
      </w:pPr>
      <w:r>
        <w:rPr>
          <w:b/>
          <w:color w:val="4A5568"/>
          <w:sz w:val="26"/>
        </w:rPr>
        <w:t>2. Identify (ID)</w:t>
      </w:r>
    </w:p>
    <w:p>
      <w:pPr>
        <w:spacing w:after="120"/>
      </w:pPr>
      <w:r>
        <w:rPr>
          <w:i/>
          <w:sz w:val="21"/>
        </w:rPr>
        <w:t>Understand the organization's risk management strategy, assets, and vulnerabilities to establish operational context.</w:t>
      </w:r>
    </w:p>
    <w:p>
      <w:pPr>
        <w:pStyle w:val="ListBullet"/>
        <w:spacing w:after="80" w:line="276" w:lineRule="auto"/>
      </w:pPr>
      <w:r>
        <w:rPr>
          <w:b/>
          <w:color w:val="1A365D"/>
        </w:rPr>
        <w:t xml:space="preserve">Comprehensive Network Mapping &amp; Asset Inventory: </w:t>
      </w:r>
      <w:r>
        <w:t>Maintain a real-time, centralized inventory of all hardware, software, firewalls, routers, and network endpoints. Regularly audit network topologies to eliminate unauthorized or unmonitored perimeter connections.</w:t>
      </w:r>
    </w:p>
    <w:p>
      <w:pPr>
        <w:pStyle w:val="ListBullet"/>
        <w:spacing w:after="80" w:line="276" w:lineRule="auto"/>
      </w:pPr>
      <w:r>
        <w:rPr>
          <w:b/>
          <w:color w:val="1A365D"/>
        </w:rPr>
        <w:t xml:space="preserve">Regular Firewall &amp; Configuration Audits: </w:t>
      </w:r>
      <w:r>
        <w:t>Schedule recurring configuration audits and vulnerability scans for all perimeter devices to proactively catch misconfigurations before deployment.</w:t>
      </w:r>
    </w:p>
    <w:p>
      <w:pPr>
        <w:pStyle w:val="ListBullet"/>
        <w:spacing w:after="80" w:line="276" w:lineRule="auto"/>
      </w:pPr>
      <w:r>
        <w:rPr>
          <w:b/>
          <w:color w:val="1A365D"/>
        </w:rPr>
        <w:t xml:space="preserve">Risk &amp; Criticality Assessment: </w:t>
      </w:r>
      <w:r>
        <w:t>Categorize internal systems and services (e.g., client web design staging servers, digital asset repositories) based on business criticality to prioritize resource allocation during incidents.</w:t>
      </w:r>
    </w:p>
    <w:p>
      <w:pPr>
        <w:pStyle w:val="Heading2"/>
        <w:spacing w:before="280" w:after="80"/>
      </w:pPr>
      <w:r>
        <w:rPr>
          <w:b/>
          <w:color w:val="4A5568"/>
          <w:sz w:val="26"/>
        </w:rPr>
        <w:t>3. Protect (PR)</w:t>
      </w:r>
    </w:p>
    <w:p>
      <w:pPr>
        <w:spacing w:after="120"/>
      </w:pPr>
      <w:r>
        <w:rPr>
          <w:i/>
          <w:sz w:val="21"/>
        </w:rPr>
        <w:t>Develop and implement appropriate safeguards to limit or contain the impact of a potential cybersecurity event.</w:t>
      </w:r>
    </w:p>
    <w:p>
      <w:pPr>
        <w:pStyle w:val="ListBullet"/>
        <w:spacing w:after="80" w:line="276" w:lineRule="auto"/>
      </w:pPr>
      <w:r>
        <w:rPr>
          <w:b/>
          <w:color w:val="1A365D"/>
        </w:rPr>
        <w:t xml:space="preserve">Firewall Hardening &amp; Rate Limiting: </w:t>
      </w:r>
      <w:r>
        <w:t>Implement strict perimeter firewall rules enforcing a deny-by-default policy, specifically configuring rate-limiting rules for incoming ICMP traffic to prevent echo request floods.</w:t>
      </w:r>
    </w:p>
    <w:p>
      <w:pPr>
        <w:pStyle w:val="ListBullet"/>
        <w:spacing w:after="80" w:line="276" w:lineRule="auto"/>
      </w:pPr>
      <w:r>
        <w:rPr>
          <w:b/>
          <w:color w:val="1A365D"/>
        </w:rPr>
        <w:t xml:space="preserve">Source IP Address Verification (Anti-Spoofing): </w:t>
      </w:r>
      <w:r>
        <w:t>Enable ingress filtering and source IP address validation on edge routers and firewalls to ensure forged or spoofed source IP packets are dropped immediately.</w:t>
      </w:r>
    </w:p>
    <w:p>
      <w:pPr>
        <w:pStyle w:val="ListBullet"/>
        <w:spacing w:after="80" w:line="276" w:lineRule="auto"/>
      </w:pPr>
      <w:r>
        <w:rPr>
          <w:b/>
          <w:color w:val="1A365D"/>
        </w:rPr>
        <w:t xml:space="preserve">Network Segmentation: </w:t>
      </w:r>
      <w:r>
        <w:t>Isolate public-facing client web servers from internal operational networks to prevent a perimeter DoS attack from traversing into internal design repositories.</w:t>
      </w:r>
    </w:p>
    <w:p>
      <w:pPr>
        <w:pStyle w:val="Heading2"/>
        <w:spacing w:before="280" w:after="80"/>
      </w:pPr>
      <w:r>
        <w:rPr>
          <w:b/>
          <w:color w:val="4A5568"/>
          <w:sz w:val="26"/>
        </w:rPr>
        <w:t>4. Detect (DE)</w:t>
      </w:r>
    </w:p>
    <w:p>
      <w:pPr>
        <w:spacing w:after="120"/>
      </w:pPr>
      <w:r>
        <w:rPr>
          <w:i/>
          <w:sz w:val="21"/>
        </w:rPr>
        <w:t>Develop and implement appropriate activities to identify the occurrence of a cybersecurity event in a timely manner.</w:t>
      </w:r>
    </w:p>
    <w:p>
      <w:pPr>
        <w:pStyle w:val="ListBullet"/>
        <w:spacing w:after="80" w:line="276" w:lineRule="auto"/>
      </w:pPr>
      <w:r>
        <w:rPr>
          <w:b/>
          <w:color w:val="1A365D"/>
        </w:rPr>
        <w:t xml:space="preserve">Advanced Network Monitoring: </w:t>
      </w:r>
      <w:r>
        <w:t>Deploy continuous network monitoring software (NetFlow/SIEM tools) to establish baseline traffic patterns and detect anomalies like sudden surges in ICMP traffic volume.</w:t>
      </w:r>
    </w:p>
    <w:p>
      <w:pPr>
        <w:pStyle w:val="ListBullet"/>
        <w:spacing w:after="80" w:line="276" w:lineRule="auto"/>
      </w:pPr>
      <w:r>
        <w:rPr>
          <w:b/>
          <w:color w:val="1A365D"/>
        </w:rPr>
        <w:t xml:space="preserve">Automated Alerting Mechanisms: </w:t>
      </w:r>
      <w:r>
        <w:t>Configure real-time alerts for network administrators when bandwidth thresholds or packet-rate anomalies exceed normal operational baselines.</w:t>
      </w:r>
    </w:p>
    <w:p>
      <w:pPr>
        <w:pStyle w:val="ListBullet"/>
        <w:spacing w:after="80" w:line="276" w:lineRule="auto"/>
      </w:pPr>
      <w:r>
        <w:rPr>
          <w:b/>
          <w:color w:val="1A365D"/>
        </w:rPr>
        <w:t xml:space="preserve">IDS/IPS Deployment: </w:t>
      </w:r>
      <w:r>
        <w:t>Implement an Intrusion Detection and Prevention System (IDS/IPS) tuned to inspect packet headers and signatures for suspicious DoS/DDoS characteristics.</w:t>
      </w:r>
    </w:p>
    <w:p>
      <w:pPr>
        <w:pStyle w:val="Heading2"/>
        <w:spacing w:before="280" w:after="80"/>
      </w:pPr>
      <w:r>
        <w:rPr>
          <w:b/>
          <w:color w:val="4A5568"/>
          <w:sz w:val="26"/>
        </w:rPr>
        <w:t>5. Respond (RS)</w:t>
      </w:r>
    </w:p>
    <w:p>
      <w:pPr>
        <w:spacing w:after="120"/>
      </w:pPr>
      <w:r>
        <w:rPr>
          <w:i/>
          <w:sz w:val="21"/>
        </w:rPr>
        <w:t>Develop and implement appropriate activities to take action regarding a detected cybersecurity incident.</w:t>
      </w:r>
    </w:p>
    <w:p>
      <w:pPr>
        <w:pStyle w:val="ListBullet"/>
        <w:spacing w:after="80" w:line="276" w:lineRule="auto"/>
      </w:pPr>
      <w:r>
        <w:rPr>
          <w:b/>
          <w:color w:val="1A365D"/>
        </w:rPr>
        <w:t xml:space="preserve">DoS Incident Response Playbook: </w:t>
      </w:r>
      <w:r>
        <w:t>Formalize a step-by-step incident response playbook detailing clear escalation paths, authority matrices for shedding non-critical load, and emergency firewall adjustment protocols.</w:t>
      </w:r>
    </w:p>
    <w:p>
      <w:pPr>
        <w:pStyle w:val="ListBullet"/>
        <w:spacing w:after="80" w:line="276" w:lineRule="auto"/>
      </w:pPr>
      <w:r>
        <w:rPr>
          <w:b/>
          <w:color w:val="1A365D"/>
        </w:rPr>
        <w:t xml:space="preserve">Rapid Containment Procedures: </w:t>
      </w:r>
      <w:r>
        <w:t>Standardize immediate containment actions based on our recent experience: instantly blocking offending IP ranges/ICMP floods, temporarily shutting down non-critical services, and isolating segments.</w:t>
      </w:r>
    </w:p>
    <w:p>
      <w:pPr>
        <w:pStyle w:val="ListBullet"/>
        <w:spacing w:after="80" w:line="276" w:lineRule="auto"/>
      </w:pPr>
      <w:r>
        <w:rPr>
          <w:b/>
          <w:color w:val="1A365D"/>
        </w:rPr>
        <w:t xml:space="preserve">Post-Incident Forensics &amp; Root Cause Analysis: </w:t>
      </w:r>
      <w:r>
        <w:t>Perform thorough log analysis after every incident to determine the exact attack vector and entry point, ensuring permanent remediation of operational gaps.</w:t>
      </w:r>
    </w:p>
    <w:p>
      <w:pPr>
        <w:pStyle w:val="Heading2"/>
        <w:spacing w:before="280" w:after="80"/>
      </w:pPr>
      <w:r>
        <w:rPr>
          <w:b/>
          <w:color w:val="4A5568"/>
          <w:sz w:val="26"/>
        </w:rPr>
        <w:t>6. Recover (RC)</w:t>
      </w:r>
    </w:p>
    <w:p>
      <w:pPr>
        <w:spacing w:after="120"/>
      </w:pPr>
      <w:r>
        <w:rPr>
          <w:i/>
          <w:sz w:val="21"/>
        </w:rPr>
        <w:t>Develop and implement appropriate activities to maintain resilience and restore capabilities or services impaired by an incident.</w:t>
      </w:r>
    </w:p>
    <w:p>
      <w:pPr>
        <w:pStyle w:val="ListBullet"/>
        <w:spacing w:after="80" w:line="276" w:lineRule="auto"/>
      </w:pPr>
      <w:r>
        <w:rPr>
          <w:b/>
          <w:color w:val="1A365D"/>
        </w:rPr>
        <w:t xml:space="preserve">Phased Service Restoration: </w:t>
      </w:r>
      <w:r>
        <w:t>Establish a structured procedure for bringing non-critical and critical network services back online safely, verifying system stability and traffic normality at each phase.</w:t>
      </w:r>
    </w:p>
    <w:p>
      <w:pPr>
        <w:pStyle w:val="ListBullet"/>
        <w:spacing w:after="80" w:line="276" w:lineRule="auto"/>
      </w:pPr>
      <w:r>
        <w:rPr>
          <w:b/>
          <w:color w:val="1A365D"/>
        </w:rPr>
        <w:t xml:space="preserve">Lessons Learned Debriefs: </w:t>
      </w:r>
      <w:r>
        <w:t>Conduct post-incident reviews with the incident management and network security teams within 48 hours of resolution to evaluate response efficiency and technical mitigation effectiveness.</w:t>
      </w:r>
    </w:p>
    <w:p>
      <w:pPr>
        <w:pStyle w:val="ListBullet"/>
        <w:spacing w:after="80" w:line="276" w:lineRule="auto"/>
      </w:pPr>
      <w:r>
        <w:rPr>
          <w:b/>
          <w:color w:val="1A365D"/>
        </w:rPr>
        <w:t xml:space="preserve">Continuity Plan Updates: </w:t>
      </w:r>
      <w:r>
        <w:t>Integrate lessons learned from the ICMP flood attack into Business Continuity and Disaster Recovery (BC/DR) plans to ensure faster recovery times in future events.</w:t>
      </w:r>
    </w:p>
    <w:p>
      <w:pPr>
        <w:pStyle w:val="Heading1"/>
        <w:spacing w:before="320" w:after="160"/>
      </w:pPr>
      <w:r>
        <w:rPr>
          <w:color w:val="1A365D"/>
          <w:sz w:val="32"/>
        </w:rPr>
        <w:t>Summary Matrix: Incident Mapping to NIST CSF 2.0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cantSplit/>
        </w:trPr>
        <w:tc>
          <w:tcPr>
            <w:tcW w:type="dxa" w:w="3120"/>
            <w:shd w:fill="1A365D"/>
            <w:tcMar>
              <w:top w:w="120" w:type="dxa"/>
              <w:bottom w:w="120" w:type="dxa"/>
              <w:left w:w="150" w:type="dxa"/>
              <w:right w:w="150" w:type="dxa"/>
            </w:tcMar>
          </w:tcPr>
          <w:p>
            <w:pPr>
              <w:jc w:val="left"/>
            </w:pPr>
            <w:r>
              <w:rPr>
                <w:b/>
                <w:color w:val="FFFFFF"/>
                <w:sz w:val="20"/>
              </w:rPr>
              <w:t>CSF Function</w:t>
            </w:r>
          </w:p>
        </w:tc>
        <w:tc>
          <w:tcPr>
            <w:tcW w:type="dxa" w:w="3120"/>
            <w:shd w:fill="1A365D"/>
            <w:tcMar>
              <w:top w:w="120" w:type="dxa"/>
              <w:bottom w:w="120" w:type="dxa"/>
              <w:left w:w="150" w:type="dxa"/>
              <w:right w:w="150" w:type="dxa"/>
            </w:tcMar>
          </w:tcPr>
          <w:p>
            <w:pPr>
              <w:jc w:val="left"/>
            </w:pPr>
            <w:r>
              <w:rPr>
                <w:b/>
                <w:color w:val="FFFFFF"/>
                <w:sz w:val="20"/>
              </w:rPr>
              <w:t>Identified Vulnerability / Gap</w:t>
            </w:r>
          </w:p>
        </w:tc>
        <w:tc>
          <w:tcPr>
            <w:tcW w:type="dxa" w:w="3120"/>
            <w:shd w:fill="1A365D"/>
            <w:tcMar>
              <w:top w:w="120" w:type="dxa"/>
              <w:bottom w:w="120" w:type="dxa"/>
              <w:left w:w="150" w:type="dxa"/>
              <w:right w:w="150" w:type="dxa"/>
            </w:tcMar>
          </w:tcPr>
          <w:p>
            <w:pPr>
              <w:jc w:val="left"/>
            </w:pPr>
            <w:r>
              <w:rPr>
                <w:b/>
                <w:color w:val="FFFFFF"/>
                <w:sz w:val="20"/>
              </w:rPr>
              <w:t>Corrective Action &amp; Strategic Improvement</w:t>
            </w:r>
          </w:p>
        </w:tc>
      </w:tr>
      <w:tr>
        <w:trPr>
          <w:cantSplit/>
        </w:trPr>
        <w:tc>
          <w:tcPr>
            <w:tcW w:type="dxa" w:w="3120"/>
            <w:shd w:fill="F7FAFC"/>
            <w:tcMar>
              <w:top w:w="100" w:type="dxa"/>
              <w:bottom w:w="100" w:type="dxa"/>
              <w:left w:w="150" w:type="dxa"/>
              <w:right w:w="150" w:type="dxa"/>
            </w:tcMar>
          </w:tcPr>
          <w:p>
            <w:pPr>
              <w:spacing w:line="276" w:lineRule="auto"/>
            </w:pPr>
            <w:r>
              <w:rPr>
                <w:b/>
                <w:color w:val="1A365D"/>
                <w:sz w:val="19"/>
              </w:rPr>
              <w:t>Govern (GV)</w:t>
            </w:r>
          </w:p>
        </w:tc>
        <w:tc>
          <w:tcPr>
            <w:tcW w:type="dxa" w:w="3120"/>
            <w:shd w:fill="F7FAFC"/>
            <w:tcMar>
              <w:top w:w="100" w:type="dxa"/>
              <w:bottom w:w="100" w:type="dxa"/>
              <w:left w:w="150" w:type="dxa"/>
              <w:right w:w="150" w:type="dxa"/>
            </w:tcMar>
          </w:tcPr>
          <w:p>
            <w:pPr>
              <w:spacing w:line="276" w:lineRule="auto"/>
            </w:pPr>
            <w:r>
              <w:rPr>
                <w:color w:val="2D3748"/>
                <w:sz w:val="19"/>
              </w:rPr>
              <w:t>Lack of centralized oversight for firewall deployment and baseline security policy compliance.</w:t>
            </w:r>
          </w:p>
        </w:tc>
        <w:tc>
          <w:tcPr>
            <w:tcW w:type="dxa" w:w="3120"/>
            <w:shd w:fill="F7FAFC"/>
            <w:tcMar>
              <w:top w:w="100" w:type="dxa"/>
              <w:bottom w:w="100" w:type="dxa"/>
              <w:left w:w="150" w:type="dxa"/>
              <w:right w:w="150" w:type="dxa"/>
            </w:tcMar>
          </w:tcPr>
          <w:p>
            <w:pPr>
              <w:spacing w:line="276" w:lineRule="auto"/>
            </w:pPr>
            <w:r>
              <w:rPr>
                <w:color w:val="2D3748"/>
                <w:sz w:val="19"/>
              </w:rPr>
              <w:t>Establish governance policies, define clear roles, and integrate risk management into multimedia service operations.</w:t>
            </w:r>
          </w:p>
        </w:tc>
      </w:tr>
      <w:tr>
        <w:trPr>
          <w:cantSplit/>
        </w:trPr>
        <w:tc>
          <w:tcPr>
            <w:tcW w:type="dxa" w:w="3120"/>
            <w:shd w:fill="FFFFFF"/>
            <w:tcMar>
              <w:top w:w="100" w:type="dxa"/>
              <w:bottom w:w="100" w:type="dxa"/>
              <w:left w:w="150" w:type="dxa"/>
              <w:right w:w="150" w:type="dxa"/>
            </w:tcMar>
          </w:tcPr>
          <w:p>
            <w:pPr>
              <w:spacing w:line="276" w:lineRule="auto"/>
            </w:pPr>
            <w:r>
              <w:rPr>
                <w:b/>
                <w:color w:val="1A365D"/>
                <w:sz w:val="19"/>
              </w:rPr>
              <w:t>Identify (ID)</w:t>
            </w:r>
          </w:p>
        </w:tc>
        <w:tc>
          <w:tcPr>
            <w:tcW w:type="dxa" w:w="3120"/>
            <w:shd w:fill="FFFFFF"/>
            <w:tcMar>
              <w:top w:w="100" w:type="dxa"/>
              <w:bottom w:w="100" w:type="dxa"/>
              <w:left w:w="150" w:type="dxa"/>
              <w:right w:w="150" w:type="dxa"/>
            </w:tcMar>
          </w:tcPr>
          <w:p>
            <w:pPr>
              <w:spacing w:line="276" w:lineRule="auto"/>
            </w:pPr>
            <w:r>
              <w:rPr>
                <w:color w:val="2D3748"/>
                <w:sz w:val="19"/>
              </w:rPr>
              <w:t>Unconfigured firewall left exposed to unauthorized external traffic.</w:t>
            </w:r>
          </w:p>
        </w:tc>
        <w:tc>
          <w:tcPr>
            <w:tcW w:type="dxa" w:w="3120"/>
            <w:shd w:fill="FFFFFF"/>
            <w:tcMar>
              <w:top w:w="100" w:type="dxa"/>
              <w:bottom w:w="100" w:type="dxa"/>
              <w:left w:w="150" w:type="dxa"/>
              <w:right w:w="150" w:type="dxa"/>
            </w:tcMar>
          </w:tcPr>
          <w:p>
            <w:pPr>
              <w:spacing w:line="276" w:lineRule="auto"/>
            </w:pPr>
            <w:r>
              <w:rPr>
                <w:color w:val="2D3748"/>
                <w:sz w:val="19"/>
              </w:rPr>
              <w:t>Implement comprehensive asset mapping, regular configuration audits, and risk categorization.</w:t>
            </w:r>
          </w:p>
        </w:tc>
      </w:tr>
      <w:tr>
        <w:trPr>
          <w:cantSplit/>
        </w:trPr>
        <w:tc>
          <w:tcPr>
            <w:tcW w:type="dxa" w:w="3120"/>
            <w:shd w:fill="F7FAFC"/>
            <w:tcMar>
              <w:top w:w="100" w:type="dxa"/>
              <w:bottom w:w="100" w:type="dxa"/>
              <w:left w:w="150" w:type="dxa"/>
              <w:right w:w="150" w:type="dxa"/>
            </w:tcMar>
          </w:tcPr>
          <w:p>
            <w:pPr>
              <w:spacing w:line="276" w:lineRule="auto"/>
            </w:pPr>
            <w:r>
              <w:rPr>
                <w:b/>
                <w:color w:val="1A365D"/>
                <w:sz w:val="19"/>
              </w:rPr>
              <w:t>Protect (PR)</w:t>
            </w:r>
          </w:p>
        </w:tc>
        <w:tc>
          <w:tcPr>
            <w:tcW w:type="dxa" w:w="3120"/>
            <w:shd w:fill="F7FAFC"/>
            <w:tcMar>
              <w:top w:w="100" w:type="dxa"/>
              <w:bottom w:w="100" w:type="dxa"/>
              <w:left w:w="150" w:type="dxa"/>
              <w:right w:w="150" w:type="dxa"/>
            </w:tcMar>
          </w:tcPr>
          <w:p>
            <w:pPr>
              <w:spacing w:line="276" w:lineRule="auto"/>
            </w:pPr>
            <w:r>
              <w:rPr>
                <w:color w:val="2D3748"/>
                <w:sz w:val="19"/>
              </w:rPr>
              <w:t>Unrestricted ingress for ICMP flood packets and lack of anti-spoofing controls.</w:t>
            </w:r>
          </w:p>
        </w:tc>
        <w:tc>
          <w:tcPr>
            <w:tcW w:type="dxa" w:w="3120"/>
            <w:shd w:fill="F7FAFC"/>
            <w:tcMar>
              <w:top w:w="100" w:type="dxa"/>
              <w:bottom w:w="100" w:type="dxa"/>
              <w:left w:w="150" w:type="dxa"/>
              <w:right w:w="150" w:type="dxa"/>
            </w:tcMar>
          </w:tcPr>
          <w:p>
            <w:pPr>
              <w:spacing w:line="276" w:lineRule="auto"/>
            </w:pPr>
            <w:r>
              <w:rPr>
                <w:color w:val="2D3748"/>
                <w:sz w:val="19"/>
              </w:rPr>
              <w:t>Enforce deny-by-default rules, ICMP rate-limiting, source IP verification, and network segmentation.</w:t>
            </w:r>
          </w:p>
        </w:tc>
      </w:tr>
      <w:tr>
        <w:trPr>
          <w:cantSplit/>
        </w:trPr>
        <w:tc>
          <w:tcPr>
            <w:tcW w:type="dxa" w:w="3120"/>
            <w:shd w:fill="FFFFFF"/>
            <w:tcMar>
              <w:top w:w="100" w:type="dxa"/>
              <w:bottom w:w="100" w:type="dxa"/>
              <w:left w:w="150" w:type="dxa"/>
              <w:right w:w="150" w:type="dxa"/>
            </w:tcMar>
          </w:tcPr>
          <w:p>
            <w:pPr>
              <w:spacing w:line="276" w:lineRule="auto"/>
            </w:pPr>
            <w:r>
              <w:rPr>
                <w:b/>
                <w:color w:val="1A365D"/>
                <w:sz w:val="19"/>
              </w:rPr>
              <w:t>Detect (DE)</w:t>
            </w:r>
          </w:p>
        </w:tc>
        <w:tc>
          <w:tcPr>
            <w:tcW w:type="dxa" w:w="3120"/>
            <w:shd w:fill="FFFFFF"/>
            <w:tcMar>
              <w:top w:w="100" w:type="dxa"/>
              <w:bottom w:w="100" w:type="dxa"/>
              <w:left w:w="150" w:type="dxa"/>
              <w:right w:w="150" w:type="dxa"/>
            </w:tcMar>
          </w:tcPr>
          <w:p>
            <w:pPr>
              <w:spacing w:line="276" w:lineRule="auto"/>
            </w:pPr>
            <w:r>
              <w:rPr>
                <w:color w:val="2D3748"/>
                <w:sz w:val="19"/>
              </w:rPr>
              <w:t>Delayed detection of abnormal bandwidth spikes and flood patterns.</w:t>
            </w:r>
          </w:p>
        </w:tc>
        <w:tc>
          <w:tcPr>
            <w:tcW w:type="dxa" w:w="3120"/>
            <w:shd w:fill="FFFFFF"/>
            <w:tcMar>
              <w:top w:w="100" w:type="dxa"/>
              <w:bottom w:w="100" w:type="dxa"/>
              <w:left w:w="150" w:type="dxa"/>
              <w:right w:w="150" w:type="dxa"/>
            </w:tcMar>
          </w:tcPr>
          <w:p>
            <w:pPr>
              <w:spacing w:line="276" w:lineRule="auto"/>
            </w:pPr>
            <w:r>
              <w:rPr>
                <w:color w:val="2D3748"/>
                <w:sz w:val="19"/>
              </w:rPr>
              <w:t>Deploy continuous network monitoring software (NetFlow/SIEM), alerting mechanisms, and IDS/IPS filtering.</w:t>
            </w:r>
          </w:p>
        </w:tc>
      </w:tr>
      <w:tr>
        <w:trPr>
          <w:cantSplit/>
        </w:trPr>
        <w:tc>
          <w:tcPr>
            <w:tcW w:type="dxa" w:w="3120"/>
            <w:shd w:fill="F7FAFC"/>
            <w:tcMar>
              <w:top w:w="100" w:type="dxa"/>
              <w:bottom w:w="100" w:type="dxa"/>
              <w:left w:w="150" w:type="dxa"/>
              <w:right w:w="150" w:type="dxa"/>
            </w:tcMar>
          </w:tcPr>
          <w:p>
            <w:pPr>
              <w:spacing w:line="276" w:lineRule="auto"/>
            </w:pPr>
            <w:r>
              <w:rPr>
                <w:b/>
                <w:color w:val="1A365D"/>
                <w:sz w:val="19"/>
              </w:rPr>
              <w:t>Respond (RS)</w:t>
            </w:r>
          </w:p>
        </w:tc>
        <w:tc>
          <w:tcPr>
            <w:tcW w:type="dxa" w:w="3120"/>
            <w:shd w:fill="F7FAFC"/>
            <w:tcMar>
              <w:top w:w="100" w:type="dxa"/>
              <w:bottom w:w="100" w:type="dxa"/>
              <w:left w:w="150" w:type="dxa"/>
              <w:right w:w="150" w:type="dxa"/>
            </w:tcMar>
          </w:tcPr>
          <w:p>
            <w:pPr>
              <w:spacing w:line="276" w:lineRule="auto"/>
            </w:pPr>
            <w:r>
              <w:rPr>
                <w:color w:val="2D3748"/>
                <w:sz w:val="19"/>
              </w:rPr>
              <w:t>Ad-hoc incident response during the 2-hour outage without a dedicated DoS playbook.</w:t>
            </w:r>
          </w:p>
        </w:tc>
        <w:tc>
          <w:tcPr>
            <w:tcW w:type="dxa" w:w="3120"/>
            <w:shd w:fill="F7FAFC"/>
            <w:tcMar>
              <w:top w:w="100" w:type="dxa"/>
              <w:bottom w:w="100" w:type="dxa"/>
              <w:left w:w="150" w:type="dxa"/>
              <w:right w:w="150" w:type="dxa"/>
            </w:tcMar>
          </w:tcPr>
          <w:p>
            <w:pPr>
              <w:spacing w:line="276" w:lineRule="auto"/>
            </w:pPr>
            <w:r>
              <w:rPr>
                <w:color w:val="2D3748"/>
                <w:sz w:val="19"/>
              </w:rPr>
              <w:t>Formalize a DoS incident response playbook, rapid containment procedures, and root cause analysis workflows.</w:t>
            </w:r>
          </w:p>
        </w:tc>
      </w:tr>
      <w:tr>
        <w:trPr>
          <w:cantSplit/>
        </w:trPr>
        <w:tc>
          <w:tcPr>
            <w:tcW w:type="dxa" w:w="3120"/>
            <w:shd w:fill="FFFFFF"/>
            <w:tcMar>
              <w:top w:w="100" w:type="dxa"/>
              <w:bottom w:w="100" w:type="dxa"/>
              <w:left w:w="150" w:type="dxa"/>
              <w:right w:w="150" w:type="dxa"/>
            </w:tcMar>
          </w:tcPr>
          <w:p>
            <w:pPr>
              <w:spacing w:line="276" w:lineRule="auto"/>
            </w:pPr>
            <w:r>
              <w:rPr>
                <w:b/>
                <w:color w:val="1A365D"/>
                <w:sz w:val="19"/>
              </w:rPr>
              <w:t>Recover (RC)</w:t>
            </w:r>
          </w:p>
        </w:tc>
        <w:tc>
          <w:tcPr>
            <w:tcW w:type="dxa" w:w="3120"/>
            <w:shd w:fill="FFFFFF"/>
            <w:tcMar>
              <w:top w:w="100" w:type="dxa"/>
              <w:bottom w:w="100" w:type="dxa"/>
              <w:left w:w="150" w:type="dxa"/>
              <w:right w:w="150" w:type="dxa"/>
            </w:tcMar>
          </w:tcPr>
          <w:p>
            <w:pPr>
              <w:spacing w:line="276" w:lineRule="auto"/>
            </w:pPr>
            <w:r>
              <w:rPr>
                <w:color w:val="2D3748"/>
                <w:sz w:val="19"/>
              </w:rPr>
              <w:t>Absence of structured restoration phasing and formal post-incident review cycles.</w:t>
            </w:r>
          </w:p>
        </w:tc>
        <w:tc>
          <w:tcPr>
            <w:tcW w:type="dxa" w:w="3120"/>
            <w:shd w:fill="FFFFFF"/>
            <w:tcMar>
              <w:top w:w="100" w:type="dxa"/>
              <w:bottom w:w="100" w:type="dxa"/>
              <w:left w:w="150" w:type="dxa"/>
              <w:right w:w="150" w:type="dxa"/>
            </w:tcMar>
          </w:tcPr>
          <w:p>
            <w:pPr>
              <w:spacing w:line="276" w:lineRule="auto"/>
            </w:pPr>
            <w:r>
              <w:rPr>
                <w:color w:val="2D3748"/>
                <w:sz w:val="19"/>
              </w:rPr>
              <w:t>Establish phased service restoration protocols, 48-hour debriefs, and updated BC/DR continuity plans.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