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u w:val="single"/>
        </w:rPr>
      </w:pPr>
      <w:r w:rsidDel="00000000" w:rsidR="00000000" w:rsidRPr="00000000">
        <w:rPr>
          <w:rtl w:val="0"/>
        </w:rPr>
      </w:r>
    </w:p>
    <w:tbl>
      <w:tblPr>
        <w:tblStyle w:val="Table1"/>
        <w:tblW w:w="10207.0" w:type="dxa"/>
        <w:jc w:val="left"/>
        <w:tblInd w:w="-70.0" w:type="dxa"/>
        <w:tblLayout w:type="fixed"/>
        <w:tblLook w:val="0000"/>
      </w:tblPr>
      <w:tblGrid>
        <w:gridCol w:w="3307"/>
        <w:gridCol w:w="789"/>
        <w:gridCol w:w="6111"/>
        <w:tblGridChange w:id="0">
          <w:tblGrid>
            <w:gridCol w:w="3307"/>
            <w:gridCol w:w="789"/>
            <w:gridCol w:w="6111"/>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RF -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sz w:val="20"/>
                <w:szCs w:val="20"/>
                <w:rtl w:val="0"/>
              </w:rPr>
              <w:t xml:space="preserve">Mapa de áreas deportivas</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Versión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1.0 (04-09-2024)</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Actores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Usuarios alumnos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Objetivos asociados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 los usuarios ver imágenes de las áreas deportivas donde se realizan los eventos.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Requerimientos asociados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R. La aplicación debe mostrar imágenes representativas de las áreas deportivas asociadas a los eventos registrados en el sistema.</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1">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podrán visualizar imágenes representativas de las áreas donde se desarrollarán los eventos deportivos. Esto les permitirá tener una referencia visual del lugar antes de asistir.</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debe estar registrado e iniciar sesión correctamente en la aplicación.</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existir al menos un evento deportivo registrado en el sistema con imágenes asociadas al área deportiva.</w:t>
            </w:r>
          </w:p>
        </w:tc>
      </w:tr>
      <w:tr>
        <w:trPr>
          <w:cantSplit w:val="1"/>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8">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Secuencia</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Acción</w:t>
            </w:r>
            <w:r w:rsidDel="00000000" w:rsidR="00000000" w:rsidRPr="00000000">
              <w:rPr>
                <w:rtl w:val="0"/>
              </w:rPr>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inicia sesión en la aplicación.</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0">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valida las credenciales del usuario y permite el acceso.</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selecciona un evento deportivo del calendario.</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carga y muestra la página de detalles del evento, incluyendo las imágenes del área deportiva asociada.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9">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hace clic en la imagen para verla en tamaño completo o en galería si hay varias imágenes.</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visualiza las imágenes y regresa a la página de detalles del evento.</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Post-condición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F">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ha visualizado las imágenes representativas del área deportiva asociada al evento.</w:t>
            </w:r>
          </w:p>
          <w:p w:rsidR="00000000" w:rsidDel="00000000" w:rsidP="00000000" w:rsidRDefault="00000000" w:rsidRPr="00000000" w14:paraId="00000030">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del evento permanece disponible en la aplicación.</w:t>
            </w:r>
          </w:p>
        </w:tc>
      </w:tr>
      <w:tr>
        <w:trPr>
          <w:cantSplit w:val="1"/>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2">
            <w:pPr>
              <w:keepNext w:val="1"/>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u w:val="single"/>
                <w:rtl w:val="0"/>
              </w:rPr>
              <w:t xml:space="preserve">Excepciones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3">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Acción</w:t>
            </w:r>
            <w:r w:rsidDel="00000000" w:rsidR="00000000" w:rsidRPr="00000000">
              <w:rPr>
                <w:rtl w:val="0"/>
              </w:rPr>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F1</w:t>
            </w:r>
            <w:r w:rsidDel="00000000" w:rsidR="00000000" w:rsidRPr="00000000">
              <w:rPr>
                <w:rFonts w:ascii="Calibri" w:cs="Calibri" w:eastAsia="Calibri" w:hAnsi="Calibri"/>
                <w:sz w:val="24"/>
                <w:szCs w:val="24"/>
                <w:rtl w:val="0"/>
              </w:rPr>
              <w:t xml:space="preserve">: El usuario ingresa credenciales incorrectas. Solución: Notificar al usuario y permitirle reintentar o recuperar la contraseña.</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9">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F2</w:t>
            </w:r>
            <w:r w:rsidDel="00000000" w:rsidR="00000000" w:rsidRPr="00000000">
              <w:rPr>
                <w:rFonts w:ascii="Calibri" w:cs="Calibri" w:eastAsia="Calibri" w:hAnsi="Calibri"/>
                <w:sz w:val="24"/>
                <w:szCs w:val="24"/>
                <w:rtl w:val="0"/>
              </w:rPr>
              <w:t xml:space="preserve">: El Servidor de autenticación no responde. Solución: Notificar sobre el error temporal e invitar a reintentar más tarde.</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C">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F3</w:t>
            </w:r>
            <w:r w:rsidDel="00000000" w:rsidR="00000000" w:rsidRPr="00000000">
              <w:rPr>
                <w:rFonts w:ascii="Calibri" w:cs="Calibri" w:eastAsia="Calibri" w:hAnsi="Calibri"/>
                <w:sz w:val="24"/>
                <w:szCs w:val="24"/>
                <w:rtl w:val="0"/>
              </w:rPr>
              <w:t xml:space="preserve">: No se encuentra el evento deportivo en la base de datos. Solución: Informar al usuario de que el evento podría haber sido cancelado.</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F">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F4</w:t>
            </w:r>
            <w:r w:rsidDel="00000000" w:rsidR="00000000" w:rsidRPr="00000000">
              <w:rPr>
                <w:rFonts w:ascii="Calibri" w:cs="Calibri" w:eastAsia="Calibri" w:hAnsi="Calibri"/>
                <w:sz w:val="24"/>
                <w:szCs w:val="24"/>
                <w:rtl w:val="0"/>
              </w:rPr>
              <w:t xml:space="preserve">: Fallo al cargar las imágenes (problema de conexión o imágenes no disponibles). Solución: Mostrar un mensaje de error y permitir recargar la página.</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F5</w:t>
            </w:r>
            <w:r w:rsidDel="00000000" w:rsidR="00000000" w:rsidRPr="00000000">
              <w:rPr>
                <w:rFonts w:ascii="Calibri" w:cs="Calibri" w:eastAsia="Calibri" w:hAnsi="Calibri"/>
                <w:sz w:val="24"/>
                <w:szCs w:val="24"/>
                <w:rtl w:val="0"/>
              </w:rPr>
              <w:t xml:space="preserve">: El usuario no puede ver las imágenes en tamaño completo (error de visualización). Solución: Notificar y ofrecer una alternativa de visualización estándar.</w:t>
            </w:r>
          </w:p>
        </w:tc>
      </w:tr>
      <w:tr>
        <w:trPr>
          <w:cantSplit w:val="1"/>
          <w:trHeight w:val="1397.18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5">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F6</w:t>
            </w:r>
            <w:r w:rsidDel="00000000" w:rsidR="00000000" w:rsidRPr="00000000">
              <w:rPr>
                <w:rFonts w:ascii="Calibri" w:cs="Calibri" w:eastAsia="Calibri" w:hAnsi="Calibri"/>
                <w:sz w:val="24"/>
                <w:szCs w:val="24"/>
                <w:rtl w:val="0"/>
              </w:rPr>
              <w:t xml:space="preserve">: Fallo al regresar a la página de detalles del evento. Solución: Permitir al usuario regresar manualmente mediante la navegación de la aplicación.</w:t>
            </w:r>
          </w:p>
        </w:tc>
      </w:tr>
      <w:tr>
        <w:trPr>
          <w:cantSplit w:val="1"/>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Rendimiento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8"/>
                <w:szCs w:val="28"/>
                <w:rtl w:val="0"/>
              </w:rPr>
              <w:t xml:space="preserve">Cota de tiempo</w:t>
            </w:r>
            <w:r w:rsidDel="00000000" w:rsidR="00000000" w:rsidRPr="00000000">
              <w:rPr>
                <w:rtl w:val="0"/>
              </w:rPr>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Frecuente </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Frecuente </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Frecuente </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Frecuente </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7">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Ocasional</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A">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Ocasional</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Frecuencia esperada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visualizan imágenes representativas de las áreas deportivas cuando están revisando los detalles de los eventos, lo que podría ocurrir varias veces al día según la cantidad de eventos deportivos disponibles.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4"/>
                <w:szCs w:val="24"/>
                <w:rtl w:val="0"/>
              </w:rPr>
              <w:t xml:space="preserve">Comentarios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60">
            <w:pPr>
              <w:numPr>
                <w:ilvl w:val="0"/>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Sería útil ofrecer diferentes formatos de visualización de las imágenes (miniaturas, galerías, imágenes 360 grados) para mejorar la experiencia del usuario.</w:t>
            </w:r>
          </w:p>
          <w:p w:rsidR="00000000" w:rsidDel="00000000" w:rsidP="00000000" w:rsidRDefault="00000000" w:rsidRPr="00000000" w14:paraId="00000061">
            <w:pPr>
              <w:numPr>
                <w:ilvl w:val="0"/>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sistema de caché de imágenes para mejorar el rendimiento en dispositivos con conexiones más lentas.</w:t>
            </w:r>
          </w:p>
        </w:tc>
      </w:tr>
    </w:tbl>
    <w:p w:rsidR="00000000" w:rsidDel="00000000" w:rsidP="00000000" w:rsidRDefault="00000000" w:rsidRPr="00000000" w14:paraId="00000063">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FCy3wat4OlRcqy3qev09Xd05w==">CgMxLjA4AHIhMURRVzFsMHV0Ti1pem9tVDZhTUx6M0RCNEhkVW1yN2RF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