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recuperar su contraseña si es que la ha olvidado a través de su correo electrónico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 29 Cambiar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podrá recuperar su contraseña en caso de olvidarla mediante un enlace enviado a su correo electrónico. Este enlace le permitirá restablecer su contraseña de manera segura y acceder nuevamente a su cuenta.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selecciona la opción “recuperar contraseña”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mostrará un campo vacío para que el usuario indique su correo electrónico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ingresa su correo electrónico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verifica que el correo electrónico está asociado a una cuenta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envía el enlace de recuperación al correo electrónico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ingresa al enlace recibido en su correo electrónico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la pantalla para establecer nueva contraseña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ingresa una nueva contraseña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la nueva contraseña del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al usuario que el cambio fue exitoso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correo no está asociado a una cuenta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enviar el enlace al correo electronico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la pantalla de cambio de contraseña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guardar la nueva contraseña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notificar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Muy poco frecuente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73c4pIiOvSqQp25W4PQR1BcDog==">CgMxLjA4AHIhMUg5RENHZnpNZ3Z0bFBqdEdJX2hyb1BYZ2FvMFUxUGdO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