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  <w:jc w:val="center"/>
      </w:pPr>
      <w:r>
        <w:drawing>
          <wp:inline xmlns:a="http://schemas.openxmlformats.org/drawingml/2006/main" xmlns:pic="http://schemas.openxmlformats.org/drawingml/2006/picture">
            <wp:extent cx="1872000" cy="131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131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/>
        <w:jc w:val="center"/>
      </w:pPr>
      <w:r>
        <w:rPr>
          <w:rFonts w:ascii="Microsoft YaHei" w:hAnsi="Microsoft YaHei" w:eastAsia="Microsoft YaHei"/>
          <w:b/>
          <w:color w:val="174C3C"/>
          <w:sz w:val="50"/>
        </w:rPr>
        <w:t>DataEX-G 数据清洗与空间分析软件</w:t>
      </w:r>
    </w:p>
    <w:p>
      <w:pPr>
        <w:spacing w:before="200"/>
        <w:jc w:val="center"/>
      </w:pPr>
      <w:r>
        <w:rPr>
          <w:rFonts w:ascii="Microsoft YaHei" w:hAnsi="Microsoft YaHei" w:eastAsia="Microsoft YaHei"/>
          <w:b/>
          <w:color w:val="25342D"/>
          <w:sz w:val="44"/>
        </w:rPr>
        <w:t>用户操作手册</w:t>
      </w:r>
    </w:p>
    <w:p>
      <w:pPr>
        <w:spacing w:before="360"/>
        <w:jc w:val="center"/>
      </w:pPr>
      <w:r>
        <w:rPr>
          <w:rFonts w:ascii="Microsoft YaHei" w:hAnsi="Microsoft YaHei" w:eastAsia="Microsoft YaHei"/>
          <w:color w:val="2F6D57"/>
          <w:sz w:val="28"/>
        </w:rPr>
        <w:t>V1.0</w:t>
      </w:r>
    </w:p>
    <w:p>
      <w:pPr>
        <w:spacing w:before="3100"/>
        <w:jc w:val="center"/>
      </w:pPr>
      <w:r>
        <w:rPr>
          <w:rFonts w:ascii="Microsoft YaHei" w:hAnsi="Microsoft YaHei" w:eastAsia="Microsoft YaHei"/>
          <w:color w:val="25342D"/>
          <w:sz w:val="21"/>
        </w:rPr>
        <w:t>编制日期：2026-08-26</w:t>
      </w:r>
    </w:p>
    <w:p>
      <w:pPr>
        <w:sectPr>
          <w:pgSz w:w="11906" w:h="16838"/>
          <w:pgMar w:top="1134" w:right="1134" w:bottom="1020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t>目录</w:t>
      </w:r>
    </w:p>
    <w:p>
      <w:pPr>
        <w:spacing w:after="140"/>
        <w:ind w:left="283"/>
      </w:pPr>
      <w:r>
        <w:rPr>
          <w:rFonts w:ascii="Microsoft YaHei" w:hAnsi="Microsoft YaHei" w:eastAsia="Microsoft YaHei"/>
          <w:color w:val="25342D"/>
          <w:sz w:val="22"/>
        </w:rPr>
        <w:t>1　软件概述</w:t>
      </w:r>
    </w:p>
    <w:p>
      <w:pPr>
        <w:spacing w:after="140"/>
        <w:ind w:left="283"/>
      </w:pPr>
      <w:r>
        <w:rPr>
          <w:rFonts w:ascii="Microsoft YaHei" w:hAnsi="Microsoft YaHei" w:eastAsia="Microsoft YaHei"/>
          <w:color w:val="25342D"/>
          <w:sz w:val="22"/>
        </w:rPr>
        <w:t>2　运行与启动</w:t>
      </w:r>
    </w:p>
    <w:p>
      <w:pPr>
        <w:spacing w:after="140"/>
        <w:ind w:left="283"/>
      </w:pPr>
      <w:r>
        <w:rPr>
          <w:rFonts w:ascii="Microsoft YaHei" w:hAnsi="Microsoft YaHei" w:eastAsia="Microsoft YaHei"/>
          <w:color w:val="25342D"/>
          <w:sz w:val="22"/>
        </w:rPr>
        <w:t>3　界面与数据文件</w:t>
      </w:r>
    </w:p>
    <w:p>
      <w:pPr>
        <w:spacing w:after="140"/>
        <w:ind w:left="283"/>
      </w:pPr>
      <w:r>
        <w:rPr>
          <w:rFonts w:ascii="Microsoft YaHei" w:hAnsi="Microsoft YaHei" w:eastAsia="Microsoft YaHei"/>
          <w:color w:val="25342D"/>
          <w:sz w:val="22"/>
        </w:rPr>
        <w:t>4　数据清洗</w:t>
      </w:r>
    </w:p>
    <w:p>
      <w:pPr>
        <w:spacing w:after="140"/>
        <w:ind w:left="283"/>
      </w:pPr>
      <w:r>
        <w:rPr>
          <w:rFonts w:ascii="Microsoft YaHei" w:hAnsi="Microsoft YaHei" w:eastAsia="Microsoft YaHei"/>
          <w:color w:val="25342D"/>
          <w:sz w:val="22"/>
        </w:rPr>
        <w:t>5　回归与相关性分析</w:t>
      </w:r>
    </w:p>
    <w:p>
      <w:pPr>
        <w:spacing w:after="140"/>
        <w:ind w:left="283"/>
      </w:pPr>
      <w:r>
        <w:rPr>
          <w:rFonts w:ascii="Microsoft YaHei" w:hAnsi="Microsoft YaHei" w:eastAsia="Microsoft YaHei"/>
          <w:color w:val="25342D"/>
          <w:sz w:val="22"/>
        </w:rPr>
        <w:t>6　空间分析</w:t>
      </w:r>
    </w:p>
    <w:p>
      <w:pPr>
        <w:spacing w:after="140"/>
        <w:ind w:left="283"/>
      </w:pPr>
      <w:r>
        <w:rPr>
          <w:rFonts w:ascii="Microsoft YaHei" w:hAnsi="Microsoft YaHei" w:eastAsia="Microsoft YaHei"/>
          <w:color w:val="25342D"/>
          <w:sz w:val="22"/>
        </w:rPr>
        <w:t>7　结果导出与文件命名</w:t>
      </w:r>
    </w:p>
    <w:p>
      <w:pPr>
        <w:spacing w:after="140"/>
        <w:ind w:left="283"/>
      </w:pPr>
      <w:r>
        <w:rPr>
          <w:rFonts w:ascii="Microsoft YaHei" w:hAnsi="Microsoft YaHei" w:eastAsia="Microsoft YaHei"/>
          <w:color w:val="25342D"/>
          <w:sz w:val="22"/>
        </w:rPr>
        <w:t>8　常见问题</w:t>
      </w:r>
    </w:p>
    <w:p>
      <w:pPr>
        <w:spacing w:after="140"/>
        <w:ind w:left="283"/>
      </w:pPr>
      <w:r>
        <w:rPr>
          <w:rFonts w:ascii="Microsoft YaHei" w:hAnsi="Microsoft YaHei" w:eastAsia="Microsoft YaHei"/>
          <w:color w:val="25342D"/>
          <w:sz w:val="22"/>
        </w:rPr>
        <w:t>9　使用注意事项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EAF3EE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5342D"/>
                <w:sz w:val="21"/>
              </w:rPr>
              <w:t>说明：</w:t>
            </w:r>
            <w:r>
              <w:rPr>
                <w:rFonts w:ascii="Microsoft YaHei" w:hAnsi="Microsoft YaHei" w:eastAsia="Microsoft YaHei"/>
                <w:color w:val="25342D"/>
                <w:sz w:val="21"/>
              </w:rPr>
              <w:t>本文档中的界面图片使用项目示例数据生成，字段名称和结果仅用于说明操作。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　软件概述</w:t>
      </w:r>
    </w:p>
    <w:p>
      <w:r>
        <w:rPr>
          <w:rFonts w:ascii="Microsoft YaHei" w:hAnsi="Microsoft YaHei" w:eastAsia="Microsoft YaHei"/>
          <w:color w:val="25342D"/>
          <w:sz w:val="21"/>
        </w:rPr>
        <w:t>DataEX-G 是运行于 Windows 的本地数据处理工具，用于检查、清洗、标准化、回归分析、相关性分析和空间分析。程序读取 CSV 或 XLSX 文件，计算完成后可导出 CSV 或 XLSX 结果。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74C3C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功能区</w:t>
            </w:r>
          </w:p>
        </w:tc>
        <w:tc>
          <w:tcPr>
            <w:tcW w:type="dxa" w:w="4819"/>
            <w:shd w:fill="174C3C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主要功能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数据清洗</w:t>
            </w:r>
          </w:p>
        </w:tc>
        <w:tc>
          <w:tcPr>
            <w:tcW w:type="dxa" w:w="72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空值检查与处理、文本问题检查、Min-Max 和 Z-score 标准化</w:t>
            </w:r>
          </w:p>
        </w:tc>
      </w:tr>
      <w:tr>
        <w:tc>
          <w:tcPr>
            <w:tcW w:type="dxa" w:w="1814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回归分析</w:t>
            </w:r>
          </w:p>
        </w:tc>
        <w:tc>
          <w:tcPr>
            <w:tcW w:type="dxa" w:w="7257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OLS、负二项回归、Logistic 回归及模型诊断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相关性分析</w:t>
            </w:r>
          </w:p>
        </w:tc>
        <w:tc>
          <w:tcPr>
            <w:tcW w:type="dxa" w:w="72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Pearson、Spearman 相关系数及显著性检验</w:t>
            </w:r>
          </w:p>
        </w:tc>
      </w:tr>
      <w:tr>
        <w:tc>
          <w:tcPr>
            <w:tcW w:type="dxa" w:w="1814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空间分析</w:t>
            </w:r>
          </w:p>
        </w:tc>
        <w:tc>
          <w:tcPr>
            <w:tcW w:type="dxa" w:w="7257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Moran's I、SLM/SAR、SEM、SDM、GWR 及空间诊断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结果导出</w:t>
            </w:r>
          </w:p>
        </w:tc>
        <w:tc>
          <w:tcPr>
            <w:tcW w:type="dxa" w:w="72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清洗结果、回归结果和空间结果导出为 CSV 或 XLSX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EAF3EE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5342D"/>
                <w:sz w:val="21"/>
              </w:rPr>
              <w:t>说明：</w:t>
            </w:r>
            <w:r>
              <w:rPr>
                <w:rFonts w:ascii="Microsoft YaHei" w:hAnsi="Microsoft YaHei" w:eastAsia="Microsoft YaHei"/>
                <w:color w:val="25342D"/>
                <w:sz w:val="21"/>
              </w:rPr>
              <w:t>数据由本机程序处理。操作不会覆盖原文件，只有点击导出后才会生成新文件。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　运行与启动</w:t>
      </w:r>
    </w:p>
    <w:p>
      <w:pPr>
        <w:pStyle w:val="Heading2"/>
      </w:pPr>
      <w:r>
        <w:t>2.1　运行环境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操作系统：Windows 10 或 Windows 11，64 位。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浏览组件：Microsoft Edge WebView2 Runtime。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数据文件：CSV 或 XLSX，单个文件不超过 20 MB。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建议内存：8 GB 或以上；较大的空间模型需要更多内存和计算时间。</w:t>
      </w:r>
    </w:p>
    <w:p>
      <w:pPr>
        <w:pStyle w:val="Heading2"/>
      </w:pPr>
      <w:r>
        <w:t>2.2　启动程序</w:t>
      </w:r>
    </w:p>
    <w:p>
      <w:pPr>
        <w:ind w:left="369" w:hanging="369"/>
      </w:pPr>
      <w:r>
        <w:rPr>
          <w:rFonts w:ascii="Microsoft YaHei" w:hAnsi="Microsoft YaHei" w:eastAsia="Microsoft YaHei"/>
          <w:b/>
          <w:color w:val="174C3C"/>
          <w:sz w:val="21"/>
        </w:rPr>
        <w:t xml:space="preserve">1. </w:t>
      </w:r>
      <w:r>
        <w:rPr>
          <w:rFonts w:ascii="Microsoft YaHei" w:hAnsi="Microsoft YaHei" w:eastAsia="Microsoft YaHei"/>
          <w:color w:val="25342D"/>
          <w:sz w:val="21"/>
        </w:rPr>
        <w:t>完整解压 DataEX-G 发布包。</w:t>
      </w:r>
    </w:p>
    <w:p>
      <w:pPr>
        <w:ind w:left="369" w:hanging="369"/>
      </w:pPr>
      <w:r>
        <w:rPr>
          <w:rFonts w:ascii="Microsoft YaHei" w:hAnsi="Microsoft YaHei" w:eastAsia="Microsoft YaHei"/>
          <w:b/>
          <w:color w:val="174C3C"/>
          <w:sz w:val="21"/>
        </w:rPr>
        <w:t xml:space="preserve">2. </w:t>
      </w:r>
      <w:r>
        <w:rPr>
          <w:rFonts w:ascii="Microsoft YaHei" w:hAnsi="Microsoft YaHei" w:eastAsia="Microsoft YaHei"/>
          <w:color w:val="25342D"/>
          <w:sz w:val="21"/>
        </w:rPr>
        <w:t>进入 DataEX-G 文件夹，双击 DataEX-G.exe。</w:t>
      </w:r>
    </w:p>
    <w:p>
      <w:pPr>
        <w:ind w:left="369" w:hanging="369"/>
      </w:pPr>
      <w:r>
        <w:rPr>
          <w:rFonts w:ascii="Microsoft YaHei" w:hAnsi="Microsoft YaHei" w:eastAsia="Microsoft YaHei"/>
          <w:b/>
          <w:color w:val="174C3C"/>
          <w:sz w:val="21"/>
        </w:rPr>
        <w:t xml:space="preserve">3. </w:t>
      </w:r>
      <w:r>
        <w:rPr>
          <w:rFonts w:ascii="Microsoft YaHei" w:hAnsi="Microsoft YaHei" w:eastAsia="Microsoft YaHei"/>
          <w:color w:val="25342D"/>
          <w:sz w:val="21"/>
        </w:rPr>
        <w:t>等待主界面出现。首次启动可能稍慢。</w:t>
      </w:r>
    </w:p>
    <w:p>
      <w:pPr>
        <w:ind w:left="369" w:hanging="369"/>
      </w:pPr>
      <w:r>
        <w:rPr>
          <w:rFonts w:ascii="Microsoft YaHei" w:hAnsi="Microsoft YaHei" w:eastAsia="Microsoft YaHei"/>
          <w:b/>
          <w:color w:val="174C3C"/>
          <w:sz w:val="21"/>
        </w:rPr>
        <w:t xml:space="preserve">4. </w:t>
      </w:r>
      <w:r>
        <w:rPr>
          <w:rFonts w:ascii="Microsoft YaHei" w:hAnsi="Microsoft YaHei" w:eastAsia="Microsoft YaHei"/>
          <w:color w:val="25342D"/>
          <w:sz w:val="21"/>
        </w:rPr>
        <w:t>使用结束后关闭主窗口，程序会同时停止本地分析服务。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FF6DD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5342D"/>
                <w:sz w:val="21"/>
              </w:rPr>
              <w:t>注意：</w:t>
            </w:r>
            <w:r>
              <w:rPr>
                <w:rFonts w:ascii="Microsoft YaHei" w:hAnsi="Microsoft YaHei" w:eastAsia="Microsoft YaHei"/>
                <w:color w:val="25342D"/>
                <w:sz w:val="21"/>
              </w:rPr>
              <w:t>不要单独复制 DataEX-G.exe。EXE 与同目录依赖文件必须一起保留。程序同一时间只允许启动一个实例。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color w:val="25342D"/>
          <w:sz w:val="21"/>
        </w:rPr>
        <w:t>启动失败时，先确认 WebView2 Runtime 已安装。运行日志位于 %LOCALAPPDATA%\DataEX-G\logs\desktop.log。</w:t>
      </w:r>
    </w:p>
    <w:p>
      <w:r>
        <w:br w:type="page"/>
      </w:r>
    </w:p>
    <w:p>
      <w:pPr>
        <w:pStyle w:val="Heading1"/>
      </w:pPr>
      <w:r>
        <w:t>3　界面与数据文件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416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main-interfa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1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Microsoft YaHei" w:hAnsi="Microsoft YaHei" w:eastAsia="Microsoft YaHei"/>
          <w:color w:val="2F6D57"/>
          <w:sz w:val="18"/>
        </w:rPr>
        <w:t>图 1　DataEX-G 主界面</w:t>
      </w:r>
    </w:p>
    <w:p>
      <w:r>
        <w:rPr>
          <w:rFonts w:ascii="Microsoft YaHei" w:hAnsi="Microsoft YaHei" w:eastAsia="Microsoft YaHei"/>
          <w:color w:val="25342D"/>
          <w:sz w:val="21"/>
        </w:rPr>
        <w:t>主界面顶部包含“数据清洗”“回归分析方法”“空间分析”三个窗口。切换窗口不会修改原始数据。每个分析窗口需要单独选择数据文件。</w:t>
      </w:r>
    </w:p>
    <w:p>
      <w:pPr>
        <w:pStyle w:val="Heading2"/>
      </w:pPr>
      <w:r>
        <w:t>3.1　数据文件要求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CSV 支持 UTF-8、UTF-8 BOM 和 GB18030 编码。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XLSX 默认读取第一个工作表。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首行应为字段名称；每一行应代表一条观测记录。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同一列尽量使用统一的数据类型和单位。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回归与空间分析只提供可安全识别的纯数值列。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文件预览最多显示前 100 行，分析和导出仍使用完整数据。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FF6DD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5342D"/>
                <w:sz w:val="21"/>
              </w:rPr>
              <w:t>注意：</w:t>
            </w:r>
            <w:r>
              <w:rPr>
                <w:rFonts w:ascii="Microsoft YaHei" w:hAnsi="Microsoft YaHei" w:eastAsia="Microsoft YaHei"/>
                <w:color w:val="25342D"/>
                <w:sz w:val="21"/>
              </w:rPr>
              <w:t>分析前保留原始文件副本。不要在原始文件上直接覆盖保存导出结果。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　数据清洗</w:t>
      </w:r>
    </w:p>
    <w:p>
      <w:pPr>
        <w:pStyle w:val="Heading2"/>
      </w:pPr>
      <w:r>
        <w:t>4.1　选择并检查文件</w:t>
      </w:r>
    </w:p>
    <w:p>
      <w:pPr>
        <w:ind w:left="369" w:hanging="369"/>
      </w:pPr>
      <w:r>
        <w:rPr>
          <w:rFonts w:ascii="Microsoft YaHei" w:hAnsi="Microsoft YaHei" w:eastAsia="Microsoft YaHei"/>
          <w:b/>
          <w:color w:val="174C3C"/>
          <w:sz w:val="21"/>
        </w:rPr>
        <w:t xml:space="preserve">1. </w:t>
      </w:r>
      <w:r>
        <w:rPr>
          <w:rFonts w:ascii="Microsoft YaHei" w:hAnsi="Microsoft YaHei" w:eastAsia="Microsoft YaHei"/>
          <w:color w:val="25342D"/>
          <w:sz w:val="21"/>
        </w:rPr>
        <w:t>进入“数据清洗”窗口。</w:t>
      </w:r>
    </w:p>
    <w:p>
      <w:pPr>
        <w:ind w:left="369" w:hanging="369"/>
      </w:pPr>
      <w:r>
        <w:rPr>
          <w:rFonts w:ascii="Microsoft YaHei" w:hAnsi="Microsoft YaHei" w:eastAsia="Microsoft YaHei"/>
          <w:b/>
          <w:color w:val="174C3C"/>
          <w:sz w:val="21"/>
        </w:rPr>
        <w:t xml:space="preserve">2. </w:t>
      </w:r>
      <w:r>
        <w:rPr>
          <w:rFonts w:ascii="Microsoft YaHei" w:hAnsi="Microsoft YaHei" w:eastAsia="Microsoft YaHei"/>
          <w:color w:val="25342D"/>
          <w:sz w:val="21"/>
        </w:rPr>
        <w:t>点击文件区域，或将 CSV/XLSX 文件拖入区域。</w:t>
      </w:r>
    </w:p>
    <w:p>
      <w:pPr>
        <w:ind w:left="369" w:hanging="369"/>
      </w:pPr>
      <w:r>
        <w:rPr>
          <w:rFonts w:ascii="Microsoft YaHei" w:hAnsi="Microsoft YaHei" w:eastAsia="Microsoft YaHei"/>
          <w:b/>
          <w:color w:val="174C3C"/>
          <w:sz w:val="21"/>
        </w:rPr>
        <w:t xml:space="preserve">3. </w:t>
      </w:r>
      <w:r>
        <w:rPr>
          <w:rFonts w:ascii="Microsoft YaHei" w:hAnsi="Microsoft YaHei" w:eastAsia="Microsoft YaHei"/>
          <w:color w:val="25342D"/>
          <w:sz w:val="21"/>
        </w:rPr>
        <w:t>确认文件名后点击“开始分析”。</w:t>
      </w:r>
    </w:p>
    <w:p>
      <w:pPr>
        <w:ind w:left="369" w:hanging="369"/>
      </w:pPr>
      <w:r>
        <w:rPr>
          <w:rFonts w:ascii="Microsoft YaHei" w:hAnsi="Microsoft YaHei" w:eastAsia="Microsoft YaHei"/>
          <w:b/>
          <w:color w:val="174C3C"/>
          <w:sz w:val="21"/>
        </w:rPr>
        <w:t xml:space="preserve">4. </w:t>
      </w:r>
      <w:r>
        <w:rPr>
          <w:rFonts w:ascii="Microsoft YaHei" w:hAnsi="Microsoft YaHei" w:eastAsia="Microsoft YaHei"/>
          <w:color w:val="25342D"/>
          <w:sz w:val="21"/>
        </w:rPr>
        <w:t>查看文件摘要和质量报告。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2099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file-sel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9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Microsoft YaHei" w:hAnsi="Microsoft YaHei" w:eastAsia="Microsoft YaHei"/>
          <w:color w:val="2F6D57"/>
          <w:sz w:val="18"/>
        </w:rPr>
        <w:t>图 2　选择数据文件</w:t>
      </w:r>
    </w:p>
    <w:p>
      <w:r>
        <w:br w:type="page"/>
      </w:r>
    </w:p>
    <w:p>
      <w:pPr>
        <w:pStyle w:val="Heading2"/>
      </w:pPr>
      <w:r>
        <w:t>4.2　查看质量摘要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5733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quality-summa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73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Microsoft YaHei" w:hAnsi="Microsoft YaHei" w:eastAsia="Microsoft YaHei"/>
          <w:color w:val="2F6D57"/>
          <w:sz w:val="18"/>
        </w:rPr>
        <w:t>图 3　文件质量摘要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74C3C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4819"/>
            <w:shd w:fill="174C3C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</w:tr>
      <w:tr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数据行数</w:t>
            </w:r>
          </w:p>
        </w:tc>
        <w:tc>
          <w:tcPr>
            <w:tcW w:type="dxa" w:w="70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不含字段标题的数据记录数量</w:t>
            </w:r>
          </w:p>
        </w:tc>
      </w:tr>
      <w:tr>
        <w:tc>
          <w:tcPr>
            <w:tcW w:type="dxa" w:w="1984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字段数量</w:t>
            </w:r>
          </w:p>
        </w:tc>
        <w:tc>
          <w:tcPr>
            <w:tcW w:type="dxa" w:w="7087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数据列数量</w:t>
            </w:r>
          </w:p>
        </w:tc>
      </w:tr>
      <w:tr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空值单元格</w:t>
            </w:r>
          </w:p>
        </w:tc>
        <w:tc>
          <w:tcPr>
            <w:tcW w:type="dxa" w:w="70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缺失值和空文本的总数</w:t>
            </w:r>
          </w:p>
        </w:tc>
      </w:tr>
      <w:tr>
        <w:tc>
          <w:tcPr>
            <w:tcW w:type="dxa" w:w="1984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重复数据行</w:t>
            </w:r>
          </w:p>
        </w:tc>
        <w:tc>
          <w:tcPr>
            <w:tcW w:type="dxa" w:w="7087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内容完全相同的重复行数量</w:t>
            </w:r>
          </w:p>
        </w:tc>
      </w:tr>
      <w:tr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前后空格</w:t>
            </w:r>
          </w:p>
        </w:tc>
        <w:tc>
          <w:tcPr>
            <w:tcW w:type="dxa" w:w="70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文本开头或结尾包含空白的单元格数量</w:t>
            </w:r>
          </w:p>
        </w:tc>
      </w:tr>
      <w:tr>
        <w:tc>
          <w:tcPr>
            <w:tcW w:type="dxa" w:w="1984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回车/换行</w:t>
            </w:r>
          </w:p>
        </w:tc>
        <w:tc>
          <w:tcPr>
            <w:tcW w:type="dxa" w:w="7087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文本内部包含回车或换行的单元格数量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color w:val="25342D"/>
          <w:sz w:val="21"/>
        </w:rPr>
        <w:t>质量报告按字段展示 pandas 类型、空值数量、识别出的内容类型和文本问题。“混合类型”表示同一列中出现不同内容类型，应在建模前统一。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16645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quality-repo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664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Microsoft YaHei" w:hAnsi="Microsoft YaHei" w:eastAsia="Microsoft YaHei"/>
          <w:color w:val="2F6D57"/>
          <w:sz w:val="18"/>
        </w:rPr>
        <w:t>图 4　字段质量报告</w:t>
      </w:r>
    </w:p>
    <w:p>
      <w:r>
        <w:br w:type="page"/>
      </w:r>
    </w:p>
    <w:p>
      <w:pPr>
        <w:pStyle w:val="Heading2"/>
      </w:pPr>
      <w:r>
        <w:t>4.3　设置空值处理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74C3C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选项</w:t>
            </w:r>
          </w:p>
        </w:tc>
        <w:tc>
          <w:tcPr>
            <w:tcW w:type="dxa" w:w="3213"/>
            <w:shd w:fill="174C3C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处理结果</w:t>
            </w:r>
          </w:p>
        </w:tc>
        <w:tc>
          <w:tcPr>
            <w:tcW w:type="dxa" w:w="3213"/>
            <w:shd w:fill="174C3C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使用提示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暂不处理</w:t>
            </w:r>
          </w:p>
        </w:tc>
        <w:tc>
          <w:tcPr>
            <w:tcW w:type="dxa" w:w="30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保留全部空值</w:t>
            </w:r>
          </w:p>
        </w:tc>
        <w:tc>
          <w:tcPr>
            <w:tcW w:type="dxa" w:w="41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用于先检查数据或暂不确定处理方式时</w:t>
            </w:r>
          </w:p>
        </w:tc>
      </w:tr>
      <w:tr>
        <w:tc>
          <w:tcPr>
            <w:tcW w:type="dxa" w:w="1814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删除空值行</w:t>
            </w:r>
          </w:p>
        </w:tc>
        <w:tc>
          <w:tcPr>
            <w:tcW w:type="dxa" w:w="3061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删除包含任意空值的整行</w:t>
            </w:r>
          </w:p>
        </w:tc>
        <w:tc>
          <w:tcPr>
            <w:tcW w:type="dxa" w:w="4195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可能减少样本量，导出前检查删除数量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摘出为空值表</w:t>
            </w:r>
          </w:p>
        </w:tc>
        <w:tc>
          <w:tcPr>
            <w:tcW w:type="dxa" w:w="30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从主表移出，并生成独立空值表</w:t>
            </w:r>
          </w:p>
        </w:tc>
        <w:tc>
          <w:tcPr>
            <w:tcW w:type="dxa" w:w="419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适合后续人工核对或补录</w:t>
            </w:r>
          </w:p>
        </w:tc>
      </w:tr>
      <w:tr>
        <w:tc>
          <w:tcPr>
            <w:tcW w:type="dxa" w:w="1814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使用 0 替换</w:t>
            </w:r>
          </w:p>
        </w:tc>
        <w:tc>
          <w:tcPr>
            <w:tcW w:type="dxa" w:w="3061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所有空值替换为数值 0</w:t>
            </w:r>
          </w:p>
        </w:tc>
        <w:tc>
          <w:tcPr>
            <w:tcW w:type="dxa" w:w="4195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仅在 0 具有明确业务含义时使用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FF6DD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5342D"/>
                <w:sz w:val="21"/>
              </w:rPr>
              <w:t>注意：</w:t>
            </w:r>
            <w:r>
              <w:rPr>
                <w:rFonts w:ascii="Microsoft YaHei" w:hAnsi="Microsoft YaHei" w:eastAsia="Microsoft YaHei"/>
                <w:color w:val="25342D"/>
                <w:sz w:val="21"/>
              </w:rPr>
              <w:t>空值不一定等于 0。随意填充 0 会改变均值、相关性和回归结果。</w:t>
            </w:r>
          </w:p>
        </w:tc>
      </w:tr>
    </w:tbl>
    <w:p>
      <w:pPr>
        <w:spacing w:after="0"/>
      </w:pPr>
    </w:p>
    <w:p>
      <w:pPr>
        <w:pStyle w:val="Heading2"/>
      </w:pPr>
      <w:r>
        <w:t>4.4　设置文本处理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清除文本前后空格：删除文本首尾空白，不删除文本中间的正常空格。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清除回车和换行符：将连续回车/换行替换为一个空格。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未勾选的文本问题只作提示，不会被修改。</w:t>
      </w:r>
    </w:p>
    <w:p>
      <w:pPr>
        <w:pStyle w:val="Heading2"/>
      </w:pPr>
      <w:r>
        <w:t>4.5　设置数据标准化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74C3C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3213"/>
            <w:shd w:fill="174C3C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计算结果</w:t>
            </w:r>
          </w:p>
        </w:tc>
        <w:tc>
          <w:tcPr>
            <w:tcW w:type="dxa" w:w="3213"/>
            <w:shd w:fill="174C3C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适用情况</w:t>
            </w:r>
          </w:p>
        </w:tc>
      </w:tr>
      <w:tr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Min-Max</w:t>
            </w:r>
          </w:p>
        </w:tc>
        <w:tc>
          <w:tcPr>
            <w:tcW w:type="dxa" w:w="32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数值缩放到 0—1</w:t>
            </w:r>
          </w:p>
        </w:tc>
        <w:tc>
          <w:tcPr>
            <w:tcW w:type="dxa" w:w="396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需要统一量纲或固定范围时</w:t>
            </w:r>
          </w:p>
        </w:tc>
      </w:tr>
      <w:tr>
        <w:tc>
          <w:tcPr>
            <w:tcW w:type="dxa" w:w="1814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Z-score</w:t>
            </w:r>
          </w:p>
        </w:tc>
        <w:tc>
          <w:tcPr>
            <w:tcW w:type="dxa" w:w="3288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均值约为 0，标准差约为 1</w:t>
            </w:r>
          </w:p>
        </w:tc>
        <w:tc>
          <w:tcPr>
            <w:tcW w:type="dxa" w:w="3969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变量尺度差异较大或用于模型比较时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color w:val="25342D"/>
          <w:sz w:val="21"/>
        </w:rPr>
        <w:t>选择标准化方法后，至少勾选一个数值列。常数列标准化后为 0。结果保留 6 位小数。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366131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leaning-ru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61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Microsoft YaHei" w:hAnsi="Microsoft YaHei" w:eastAsia="Microsoft YaHei"/>
          <w:color w:val="2F6D57"/>
          <w:sz w:val="18"/>
        </w:rPr>
        <w:t>图 5　清洗规则与标准化设置</w:t>
      </w:r>
    </w:p>
    <w:p>
      <w:r>
        <w:br w:type="page"/>
      </w:r>
    </w:p>
    <w:p>
      <w:pPr>
        <w:pStyle w:val="Heading2"/>
      </w:pPr>
      <w:r>
        <w:t>4.6　预览并导出清洗结果</w:t>
      </w:r>
    </w:p>
    <w:p>
      <w:pPr>
        <w:ind w:left="369" w:hanging="369"/>
      </w:pPr>
      <w:r>
        <w:rPr>
          <w:rFonts w:ascii="Microsoft YaHei" w:hAnsi="Microsoft YaHei" w:eastAsia="Microsoft YaHei"/>
          <w:b/>
          <w:color w:val="174C3C"/>
          <w:sz w:val="21"/>
        </w:rPr>
        <w:t xml:space="preserve">1. </w:t>
      </w:r>
      <w:r>
        <w:rPr>
          <w:rFonts w:ascii="Microsoft YaHei" w:hAnsi="Microsoft YaHei" w:eastAsia="Microsoft YaHei"/>
          <w:color w:val="25342D"/>
          <w:sz w:val="21"/>
        </w:rPr>
        <w:t>完成规则设置后点击“生成清洗预览”。</w:t>
      </w:r>
    </w:p>
    <w:p>
      <w:pPr>
        <w:ind w:left="369" w:hanging="369"/>
      </w:pPr>
      <w:r>
        <w:rPr>
          <w:rFonts w:ascii="Microsoft YaHei" w:hAnsi="Microsoft YaHei" w:eastAsia="Microsoft YaHei"/>
          <w:b/>
          <w:color w:val="174C3C"/>
          <w:sz w:val="21"/>
        </w:rPr>
        <w:t xml:space="preserve">2. </w:t>
      </w:r>
      <w:r>
        <w:rPr>
          <w:rFonts w:ascii="Microsoft YaHei" w:hAnsi="Microsoft YaHei" w:eastAsia="Microsoft YaHei"/>
          <w:color w:val="25342D"/>
          <w:sz w:val="21"/>
        </w:rPr>
        <w:t>核对原始行数、清洗后行数、摘出行数和文本修改数量。</w:t>
      </w:r>
    </w:p>
    <w:p>
      <w:pPr>
        <w:ind w:left="369" w:hanging="369"/>
      </w:pPr>
      <w:r>
        <w:rPr>
          <w:rFonts w:ascii="Microsoft YaHei" w:hAnsi="Microsoft YaHei" w:eastAsia="Microsoft YaHei"/>
          <w:b/>
          <w:color w:val="174C3C"/>
          <w:sz w:val="21"/>
        </w:rPr>
        <w:t xml:space="preserve">3. </w:t>
      </w:r>
      <w:r>
        <w:rPr>
          <w:rFonts w:ascii="Microsoft YaHei" w:hAnsi="Microsoft YaHei" w:eastAsia="Microsoft YaHei"/>
          <w:color w:val="25342D"/>
          <w:sz w:val="21"/>
        </w:rPr>
        <w:t>检查主表预览；选择摘出空值表时，同时检查空值表预览。</w:t>
      </w:r>
    </w:p>
    <w:p>
      <w:pPr>
        <w:ind w:left="369" w:hanging="369"/>
      </w:pPr>
      <w:r>
        <w:rPr>
          <w:rFonts w:ascii="Microsoft YaHei" w:hAnsi="Microsoft YaHei" w:eastAsia="Microsoft YaHei"/>
          <w:b/>
          <w:color w:val="174C3C"/>
          <w:sz w:val="21"/>
        </w:rPr>
        <w:t xml:space="preserve">4. </w:t>
      </w:r>
      <w:r>
        <w:rPr>
          <w:rFonts w:ascii="Microsoft YaHei" w:hAnsi="Microsoft YaHei" w:eastAsia="Microsoft YaHei"/>
          <w:color w:val="25342D"/>
          <w:sz w:val="21"/>
        </w:rPr>
        <w:t>确认无误后导出主表 CSV、空值表 CSV 或 XLSX。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309682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leaning-resu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Microsoft YaHei" w:hAnsi="Microsoft YaHei" w:eastAsia="Microsoft YaHei"/>
          <w:color w:val="2F6D57"/>
          <w:sz w:val="18"/>
        </w:rPr>
        <w:t>图 6　清洗预览与导出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EAF3EE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5342D"/>
                <w:sz w:val="21"/>
              </w:rPr>
              <w:t>说明：</w:t>
            </w:r>
            <w:r>
              <w:rPr>
                <w:rFonts w:ascii="Microsoft YaHei" w:hAnsi="Microsoft YaHei" w:eastAsia="Microsoft YaHei"/>
                <w:color w:val="25342D"/>
                <w:sz w:val="21"/>
              </w:rPr>
              <w:t>XLSX 将清洗后主表写入 cleaned_data 工作表；存在摘出数据时，同时写入 missing_data 工作表。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　回归与相关性分析</w:t>
      </w:r>
    </w:p>
    <w:p>
      <w:pPr>
        <w:pStyle w:val="Heading2"/>
      </w:pPr>
      <w:r>
        <w:t>5.1　方法选择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74C3C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3213"/>
            <w:shd w:fill="174C3C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数据要求</w:t>
            </w:r>
          </w:p>
        </w:tc>
        <w:tc>
          <w:tcPr>
            <w:tcW w:type="dxa" w:w="3213"/>
            <w:shd w:fill="174C3C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主要用途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OLS</w:t>
            </w:r>
          </w:p>
        </w:tc>
        <w:tc>
          <w:tcPr>
            <w:tcW w:type="dxa" w:w="368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连续数值因变量；一个或多个数值自变量</w:t>
            </w:r>
          </w:p>
        </w:tc>
        <w:tc>
          <w:tcPr>
            <w:tcW w:type="dxa" w:w="368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估计线性关系</w:t>
            </w:r>
          </w:p>
        </w:tc>
      </w:tr>
      <w:tr>
        <w:tc>
          <w:tcPr>
            <w:tcW w:type="dxa" w:w="1701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负二项回归</w:t>
            </w:r>
          </w:p>
        </w:tc>
        <w:tc>
          <w:tcPr>
            <w:tcW w:type="dxa" w:w="3685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非负整数计数因变量</w:t>
            </w:r>
          </w:p>
        </w:tc>
        <w:tc>
          <w:tcPr>
            <w:tcW w:type="dxa" w:w="3685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处理计数数据及过度离散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Pearson</w:t>
            </w:r>
          </w:p>
        </w:tc>
        <w:tc>
          <w:tcPr>
            <w:tcW w:type="dxa" w:w="368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两个数值变量</w:t>
            </w:r>
          </w:p>
        </w:tc>
        <w:tc>
          <w:tcPr>
            <w:tcW w:type="dxa" w:w="368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检验线性相关</w:t>
            </w:r>
          </w:p>
        </w:tc>
      </w:tr>
      <w:tr>
        <w:tc>
          <w:tcPr>
            <w:tcW w:type="dxa" w:w="1701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Spearman</w:t>
            </w:r>
          </w:p>
        </w:tc>
        <w:tc>
          <w:tcPr>
            <w:tcW w:type="dxa" w:w="3685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两个可排序数值变量</w:t>
            </w:r>
          </w:p>
        </w:tc>
        <w:tc>
          <w:tcPr>
            <w:tcW w:type="dxa" w:w="3685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检验单调相关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Logistic</w:t>
            </w:r>
          </w:p>
        </w:tc>
        <w:tc>
          <w:tcPr>
            <w:tcW w:type="dxa" w:w="368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仅包含两类取值的因变量</w:t>
            </w:r>
          </w:p>
        </w:tc>
        <w:tc>
          <w:tcPr>
            <w:tcW w:type="dxa" w:w="368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估计二分类结果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FF6DD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5342D"/>
                <w:sz w:val="21"/>
              </w:rPr>
              <w:t>注意：</w:t>
            </w:r>
            <w:r>
              <w:rPr>
                <w:rFonts w:ascii="Microsoft YaHei" w:hAnsi="Microsoft YaHei" w:eastAsia="Microsoft YaHei"/>
                <w:color w:val="25342D"/>
                <w:sz w:val="21"/>
              </w:rPr>
              <w:t>相关性和统计显著性不代表因果关系。方法选择应与变量类型和研究设计一致。</w:t>
            </w:r>
          </w:p>
        </w:tc>
      </w:tr>
    </w:tbl>
    <w:p>
      <w:pPr>
        <w:spacing w:after="0"/>
      </w:pPr>
    </w:p>
    <w:p>
      <w:pPr>
        <w:pStyle w:val="Heading2"/>
      </w:pPr>
      <w:r>
        <w:t>5.2　运行分析</w:t>
      </w:r>
    </w:p>
    <w:p>
      <w:pPr>
        <w:ind w:left="369" w:hanging="369"/>
      </w:pPr>
      <w:r>
        <w:rPr>
          <w:rFonts w:ascii="Microsoft YaHei" w:hAnsi="Microsoft YaHei" w:eastAsia="Microsoft YaHei"/>
          <w:b/>
          <w:color w:val="174C3C"/>
          <w:sz w:val="21"/>
        </w:rPr>
        <w:t xml:space="preserve">1. </w:t>
      </w:r>
      <w:r>
        <w:rPr>
          <w:rFonts w:ascii="Microsoft YaHei" w:hAnsi="Microsoft YaHei" w:eastAsia="Microsoft YaHei"/>
          <w:color w:val="25342D"/>
          <w:sz w:val="21"/>
        </w:rPr>
        <w:t>进入“回归分析方法”窗口并选择数据文件。</w:t>
      </w:r>
    </w:p>
    <w:p>
      <w:pPr>
        <w:ind w:left="369" w:hanging="369"/>
      </w:pPr>
      <w:r>
        <w:rPr>
          <w:rFonts w:ascii="Microsoft YaHei" w:hAnsi="Microsoft YaHei" w:eastAsia="Microsoft YaHei"/>
          <w:b/>
          <w:color w:val="174C3C"/>
          <w:sz w:val="21"/>
        </w:rPr>
        <w:t xml:space="preserve">2. </w:t>
      </w:r>
      <w:r>
        <w:rPr>
          <w:rFonts w:ascii="Microsoft YaHei" w:hAnsi="Microsoft YaHei" w:eastAsia="Microsoft YaHei"/>
          <w:color w:val="25342D"/>
          <w:sz w:val="21"/>
        </w:rPr>
        <w:t>选择分析方法。</w:t>
      </w:r>
    </w:p>
    <w:p>
      <w:pPr>
        <w:ind w:left="369" w:hanging="369"/>
      </w:pPr>
      <w:r>
        <w:rPr>
          <w:rFonts w:ascii="Microsoft YaHei" w:hAnsi="Microsoft YaHei" w:eastAsia="Microsoft YaHei"/>
          <w:b/>
          <w:color w:val="174C3C"/>
          <w:sz w:val="21"/>
        </w:rPr>
        <w:t xml:space="preserve">3. </w:t>
      </w:r>
      <w:r>
        <w:rPr>
          <w:rFonts w:ascii="Microsoft YaHei" w:hAnsi="Microsoft YaHei" w:eastAsia="Microsoft YaHei"/>
          <w:color w:val="25342D"/>
          <w:sz w:val="21"/>
        </w:rPr>
        <w:t>指定因变量 Y；回归方法勾选一个或多个自变量 X。</w:t>
      </w:r>
    </w:p>
    <w:p>
      <w:pPr>
        <w:ind w:left="369" w:hanging="369"/>
      </w:pPr>
      <w:r>
        <w:rPr>
          <w:rFonts w:ascii="Microsoft YaHei" w:hAnsi="Microsoft YaHei" w:eastAsia="Microsoft YaHei"/>
          <w:b/>
          <w:color w:val="174C3C"/>
          <w:sz w:val="21"/>
        </w:rPr>
        <w:t xml:space="preserve">4. </w:t>
      </w:r>
      <w:r>
        <w:rPr>
          <w:rFonts w:ascii="Microsoft YaHei" w:hAnsi="Microsoft YaHei" w:eastAsia="Microsoft YaHei"/>
          <w:color w:val="25342D"/>
          <w:sz w:val="21"/>
        </w:rPr>
        <w:t>Pearson 或 Spearman 分别选择变量 Y 和变量 X。</w:t>
      </w:r>
    </w:p>
    <w:p>
      <w:pPr>
        <w:ind w:left="369" w:hanging="369"/>
      </w:pPr>
      <w:r>
        <w:rPr>
          <w:rFonts w:ascii="Microsoft YaHei" w:hAnsi="Microsoft YaHei" w:eastAsia="Microsoft YaHei"/>
          <w:b/>
          <w:color w:val="174C3C"/>
          <w:sz w:val="21"/>
        </w:rPr>
        <w:t xml:space="preserve">5. </w:t>
      </w:r>
      <w:r>
        <w:rPr>
          <w:rFonts w:ascii="Microsoft YaHei" w:hAnsi="Microsoft YaHei" w:eastAsia="Microsoft YaHei"/>
          <w:color w:val="25342D"/>
          <w:sz w:val="21"/>
        </w:rPr>
        <w:t>点击“运行分析”。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205207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egression-settin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5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Microsoft YaHei" w:hAnsi="Microsoft YaHei" w:eastAsia="Microsoft YaHei"/>
          <w:color w:val="2F6D57"/>
          <w:sz w:val="18"/>
        </w:rPr>
        <w:t>图 7　OLS 方法与变量设置</w:t>
      </w:r>
    </w:p>
    <w:p>
      <w:r>
        <w:br w:type="page"/>
      </w:r>
    </w:p>
    <w:p>
      <w:pPr>
        <w:pStyle w:val="Heading2"/>
      </w:pPr>
      <w:r>
        <w:t>5.3　查看分析结果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样本信息：显示有效样本数和因缺失值排除的行数。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诊断信息：显示是否收敛、条件数、最大 VIF、尺度比和警告。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拟合指标：根据方法显示 R²、调整 R²、伪 R²、AIC 或 BIC。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系数表：显示系数、标准误、统计量、p 值和 95% 置信区间。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Logistic 结果额外显示优势比；负二项回归额外显示发生率比。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404483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egression-resu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044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Microsoft YaHei" w:hAnsi="Microsoft YaHei" w:eastAsia="Microsoft YaHei"/>
          <w:color w:val="2F6D57"/>
          <w:sz w:val="18"/>
        </w:rPr>
        <w:t>图 8　OLS 分析结果与导出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FF6DD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5342D"/>
                <w:sz w:val="21"/>
              </w:rPr>
              <w:t>注意：</w:t>
            </w:r>
            <w:r>
              <w:rPr>
                <w:rFonts w:ascii="Microsoft YaHei" w:hAnsi="Microsoft YaHei" w:eastAsia="Microsoft YaHei"/>
                <w:color w:val="25342D"/>
                <w:sz w:val="21"/>
              </w:rPr>
              <w:t>出现“模型未收敛”“模型推断不可靠”或严重共线性警告时，不应直接解释系数和 p 值。先检查变量、样本量、异常值和数据尺度。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　空间分析</w:t>
      </w:r>
    </w:p>
    <w:p>
      <w:pPr>
        <w:pStyle w:val="Heading2"/>
      </w:pPr>
      <w:r>
        <w:t>6.1　数据与坐标要求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每一行代表一个带坐标的空间观测对象。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经纬度坐标选择“经纬度（WGS84）”，X 为经度，Y 为纬度。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投影坐标选择“投影坐标 X/Y”，X、Y 应使用同一坐标参考系和单位。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坐标列、因变量和自变量必须为数值列。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缺失坐标或模型变量的行会被排除。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FF6DD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5342D"/>
                <w:sz w:val="21"/>
              </w:rPr>
              <w:t>注意：</w:t>
            </w:r>
            <w:r>
              <w:rPr>
                <w:rFonts w:ascii="Microsoft YaHei" w:hAnsi="Microsoft YaHei" w:eastAsia="Microsoft YaHei"/>
                <w:color w:val="25342D"/>
                <w:sz w:val="21"/>
              </w:rPr>
              <w:t>不要把经纬度和投影坐标混用。重复坐标会影响 KNN 和 GWR 结果。</w:t>
            </w:r>
          </w:p>
        </w:tc>
      </w:tr>
    </w:tbl>
    <w:p>
      <w:pPr>
        <w:spacing w:after="0"/>
      </w:pPr>
    </w:p>
    <w:p>
      <w:pPr>
        <w:pStyle w:val="Heading2"/>
      </w:pPr>
      <w:r>
        <w:t>6.2　空间方法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74C3C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4819"/>
            <w:shd w:fill="174C3C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Moran's I</w:t>
            </w:r>
          </w:p>
        </w:tc>
        <w:tc>
          <w:tcPr>
            <w:tcW w:type="dxa" w:w="70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检验一个变量的全局空间自相关</w:t>
            </w:r>
          </w:p>
        </w:tc>
      </w:tr>
      <w:tr>
        <w:tc>
          <w:tcPr>
            <w:tcW w:type="dxa" w:w="1984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SLM / SAR</w:t>
            </w:r>
          </w:p>
        </w:tc>
        <w:tc>
          <w:tcPr>
            <w:tcW w:type="dxa" w:w="7087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在模型中加入因变量空间滞后项 Wy</w:t>
            </w:r>
          </w:p>
        </w:tc>
      </w:tr>
      <w:tr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SEM</w:t>
            </w:r>
          </w:p>
        </w:tc>
        <w:tc>
          <w:tcPr>
            <w:tcW w:type="dxa" w:w="70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处理误差项中的空间相关结构</w:t>
            </w:r>
          </w:p>
        </w:tc>
      </w:tr>
      <w:tr>
        <w:tc>
          <w:tcPr>
            <w:tcW w:type="dxa" w:w="1984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SDM</w:t>
            </w:r>
          </w:p>
        </w:tc>
        <w:tc>
          <w:tcPr>
            <w:tcW w:type="dxa" w:w="7087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同时加入 Wy 和自变量空间滞后项 WX</w:t>
            </w:r>
          </w:p>
        </w:tc>
      </w:tr>
      <w:tr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GWR</w:t>
            </w:r>
          </w:p>
        </w:tc>
        <w:tc>
          <w:tcPr>
            <w:tcW w:type="dxa" w:w="70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估计随空间位置变化的局部回归系数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6.3　设置并运行空间分析</w:t>
      </w:r>
    </w:p>
    <w:p>
      <w:pPr>
        <w:ind w:left="369" w:hanging="369"/>
      </w:pPr>
      <w:r>
        <w:rPr>
          <w:rFonts w:ascii="Microsoft YaHei" w:hAnsi="Microsoft YaHei" w:eastAsia="Microsoft YaHei"/>
          <w:b/>
          <w:color w:val="174C3C"/>
          <w:sz w:val="21"/>
        </w:rPr>
        <w:t xml:space="preserve">1. </w:t>
      </w:r>
      <w:r>
        <w:rPr>
          <w:rFonts w:ascii="Microsoft YaHei" w:hAnsi="Microsoft YaHei" w:eastAsia="Microsoft YaHei"/>
          <w:color w:val="25342D"/>
          <w:sz w:val="21"/>
        </w:rPr>
        <w:t>进入“空间分析”窗口并选择数据文件。</w:t>
      </w:r>
    </w:p>
    <w:p>
      <w:pPr>
        <w:ind w:left="369" w:hanging="369"/>
      </w:pPr>
      <w:r>
        <w:rPr>
          <w:rFonts w:ascii="Microsoft YaHei" w:hAnsi="Microsoft YaHei" w:eastAsia="Microsoft YaHei"/>
          <w:b/>
          <w:color w:val="174C3C"/>
          <w:sz w:val="21"/>
        </w:rPr>
        <w:t xml:space="preserve">2. </w:t>
      </w:r>
      <w:r>
        <w:rPr>
          <w:rFonts w:ascii="Microsoft YaHei" w:hAnsi="Microsoft YaHei" w:eastAsia="Microsoft YaHei"/>
          <w:color w:val="25342D"/>
          <w:sz w:val="21"/>
        </w:rPr>
        <w:t>选择 Moran's I、SLM/SAR、SEM、SDM 或 GWR。</w:t>
      </w:r>
    </w:p>
    <w:p>
      <w:pPr>
        <w:ind w:left="369" w:hanging="369"/>
      </w:pPr>
      <w:r>
        <w:rPr>
          <w:rFonts w:ascii="Microsoft YaHei" w:hAnsi="Microsoft YaHei" w:eastAsia="Microsoft YaHei"/>
          <w:b/>
          <w:color w:val="174C3C"/>
          <w:sz w:val="21"/>
        </w:rPr>
        <w:t xml:space="preserve">3. </w:t>
      </w:r>
      <w:r>
        <w:rPr>
          <w:rFonts w:ascii="Microsoft YaHei" w:hAnsi="Microsoft YaHei" w:eastAsia="Microsoft YaHei"/>
          <w:color w:val="25342D"/>
          <w:sz w:val="21"/>
        </w:rPr>
        <w:t>选择坐标类型，并确认 X、Y 坐标列。常见字段名会自动识别。</w:t>
      </w:r>
    </w:p>
    <w:p>
      <w:pPr>
        <w:ind w:left="369" w:hanging="369"/>
      </w:pPr>
      <w:r>
        <w:rPr>
          <w:rFonts w:ascii="Microsoft YaHei" w:hAnsi="Microsoft YaHei" w:eastAsia="Microsoft YaHei"/>
          <w:b/>
          <w:color w:val="174C3C"/>
          <w:sz w:val="21"/>
        </w:rPr>
        <w:t xml:space="preserve">4. </w:t>
      </w:r>
      <w:r>
        <w:rPr>
          <w:rFonts w:ascii="Microsoft YaHei" w:hAnsi="Microsoft YaHei" w:eastAsia="Microsoft YaHei"/>
          <w:color w:val="25342D"/>
          <w:sz w:val="21"/>
        </w:rPr>
        <w:t>设置 K 近邻数。K 必须大于等于 1，且小于数据行数。</w:t>
      </w:r>
    </w:p>
    <w:p>
      <w:pPr>
        <w:ind w:left="369" w:hanging="369"/>
      </w:pPr>
      <w:r>
        <w:rPr>
          <w:rFonts w:ascii="Microsoft YaHei" w:hAnsi="Microsoft YaHei" w:eastAsia="Microsoft YaHei"/>
          <w:b/>
          <w:color w:val="174C3C"/>
          <w:sz w:val="21"/>
        </w:rPr>
        <w:t xml:space="preserve">5. </w:t>
      </w:r>
      <w:r>
        <w:rPr>
          <w:rFonts w:ascii="Microsoft YaHei" w:hAnsi="Microsoft YaHei" w:eastAsia="Microsoft YaHei"/>
          <w:color w:val="25342D"/>
          <w:sz w:val="21"/>
        </w:rPr>
        <w:t>选择空间自相关变量，或设置因变量 Y 和自变量 X。</w:t>
      </w:r>
    </w:p>
    <w:p>
      <w:pPr>
        <w:ind w:left="369" w:hanging="369"/>
      </w:pPr>
      <w:r>
        <w:rPr>
          <w:rFonts w:ascii="Microsoft YaHei" w:hAnsi="Microsoft YaHei" w:eastAsia="Microsoft YaHei"/>
          <w:b/>
          <w:color w:val="174C3C"/>
          <w:sz w:val="21"/>
        </w:rPr>
        <w:t xml:space="preserve">6. </w:t>
      </w:r>
      <w:r>
        <w:rPr>
          <w:rFonts w:ascii="Microsoft YaHei" w:hAnsi="Microsoft YaHei" w:eastAsia="Microsoft YaHei"/>
          <w:color w:val="25342D"/>
          <w:sz w:val="21"/>
        </w:rPr>
        <w:t>点击“运行空间分析”。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37087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patial-setting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708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Microsoft YaHei" w:hAnsi="Microsoft YaHei" w:eastAsia="Microsoft YaHei"/>
          <w:color w:val="2F6D57"/>
          <w:sz w:val="18"/>
        </w:rPr>
        <w:t>图 9　Moran's I 空间分析设置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FF6DD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5342D"/>
                <w:sz w:val="21"/>
              </w:rPr>
              <w:t>注意：</w:t>
            </w:r>
            <w:r>
              <w:rPr>
                <w:rFonts w:ascii="Microsoft YaHei" w:hAnsi="Microsoft YaHei" w:eastAsia="Microsoft YaHei"/>
                <w:color w:val="25342D"/>
                <w:sz w:val="21"/>
              </w:rPr>
              <w:t>K 值决定空间权重结构。正式分析应比较多个合理 K 值，并说明选择依据。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6.4　查看空间结果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权重摘要：显示 KNN 邻居数、行标准化和连通分量。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Moran's I：显示指数、期望值、Z 值和置换检验 p 值。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空间回归：显示系数、拟合指标、ρ 或 λ，并提供模型诊断。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SLM/SDM：显示直接效应、间接效应和总效应。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残差 Moran：检查模型残差是否仍存在空间自相关。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模型选择诊断：根据基础 OLS 的 LM 与稳健 LM 检验给出提示。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GWR：显示带宽、拟合指标、局部系数分布和局部结果预览。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32000" cy="339244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patial-resu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92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Microsoft YaHei" w:hAnsi="Microsoft YaHei" w:eastAsia="Microsoft YaHei"/>
          <w:color w:val="2F6D57"/>
          <w:sz w:val="18"/>
        </w:rPr>
        <w:t>图 10　Moran's I 结果与导出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FF6DD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5342D"/>
                <w:sz w:val="21"/>
              </w:rPr>
              <w:t>注意：</w:t>
            </w:r>
            <w:r>
              <w:rPr>
                <w:rFonts w:ascii="Microsoft YaHei" w:hAnsi="Microsoft YaHei" w:eastAsia="Microsoft YaHei"/>
                <w:color w:val="25342D"/>
                <w:sz w:val="21"/>
              </w:rPr>
              <w:t>模型选择提示仅供辅助。正式结论还需结合研究理论、空间权重敏感性、残差检验和模型拟合指标。</w:t>
            </w:r>
          </w:p>
        </w:tc>
      </w:tr>
    </w:tbl>
    <w:p>
      <w:pPr>
        <w:spacing w:after="0"/>
      </w:pPr>
    </w:p>
    <w:p>
      <w:pPr>
        <w:pStyle w:val="Heading2"/>
      </w:pPr>
      <w:r>
        <w:t>6.5　GWR 使用限制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当前版本最多处理 5,000 条坐标和模型变量均完整的观测记录。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样本量必须大于自动选择带宽所需的最低数量。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存在重复坐标、严重共线性或局部样本不足时，模型可能无法估计。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导出 GWR 时会重新拟合模型，并写入全部局部结果，耗时可能长于页面预览。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局部 p_value_unadjusted 为未经多重检验校正的双侧近似 p 值。</w:t>
      </w:r>
    </w:p>
    <w:p>
      <w:r>
        <w:br w:type="page"/>
      </w:r>
    </w:p>
    <w:p>
      <w:pPr>
        <w:pStyle w:val="Heading1"/>
      </w:pPr>
      <w:r>
        <w:t>7　结果导出与文件命名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74C3C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结果类型</w:t>
            </w:r>
          </w:p>
        </w:tc>
        <w:tc>
          <w:tcPr>
            <w:tcW w:type="dxa" w:w="3213"/>
            <w:shd w:fill="174C3C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文件名规则</w:t>
            </w:r>
          </w:p>
        </w:tc>
        <w:tc>
          <w:tcPr>
            <w:tcW w:type="dxa" w:w="3213"/>
            <w:shd w:fill="174C3C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9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清洗后主表</w:t>
            </w:r>
          </w:p>
        </w:tc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原文件名-dataex.csv/.xlsx</w:t>
            </w:r>
          </w:p>
        </w:tc>
        <w:tc>
          <w:tcPr>
            <w:tcW w:type="dxa" w:w="36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XLSX 可同时包含空值数据表</w:t>
            </w:r>
          </w:p>
        </w:tc>
      </w:tr>
      <w:tr>
        <w:tc>
          <w:tcPr>
            <w:tcW w:type="dxa" w:w="1928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摘出空值表 CSV</w:t>
            </w:r>
          </w:p>
        </w:tc>
        <w:tc>
          <w:tcPr>
            <w:tcW w:type="dxa" w:w="3515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原文件名-empty-dataex.csv</w:t>
            </w:r>
          </w:p>
        </w:tc>
        <w:tc>
          <w:tcPr>
            <w:tcW w:type="dxa" w:w="3628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仅在选择摘出空值表时生成</w:t>
            </w:r>
          </w:p>
        </w:tc>
      </w:tr>
      <w:tr>
        <w:tc>
          <w:tcPr>
            <w:tcW w:type="dxa" w:w="19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回归/相关性结果</w:t>
            </w:r>
          </w:p>
        </w:tc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原文件名-analysis-dataex.csv/.xlsx</w:t>
            </w:r>
          </w:p>
        </w:tc>
        <w:tc>
          <w:tcPr>
            <w:tcW w:type="dxa" w:w="36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XLSX 包含概览和结果明细</w:t>
            </w:r>
          </w:p>
        </w:tc>
      </w:tr>
      <w:tr>
        <w:tc>
          <w:tcPr>
            <w:tcW w:type="dxa" w:w="1928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空间分析结果</w:t>
            </w:r>
          </w:p>
        </w:tc>
        <w:tc>
          <w:tcPr>
            <w:tcW w:type="dxa" w:w="3515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原文件名-spatial-dataex.csv/.xlsx</w:t>
            </w:r>
          </w:p>
        </w:tc>
        <w:tc>
          <w:tcPr>
            <w:tcW w:type="dxa" w:w="3628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XLSX 包含模型、诊断和明细</w:t>
            </w:r>
          </w:p>
        </w:tc>
      </w:tr>
    </w:tbl>
    <w:p>
      <w:pPr>
        <w:spacing w:after="0"/>
      </w:pP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CSV 适合继续处理或导入其他软件。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XLSX 适合同时保存概览、诊断和多张结果表。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导出文件由系统下载到 Windows 当前默认下载位置。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导出后应核对行数、字段、工作表和关键统计量。</w:t>
      </w:r>
    </w:p>
    <w:p>
      <w:pPr>
        <w:pStyle w:val="Heading1"/>
      </w:pPr>
      <w:r>
        <w:t>8　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74C3C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4819"/>
            <w:shd w:fill="174C3C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处理方法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程序无法启动</w:t>
            </w:r>
          </w:p>
        </w:tc>
        <w:tc>
          <w:tcPr>
            <w:tcW w:type="dxa" w:w="680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确认完整解压程序目录并安装 WebView2；查看 desktop.log</w:t>
            </w:r>
          </w:p>
        </w:tc>
      </w:tr>
      <w:tr>
        <w:tc>
          <w:tcPr>
            <w:tcW w:type="dxa" w:w="2268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文件无法读取</w:t>
            </w:r>
          </w:p>
        </w:tc>
        <w:tc>
          <w:tcPr>
            <w:tcW w:type="dxa" w:w="6803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确认格式为 CSV/XLSX、文件非空、未超过 20 MB；CSV 改存为 UTF-8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没有可用数值列</w:t>
            </w:r>
          </w:p>
        </w:tc>
        <w:tc>
          <w:tcPr>
            <w:tcW w:type="dxa" w:w="680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清理混合类型、空字符串和非数字字符，再重新导入</w:t>
            </w:r>
          </w:p>
        </w:tc>
      </w:tr>
      <w:tr>
        <w:tc>
          <w:tcPr>
            <w:tcW w:type="dxa" w:w="2268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运行按钮不可用</w:t>
            </w:r>
          </w:p>
        </w:tc>
        <w:tc>
          <w:tcPr>
            <w:tcW w:type="dxa" w:w="6803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检查方法、因变量、自变量、坐标列和 K 值是否完整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模型未收敛</w:t>
            </w:r>
          </w:p>
        </w:tc>
        <w:tc>
          <w:tcPr>
            <w:tcW w:type="dxa" w:w="680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减少共线变量，检查异常值、样本量和变量尺度，必要时标准化自变量</w:t>
            </w:r>
          </w:p>
        </w:tc>
      </w:tr>
      <w:tr>
        <w:tc>
          <w:tcPr>
            <w:tcW w:type="dxa" w:w="2268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标准误或 p 值为空</w:t>
            </w:r>
          </w:p>
        </w:tc>
        <w:tc>
          <w:tcPr>
            <w:tcW w:type="dxa" w:w="6803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检查样本量、完全分离、奇异矩阵、非有限数值及共线性警告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空间模型失败</w:t>
            </w:r>
          </w:p>
        </w:tc>
        <w:tc>
          <w:tcPr>
            <w:tcW w:type="dxa" w:w="680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检查坐标重复、K 值、连通性、缺失值和变量共线性</w:t>
            </w:r>
          </w:p>
        </w:tc>
      </w:tr>
      <w:tr>
        <w:tc>
          <w:tcPr>
            <w:tcW w:type="dxa" w:w="2268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导出耗时较长</w:t>
            </w:r>
          </w:p>
        </w:tc>
        <w:tc>
          <w:tcPr>
            <w:tcW w:type="dxa" w:w="6803"/>
            <w:shd w:fill="F2F5F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Microsoft YaHei" w:hAnsi="Microsoft YaHei" w:eastAsia="Microsoft YaHei"/>
                <w:color w:val="25342D"/>
                <w:sz w:val="17"/>
              </w:rPr>
              <w:t>等待计算完成；GWR 导出需要重新拟合全部局部结果</w:t>
            </w:r>
          </w:p>
        </w:tc>
      </w:tr>
    </w:tbl>
    <w:p>
      <w:pPr>
        <w:spacing w:after="0"/>
      </w:pPr>
    </w:p>
    <w:p>
      <w:pPr>
        <w:pStyle w:val="Heading1"/>
      </w:pPr>
      <w:r>
        <w:t>9　使用注意事项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始终保留未经处理的原始数据。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清洗预览确认无误后再导出，不要仅凭问题数量决定处理方式。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删除空值行前检查样本损失；使用 0 填充前确认业务含义。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标准化会改变变量尺度，导出后记录所用方法和字段。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回归分析前确认因变量类型符合模型要求。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不要把相关性、显著性或自动模型建议解释为因果关系。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空间分析应记录坐标系统、K 值和空间权重设定。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存在未收敛、非有限数值或严重共线性警告时，不直接使用模型结论。</w:t>
      </w:r>
    </w:p>
    <w:p>
      <w:pPr>
        <w:pStyle w:val="ListBullet"/>
        <w:ind w:left="340" w:hanging="170"/>
      </w:pPr>
      <w:r>
        <w:rPr>
          <w:rFonts w:ascii="Microsoft YaHei" w:hAnsi="Microsoft YaHei" w:eastAsia="Microsoft YaHei"/>
          <w:color w:val="25342D"/>
          <w:sz w:val="21"/>
        </w:rPr>
        <w:t>正式报告应结合研究设计、样本来源、模型假设和专业判断。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vAlign w:val="center"/>
            <w:shd w:fill="FFF6DD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25342D"/>
                <w:sz w:val="21"/>
              </w:rPr>
              <w:t>注意：</w:t>
            </w:r>
            <w:r>
              <w:rPr>
                <w:rFonts w:ascii="Microsoft YaHei" w:hAnsi="Microsoft YaHei" w:eastAsia="Microsoft YaHei"/>
                <w:color w:val="25342D"/>
                <w:sz w:val="21"/>
              </w:rPr>
              <w:t>DataEX-G 提供数据处理和统计分析辅助，不替代数据质量审查、专业模型论证或业务决策责任。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10"/>
      <w:footerReference w:type="default" r:id="rId11"/>
      <w:pgSz w:w="11906" w:h="16838"/>
      <w:pgMar w:top="1134" w:right="1134" w:bottom="1020" w:left="1134" w:header="454" w:footer="397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25342D"/>
        <w:sz w:val="16"/>
      </w:rPr>
      <w:t xml:space="preserve">第 </w:t>
    </w:r>
    <w: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color w:val="25342D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Microsoft YaHei" w:hAnsi="Microsoft YaHei" w:eastAsia="Microsoft YaHei"/>
        <w:color w:val="2F6D57"/>
        <w:sz w:val="17"/>
      </w:rPr>
      <w:t>DataEX-G 数据清洗与空间分析软件 V1.0　用户操作手册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Microsoft YaHei" w:hAnsi="Microsoft YaHei" w:eastAsia="Microsoft YaHei"/>
      <w:color w:val="25342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4C3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6D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6D5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74C3C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DataEX-G 数据清洗与空间分析软件 V1.0 用户操作手册</dc:title>
  <dc:subject>计算机软件著作权文档鉴别材料</dc:subject>
  <dc:creator>DataEX-G</dc:creator>
  <cp:keywords>DataEX-G, 用户操作手册, 数据清洗, 回归分析, 空间分析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