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i w:val="0"/>
          <w:color w:val="1B2A4A"/>
          <w:sz w:val="44"/>
          <w:rFonts w:ascii="Arial" w:hAnsi="Arial" w:cs="Arial"/>
          <w:rtl/>
        </w:rPr>
        <w:t>دليل مسارات وتشغيل منصة GH-Bot-Factory</w:t>
      </w:r>
    </w:p>
    <w:p>
      <w:pPr>
        <w:jc w:val="right"/>
        <w:bidi/>
      </w:pPr>
      <w:r>
        <w:rPr>
          <w:rFonts w:ascii="Arial" w:hAnsi="Arial"/>
          <w:b w:val="0"/>
          <w:i/>
          <w:color w:val="646E7D"/>
          <w:sz w:val="24"/>
          <w:rFonts w:ascii="Arial" w:hAnsi="Arial" w:cs="Arial"/>
          <w:rtl/>
        </w:rPr>
        <w:t>تقرير تنفيذي مصور يوضح المسارات الكاملة لجميع أطراف النظام بالرسومات والمخططات</w:t>
      </w:r>
    </w:p>
    <w:p>
      <w:pPr>
        <w:jc w:val="right"/>
        <w:bidi/>
      </w:pPr>
      <w:r>
        <w:rPr>
          <w:rFonts w:ascii="Calibri" w:hAnsi="Calibri"/>
          <w:b w:val="0"/>
          <w:i w:val="0"/>
          <w:color w:val="2E5BFF"/>
          <w:sz w:val="22"/>
          <w:rFonts w:ascii="Calibri" w:hAnsi="Calibri" w:cs="Calibri"/>
          <w:rtl/>
        </w:rPr>
        <w:t>—————————————————————————————————————————————</w:t>
      </w:r>
    </w:p>
    <w:p>
      <w:pPr>
        <w:jc w:val="right"/>
        <w:bidi/>
      </w:pPr>
      <w:r>
        <w:rPr>
          <w:rFonts w:ascii="Arial" w:hAnsi="Arial"/>
          <w:b/>
          <w:i w:val="0"/>
          <w:color w:val="1B2A4A"/>
          <w:sz w:val="32"/>
          <w:rFonts w:ascii="Arial" w:hAnsi="Arial" w:cs="Arial"/>
          <w:rtl/>
        </w:rPr>
        <w:t>1. نظرة عامة وهيكلية النظام (Overview)</w:t>
      </w:r>
    </w:p>
    <w:p>
      <w:pPr>
        <w:jc w:val="right"/>
        <w:bidi/>
      </w:pP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مشروع GH-Bot-Factory هو منصة تجارة رقمية متكاملة متعددة المستأجرين (Multi-Tenant) مبنية خصيصاً لمنظومة تيليجرام (Telegram Bots &amp; Mini Apps). ينقسم النظام إلى ثلاثة أطراف فاعلة أساسية، لكل طرف مسار عمل واضح ومستقل: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120"/>
        <w:gridCol w:w="3120"/>
        <w:gridCol w:w="3120"/>
      </w:tblGrid>
      <w:tr>
        <w:tc>
          <w:tcPr>
            <w:tcW w:type="dxa" w:w="2592"/>
            <w:shd w:fill="1B2A4A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cs="Arial"/>
                <w:rtl/>
              </w:rPr>
              <w:t>الطرف الفاعل</w:t>
            </w:r>
          </w:p>
        </w:tc>
        <w:tc>
          <w:tcPr>
            <w:tcW w:type="dxa" w:w="4032"/>
            <w:shd w:fill="1B2A4A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cs="Arial"/>
                <w:rtl/>
              </w:rPr>
              <w:t>الدور والصلاحية</w:t>
            </w:r>
          </w:p>
        </w:tc>
        <w:tc>
          <w:tcPr>
            <w:tcW w:type="dxa" w:w="2592"/>
            <w:shd w:fill="1B2A4A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cs="Arial"/>
                <w:rtl/>
              </w:rPr>
              <w:t>الواجهات المستخدمة</w:t>
            </w:r>
          </w:p>
        </w:tc>
      </w:tr>
      <w:tr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مالك المنصة (Factory Owner)</w:t>
            </w:r>
          </w:p>
        </w:tc>
        <w:tc>
          <w:tcPr>
            <w:tcW w:type="dxa" w:w="403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التحكم بالمنصة المركزية، استلام طلبات العملاء، إنشاء عروض الأسعار، وإعداد استضافة المتاجر أو تسليم الكود.</w:t>
            </w:r>
          </w:p>
        </w:tc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لوحة التحكم (/admin)، أداة الأوامر (platformctl)</w:t>
            </w:r>
          </w:p>
        </w:tc>
      </w:tr>
      <w:tr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صاحب المتجر (Tenant Owner)</w:t>
            </w:r>
          </w:p>
        </w:tc>
        <w:tc>
          <w:tcPr>
            <w:tcW w:type="dxa" w:w="403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إدارة المتجر الخاص به، تحديد الهوية والاسم، إضافة المنتجات المخزنة، ربط المزودين (APIs)، وتفعيل بوابات الدفع.</w:t>
            </w:r>
          </w:p>
        </w:tc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لوحة المتجر (/admin)، أمر التيليجرام (/admin)</w:t>
            </w:r>
          </w:p>
        </w:tc>
      </w:tr>
      <w:tr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المشتري النهائي (Shopper)</w:t>
            </w:r>
          </w:p>
        </w:tc>
        <w:tc>
          <w:tcPr>
            <w:tcW w:type="dxa" w:w="403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تصفح المنتجات في تيليجرام، شحن المحفظة الرقمية، الشراء الفوري، واستلام الأكواد/البضاعة الرقمية مباشرة.</w:t>
            </w:r>
          </w:p>
        </w:tc>
        <w:tc>
          <w:tcPr>
            <w:tcW w:type="dxa" w:w="2592"/>
          </w:tcPr>
          <w:p>
            <w:pPr>
              <w:jc w:val="right"/>
              <w:bidi/>
            </w:pPr>
            <w:r>
              <w:rPr>
                <w:rFonts w:ascii="Calibri" w:hAnsi="Calibri"/>
                <w:b w:val="0"/>
                <w:i w:val="0"/>
                <w:color w:val="282C34"/>
                <w:sz w:val="20"/>
                <w:rFonts w:ascii="Calibri" w:hAnsi="Calibri" w:cs="Calibri"/>
                <w:rtl/>
              </w:rPr>
              <w:t>تطبيق تيليجرام المصغر (Mini App) وبوت المتجر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  <w:bidi/>
      </w:pPr>
      <w:r>
        <w:rPr>
          <w:rFonts w:ascii="Calibri" w:hAnsi="Calibri"/>
          <w:b w:val="0"/>
          <w:i/>
          <w:color w:val="646E7D"/>
          <w:sz w:val="19"/>
          <w:rFonts w:ascii="Calibri" w:hAnsi="Calibri" w:cs="Calibri"/>
          <w:rtl/>
        </w:rPr>
        <w:t>مخطط رقمي توضيحي: هيكلية النظام العامة ومستويات الصلاحيات الثلاثة</w:t>
      </w:r>
    </w:p>
    <w:p>
      <w:pPr>
        <w:jc w:val="right"/>
        <w:bidi/>
      </w:pPr>
      <w:r>
        <w:rPr>
          <w:rFonts w:ascii="Arial" w:hAnsi="Arial"/>
          <w:b/>
          <w:i w:val="0"/>
          <w:color w:val="1B2A4A"/>
          <w:sz w:val="32"/>
          <w:rFonts w:ascii="Arial" w:hAnsi="Arial" w:cs="Arial"/>
          <w:rtl/>
        </w:rPr>
        <w:t>2. مسار مالك المنصة (Factory Owner Flow)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الخطوة 1: استقبال طلبات العملاء الجدد: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يدخل العميل المحتمل إلى صفحة بناء البوتات (/build) ويحدد نوع البوت (تخزين، مزودين، هجين)، البوابات، ونوع الاستضافة. يُسجل الطلب تلقائياً في قاعدة البيانات كـ (Inquiry).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الخطوة 2: مراجعة الطلب وتقديم عرض السعر الرسمي (Commercial Quote):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يقوم المالك بمراجعة تفاصيل الطلب عبر لوحة 'Sales &amp; Leads' أو عبر الطرفية (platformctl inquiries)، ثم ينشئ عرض سعر غير قابل للتلاعب (Immutable Quote) يحتوي على رسوم التجهيز لمرة واحدة ورسوم الاشتراك الشهري.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الخطوة 3: التفعيل الفوري للمتجر (1-Click Tenant Onboarding):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بمجرد موافقة العميل، يضغط المالك على زر '🚀 Onboard Tenant'. يقوم النظام برمشة عين بإنشاء المتجر (Tenant)، تسجيل حساب العميل بصفة (OWNER)، تجهيز قالب البوت، وإصدار رابط دخول فوري للعميل.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الخطوة 4: التصدير للاستضافة المستقلة (Dedicated / Source License):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في حال اشترى العميل خدمة الاستضافة على سيرفره الخاص (VPS) أو رخصة الكود: يولد المالك حزمة مشفرة (tenant-bundle) برقم ترخيص مشفر، ويتم إيقاف الربط بالمنصة السحابية لتشغيلها بسلاسة على سيرفر العميل المستقل.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sales_onboard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  <w:bidi/>
      </w:pPr>
      <w:r>
        <w:rPr>
          <w:rFonts w:ascii="Calibri" w:hAnsi="Calibri"/>
          <w:b w:val="0"/>
          <w:i/>
          <w:color w:val="646E7D"/>
          <w:sz w:val="19"/>
          <w:rFonts w:ascii="Calibri" w:hAnsi="Calibri" w:cs="Calibri"/>
          <w:rtl/>
        </w:rPr>
        <w:t>مخطط رقمي توضيحي: دورة حياة الطلب من التكوين حتى التسليم والتفعيل</w:t>
      </w:r>
    </w:p>
    <w:p>
      <w:pPr>
        <w:jc w:val="right"/>
        <w:bidi/>
      </w:pPr>
      <w:r>
        <w:rPr>
          <w:rFonts w:ascii="Arial" w:hAnsi="Arial"/>
          <w:b/>
          <w:i w:val="0"/>
          <w:color w:val="1B2A4A"/>
          <w:sz w:val="32"/>
          <w:rFonts w:ascii="Arial" w:hAnsi="Arial" w:cs="Arial"/>
          <w:rtl/>
        </w:rPr>
        <w:t>3. مسار صاحب المتجر (Store Owner Flow)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الدخول السلس والأمن: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يدخل صاحب المتجر عبر إرسال أمر /admin إلى بوت المتجر في تيليجرام ليحصل على رابط دخول مباشر بنقرة واحدة، أو من خلال اسم المستخدم وكلمة المرور في المتصفح.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إدارة الهوية والتخصيص: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تعديل اسم المتجر، الشعار، الألوان الرئيسية (Brand Accent)، والتصنيفات بما يناسب طبيعة تجارته.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إضافة المنتجات المخزنة (Stored Products):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إضافة حسابات جاهزة، أكواد اشتراكات، بطاقات رقمية، أو ملفات، مع تتبع آلي للمخزون ومنع البيع المزدوج.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ربط المزودين الآليين (API Providers):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ربط مزودي أرقام SMS، بطاقات الألعاب، والخدمات الآلية عبر إدخال المفاتيح المشفرة مباشرة، مع وضع هوامش الربح التلقائية (Markup Formula).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تفعيل طرق الدفع: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تفعيل نجوم تيليجرام (Telegram Stars)، الدفع بالعملات الرقمية المشفرة (Crypto)، أو الدفع المحلي والفيات، مع تحديد رصيد المحافظ وسعر الصرف.</w:t>
      </w:r>
    </w:p>
    <w:p/>
    <w:p>
      <w:pPr>
        <w:jc w:val="right"/>
        <w:bidi/>
      </w:pPr>
      <w:r>
        <w:rPr>
          <w:rFonts w:ascii="Arial" w:hAnsi="Arial"/>
          <w:b/>
          <w:i w:val="0"/>
          <w:color w:val="1B2A4A"/>
          <w:sz w:val="32"/>
          <w:rFonts w:ascii="Arial" w:hAnsi="Arial" w:cs="Arial"/>
          <w:rtl/>
        </w:rPr>
        <w:t>4. مسار المشتري النهائي (Shopper Flow)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1. فتح المتجر: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يضغط المشتري على زر 'فتح المتجر' داخل محادثة البوت، فيفتح تطبيق تيليجرام المصغر (Mini App) فوراً دون الحاجة لتسجيل حساب خارجي.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2. تصفح واختيار المنتجات: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استعراض الأقسام، رؤية الأسعار المحدثة، واختيار المنتج أو الدولة المطلوبة (في خدمات الأرقام والتطبيقات).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3. الدفع وشحن المحفظة: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الدفع عبر الرصيد الداخلي أو شحن المحفظة بنجوم تيليجرام أو الكريبتو. يتم قيد المبلغ بدفتر أستاذ محاسبي مزدوج (Double-Entry Ledger) يضمن عدم ضياع أي قرش.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4. التنفيذ والتسليم الفوري: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بمجرد إتمام الدفع، تتولى وظيفة خلفية (Background Job) تسليم الكود الرقمي أو سحب الخدمة من المزود وعرضها فوراً في شاشة المشتري مع زر نسخ فوري.</w:t>
      </w:r>
    </w:p>
    <w:p>
      <w:pPr>
        <w:jc w:val="right"/>
        <w:bidi/>
      </w:pPr>
      <w:r>
        <w:rPr>
          <w:rFonts w:ascii="Arial" w:hAnsi="Arial"/>
          <w:b/>
          <w:i w:val="0"/>
          <w:color w:val="2E5BFF"/>
          <w:sz w:val="22"/>
          <w:rFonts w:ascii="Arial" w:hAnsi="Arial" w:cs="Arial"/>
          <w:rtl/>
        </w:rPr>
        <w:t xml:space="preserve">• 5. الضمان المالي والاسترجاع الذاتي: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في حال تعطل المزود الخارجي أو انتهاء وقت التفعيل، يقوم النظام تلقائياً وبشكل قطعي بإعادة كامل المبلغ لمحفظة المشتري دون أي تدخل يدوي.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order_fulfillm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  <w:bidi/>
      </w:pPr>
      <w:r>
        <w:rPr>
          <w:rFonts w:ascii="Calibri" w:hAnsi="Calibri"/>
          <w:b w:val="0"/>
          <w:i/>
          <w:color w:val="646E7D"/>
          <w:sz w:val="19"/>
          <w:rFonts w:ascii="Calibri" w:hAnsi="Calibri" w:cs="Calibri"/>
          <w:rtl/>
        </w:rPr>
        <w:t>مخطط رقمي توضيحي: دورة شراء العميل والتنفيذ المضمون عبر العمال الخلفيين والدفتر المزدوج</w:t>
      </w:r>
    </w:p>
    <w:p>
      <w:pPr>
        <w:jc w:val="right"/>
        <w:bidi/>
      </w:pPr>
      <w:r>
        <w:rPr>
          <w:rFonts w:ascii="Arial" w:hAnsi="Arial"/>
          <w:b/>
          <w:i w:val="0"/>
          <w:color w:val="1B2A4A"/>
          <w:sz w:val="32"/>
          <w:rFonts w:ascii="Arial" w:hAnsi="Arial" w:cs="Arial"/>
          <w:rtl/>
        </w:rPr>
        <w:t>5. القواعد الذهبية والأمان في المنصة (Core Guarantees)</w:t>
      </w:r>
    </w:p>
    <w:p>
      <w:pPr>
        <w:jc w:val="right"/>
        <w:bidi/>
      </w:pPr>
      <w:r>
        <w:rPr>
          <w:rFonts w:ascii="Arial" w:hAnsi="Arial"/>
          <w:b/>
          <w:i w:val="0"/>
          <w:color w:val="28A745"/>
          <w:sz w:val="22"/>
          <w:rFonts w:ascii="Arial" w:hAnsi="Arial" w:cs="Arial"/>
          <w:rtl/>
        </w:rPr>
        <w:t xml:space="preserve">✓ عزل تام للبيانات (Multi-Tenant Isolation):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كل متجر معزول كلياً بقاعدة البيانات بواسطة tenant_id، ولا يمكن لأي عميل أو تاجر الاطلاع على بيانات متجر آخر.</w:t>
      </w:r>
    </w:p>
    <w:p>
      <w:pPr>
        <w:jc w:val="right"/>
        <w:bidi/>
      </w:pPr>
      <w:r>
        <w:rPr>
          <w:rFonts w:ascii="Arial" w:hAnsi="Arial"/>
          <w:b/>
          <w:i w:val="0"/>
          <w:color w:val="28A745"/>
          <w:sz w:val="22"/>
          <w:rFonts w:ascii="Arial" w:hAnsi="Arial" w:cs="Arial"/>
          <w:rtl/>
        </w:rPr>
        <w:t xml:space="preserve">✓ دفتر حسابات مالي لا يخطئ (Double-Entry Ledger):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لا يتم تعديل أرصدة المحافظ مباشرة، بل عبر قيود مالية غير قابلة للتعديل أو التكرار (Strict Idempotency).</w:t>
      </w:r>
    </w:p>
    <w:p>
      <w:pPr>
        <w:jc w:val="right"/>
        <w:bidi/>
      </w:pPr>
      <w:r>
        <w:rPr>
          <w:rFonts w:ascii="Arial" w:hAnsi="Arial"/>
          <w:b/>
          <w:i w:val="0"/>
          <w:color w:val="28A745"/>
          <w:sz w:val="22"/>
          <w:rFonts w:ascii="Arial" w:hAnsi="Arial" w:cs="Arial"/>
          <w:rtl/>
        </w:rPr>
        <w:t xml:space="preserve">✓ حماية المفاتيح والأسرار (Zero Plaintext Secrets):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مفاتيح التيليجرام والمزودين لا تُخزن في قاعدة البيانات ولا تظهر في المتصفح، بل تُشفر في خزنة محلية مؤمنة (SecretStorage).</w:t>
      </w:r>
    </w:p>
    <w:p>
      <w:pPr>
        <w:jc w:val="right"/>
        <w:bidi/>
      </w:pPr>
      <w:r>
        <w:rPr>
          <w:rFonts w:ascii="Arial" w:hAnsi="Arial"/>
          <w:b/>
          <w:i w:val="0"/>
          <w:color w:val="28A745"/>
          <w:sz w:val="22"/>
          <w:rFonts w:ascii="Arial" w:hAnsi="Arial" w:cs="Arial"/>
          <w:rtl/>
        </w:rPr>
        <w:t xml:space="preserve">✓ تنفيذ خلفي مرن ضد الانقطاع (Durable Workers): </w:t>
      </w:r>
      <w:r>
        <w:rPr>
          <w:rFonts w:ascii="Calibri" w:hAnsi="Calibri"/>
          <w:b w:val="0"/>
          <w:i w:val="0"/>
          <w:color w:val="282C34"/>
          <w:sz w:val="22"/>
          <w:rFonts w:ascii="Calibri" w:hAnsi="Calibri" w:cs="Calibri"/>
          <w:rtl/>
        </w:rPr>
        <w:t>تتم عمليات الشراء ومخاطبة المزودين عبر طوابير مهام خلفية في Redis/DB لضمان عدم تعليق واجهة المستخدم حتى عند بطء الشبكة.</w:t>
      </w:r>
    </w:p>
    <w:p/>
    <w:p>
      <w:pPr>
        <w:jc w:val="center"/>
        <w:bidi/>
      </w:pPr>
      <w:r>
        <w:rPr>
          <w:rFonts w:ascii="Calibri" w:hAnsi="Calibri"/>
          <w:b w:val="0"/>
          <w:i/>
          <w:color w:val="646E7D"/>
          <w:sz w:val="18"/>
          <w:rFonts w:ascii="Calibri" w:hAnsi="Calibri" w:cs="Calibri"/>
          <w:rtl/>
        </w:rPr>
        <w:t>تم إنشاء هذا التقرير آلياً ومطابقته برمجياً مع الحالة الفعلية لمنظومة GH-Bot-Factory.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