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09" w:rsidRPr="00D2282F" w:rsidRDefault="003540D1" w:rsidP="007A4C6E">
      <w:pPr>
        <w:jc w:val="center"/>
        <w:rPr>
          <w:rFonts w:ascii="Arial" w:hAnsi="Arial" w:cs="Arial"/>
          <w:b/>
          <w:sz w:val="24"/>
          <w:lang w:val="en-US"/>
        </w:rPr>
      </w:pPr>
      <w:proofErr w:type="spellStart"/>
      <w:r w:rsidRPr="00D2282F">
        <w:rPr>
          <w:rFonts w:ascii="Arial" w:hAnsi="Arial" w:cs="Arial"/>
          <w:b/>
          <w:sz w:val="24"/>
          <w:lang w:val="en-US"/>
        </w:rPr>
        <w:t>AmeriDendro</w:t>
      </w:r>
      <w:proofErr w:type="spellEnd"/>
      <w:r w:rsidRPr="00D2282F">
        <w:rPr>
          <w:rFonts w:ascii="Arial" w:hAnsi="Arial" w:cs="Arial"/>
          <w:b/>
          <w:sz w:val="24"/>
          <w:lang w:val="en-US"/>
        </w:rPr>
        <w:t xml:space="preserve"> 2016 </w:t>
      </w:r>
      <w:r w:rsidR="007A4C6E" w:rsidRPr="00D2282F">
        <w:rPr>
          <w:rFonts w:ascii="Arial" w:hAnsi="Arial" w:cs="Arial"/>
          <w:b/>
          <w:sz w:val="24"/>
          <w:lang w:val="en-US"/>
        </w:rPr>
        <w:t>–</w:t>
      </w:r>
      <w:r w:rsidRPr="00D2282F">
        <w:rPr>
          <w:rFonts w:ascii="Arial" w:hAnsi="Arial" w:cs="Arial"/>
          <w:b/>
          <w:sz w:val="24"/>
          <w:lang w:val="en-US"/>
        </w:rPr>
        <w:t xml:space="preserve"> </w:t>
      </w:r>
      <w:r w:rsidR="007A4C6E" w:rsidRPr="00D2282F">
        <w:rPr>
          <w:rFonts w:ascii="Arial" w:hAnsi="Arial" w:cs="Arial"/>
          <w:b/>
          <w:sz w:val="24"/>
          <w:lang w:val="en-US"/>
        </w:rPr>
        <w:t>Abstract submission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3540D1" w:rsidRPr="000A39E0" w:rsidTr="00DD6F3D">
        <w:tc>
          <w:tcPr>
            <w:tcW w:w="2802" w:type="dxa"/>
            <w:vAlign w:val="center"/>
          </w:tcPr>
          <w:p w:rsidR="003540D1" w:rsidRPr="000A39E0" w:rsidRDefault="003540D1" w:rsidP="003540D1">
            <w:pPr>
              <w:spacing w:before="120" w:after="120"/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</w:pPr>
            <w:r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t>Type of presentation: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lang w:val="en-US"/>
            </w:rPr>
            <w:id w:val="490682967"/>
            <w:placeholder>
              <w:docPart w:val="BE07EF93FE344192A1C79BDDFB2E8C9D"/>
            </w:placeholder>
            <w:dropDownList>
              <w:listItem w:value="Elija un elemento."/>
              <w:listItem w:displayText="Oral" w:value="Oral"/>
              <w:listItem w:displayText="Poster" w:value="Poster"/>
            </w:dropDownList>
          </w:sdtPr>
          <w:sdtEndPr/>
          <w:sdtContent>
            <w:tc>
              <w:tcPr>
                <w:tcW w:w="6804" w:type="dxa"/>
                <w:vAlign w:val="center"/>
              </w:tcPr>
              <w:p w:rsidR="003540D1" w:rsidRPr="000A39E0" w:rsidRDefault="00EE697A" w:rsidP="003540D1">
                <w:pPr>
                  <w:spacing w:before="120" w:after="120"/>
                  <w:rPr>
                    <w:rFonts w:ascii="Arial" w:hAnsi="Arial" w:cs="Arial"/>
                    <w:color w:val="000000" w:themeColor="text1"/>
                    <w:sz w:val="20"/>
                    <w:lang w:val="en-US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0"/>
                    <w:lang w:val="en-US"/>
                  </w:rPr>
                  <w:t>Oral</w:t>
                </w:r>
              </w:p>
            </w:tc>
          </w:sdtContent>
        </w:sdt>
      </w:tr>
      <w:tr w:rsidR="003540D1" w:rsidRPr="000A39E0" w:rsidTr="00DD6F3D">
        <w:tc>
          <w:tcPr>
            <w:tcW w:w="2802" w:type="dxa"/>
            <w:vAlign w:val="center"/>
          </w:tcPr>
          <w:p w:rsidR="003540D1" w:rsidRPr="000A39E0" w:rsidRDefault="003540D1" w:rsidP="003540D1">
            <w:pPr>
              <w:spacing w:before="120" w:after="120"/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</w:pPr>
            <w:r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t>Session or Symposium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lang w:val="en-US"/>
            </w:rPr>
            <w:id w:val="-128700446"/>
            <w:placeholder>
              <w:docPart w:val="BE07EF93FE344192A1C79BDDFB2E8C9D"/>
            </w:placeholder>
            <w:dropDownList>
              <w:listItem w:value="Elija un elemento."/>
              <w:listItem w:displayText="1. Dendroclimatology" w:value="1. Dendroclimatology"/>
              <w:listItem w:displayText="2. Dendroecology" w:value="2. Dendroecology"/>
              <w:listItem w:displayText="3. Dendroarchaeology" w:value="3. Dendroarchaeology"/>
              <w:listItem w:displayText="4. Dendrohydrology" w:value="4. Dendrohydrology"/>
              <w:listItem w:displayText="5. Dendrogeomorphology" w:value="5. Dendrogeomorphology"/>
              <w:listItem w:displayText="6. Dendrochemistry" w:value="6. Dendrochemistry"/>
              <w:listItem w:displayText="7. Wood anatomy of tree rings" w:value="7. Wood anatomy of tree rings"/>
              <w:listItem w:displayText="8. Fire Ecology" w:value="8. Fire Ecology"/>
              <w:listItem w:displayText="9. Forest decline and mortality" w:value="9. Forest decline and mortality"/>
              <w:listItem w:displayText="10. Isotopes in Dendrochronology" w:value="10. Isotopes in Dendrochronology"/>
              <w:listItem w:displayText="11. Tropical Dendrochronology" w:value="11. Tropical Dendrochronology"/>
              <w:listItem w:displayText="12. New methods and technology in Dendrochronology" w:value="12. New methods and technology in Dendrochronology"/>
              <w:listItem w:displayText="13. Tree rings and society/decision making" w:value="13. Tree rings and society/decision making"/>
              <w:listItem w:displayText="S1. Dendrochronology in the Tropics of America: Towards a climate sensitive tree-ring network" w:value="S1. Dendrochronology in the Tropics of America: Towards a climate sensitive tree-ring network"/>
              <w:listItem w:displayText="S2. Dendrochronology in the Tropics of America: environment and human societies" w:value="S2. Dendrochronology in the Tropics of America: environment and human societies"/>
              <w:listItem w:displayText="S3. Tree rings and dynamic vegetation models: Interdisciplinary research to improve forecasts of past and future forest dynamics" w:value="S3. Tree rings and dynamic vegetation models: Interdisciplinary research to improve forecasts of past and future forest dynamics"/>
              <w:listItem w:displayText="S4. Applications of Blue Intensity in Dendrochronology" w:value="S4. Applications of Blue Intensity in Dendrochronology"/>
            </w:dropDownList>
          </w:sdtPr>
          <w:sdtEndPr/>
          <w:sdtContent>
            <w:tc>
              <w:tcPr>
                <w:tcW w:w="6804" w:type="dxa"/>
                <w:vAlign w:val="center"/>
              </w:tcPr>
              <w:p w:rsidR="003540D1" w:rsidRPr="000A39E0" w:rsidRDefault="00EE697A" w:rsidP="003540D1">
                <w:pPr>
                  <w:spacing w:before="120" w:after="120"/>
                  <w:rPr>
                    <w:rFonts w:ascii="Arial" w:hAnsi="Arial" w:cs="Arial"/>
                    <w:color w:val="000000" w:themeColor="text1"/>
                    <w:sz w:val="20"/>
                    <w:lang w:val="en-US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0"/>
                    <w:lang w:val="en-US"/>
                  </w:rPr>
                  <w:t>S3. Tree rings and dynamic vegetation models: Interdisciplinary research to improve forecasts of past and future forest dynamics</w:t>
                </w:r>
              </w:p>
            </w:tc>
          </w:sdtContent>
        </w:sdt>
      </w:tr>
      <w:tr w:rsidR="00940971" w:rsidRPr="001E6B5D" w:rsidTr="001E6B5D">
        <w:trPr>
          <w:trHeight w:val="736"/>
        </w:trPr>
        <w:tc>
          <w:tcPr>
            <w:tcW w:w="2802" w:type="dxa"/>
          </w:tcPr>
          <w:p w:rsidR="00940971" w:rsidRPr="000A39E0" w:rsidRDefault="00940971" w:rsidP="001743CA">
            <w:pPr>
              <w:spacing w:before="120" w:after="120"/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</w:pPr>
            <w:r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t xml:space="preserve">Title of the presentation </w:t>
            </w:r>
            <w:r w:rsidRPr="000A39E0">
              <w:rPr>
                <w:rFonts w:ascii="Arial" w:hAnsi="Arial" w:cs="Arial"/>
                <w:color w:val="808080" w:themeColor="background1" w:themeShade="80"/>
                <w:sz w:val="20"/>
                <w:lang w:val="en-US"/>
              </w:rPr>
              <w:t>(max. 20 words)</w:t>
            </w:r>
          </w:p>
        </w:tc>
        <w:tc>
          <w:tcPr>
            <w:tcW w:w="6804" w:type="dxa"/>
          </w:tcPr>
          <w:p w:rsidR="000A39E0" w:rsidRPr="000A39E0" w:rsidRDefault="00EE697A" w:rsidP="000A39E0">
            <w:pPr>
              <w:spacing w:before="120" w:after="120"/>
              <w:rPr>
                <w:rFonts w:ascii="Arial" w:hAnsi="Arial" w:cs="Arial"/>
                <w:color w:val="000000" w:themeColor="text1"/>
                <w:sz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Combining tree-ring and forest plot data to infer climatic niche: a hierarchical Bayesian approach</w:t>
            </w:r>
          </w:p>
        </w:tc>
      </w:tr>
      <w:tr w:rsidR="003540D1" w:rsidRPr="001B40E3" w:rsidTr="001E6B5D">
        <w:trPr>
          <w:trHeight w:val="959"/>
        </w:trPr>
        <w:tc>
          <w:tcPr>
            <w:tcW w:w="2802" w:type="dxa"/>
            <w:vAlign w:val="center"/>
          </w:tcPr>
          <w:p w:rsidR="003540D1" w:rsidRPr="000A39E0" w:rsidRDefault="003540D1" w:rsidP="00970E94">
            <w:pPr>
              <w:spacing w:before="120" w:after="120"/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</w:pPr>
            <w:r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t>Authors</w:t>
            </w:r>
            <w:r w:rsidR="00970E94"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t xml:space="preserve"> </w:t>
            </w:r>
            <w:r w:rsidR="00970E94" w:rsidRPr="000A39E0">
              <w:rPr>
                <w:rFonts w:ascii="Arial" w:hAnsi="Arial" w:cs="Arial"/>
                <w:color w:val="808080" w:themeColor="background1" w:themeShade="80"/>
                <w:sz w:val="20"/>
                <w:lang w:val="en-US"/>
              </w:rPr>
              <w:t>(the presenter’s name is bolded and underlined)</w:t>
            </w:r>
            <w:r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t>:</w:t>
            </w:r>
          </w:p>
        </w:tc>
        <w:tc>
          <w:tcPr>
            <w:tcW w:w="6804" w:type="dxa"/>
            <w:vAlign w:val="center"/>
          </w:tcPr>
          <w:p w:rsidR="003540D1" w:rsidRPr="00CA1DAF" w:rsidRDefault="00820E53" w:rsidP="00820E53">
            <w:pPr>
              <w:spacing w:before="120" w:after="120"/>
              <w:rPr>
                <w:rFonts w:ascii="Arial" w:hAnsi="Arial" w:cs="Arial"/>
                <w:color w:val="000000" w:themeColor="text1"/>
                <w:sz w:val="20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u w:val="single"/>
                <w:lang w:val="en-US"/>
              </w:rPr>
              <w:t>Evans, Margaret</w:t>
            </w:r>
            <w:r w:rsidR="00CA1DAF" w:rsidRPr="000A39E0">
              <w:rPr>
                <w:rFonts w:ascii="Arial" w:hAnsi="Arial" w:cs="Arial"/>
                <w:color w:val="000000" w:themeColor="text1"/>
                <w:sz w:val="20"/>
                <w:vertAlign w:val="superscript"/>
                <w:lang w:val="en-US"/>
              </w:rPr>
              <w:t>1</w:t>
            </w:r>
            <w:r w:rsidR="00CA1DAF" w:rsidRPr="000A39E0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>Holsinger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>, Kent</w:t>
            </w:r>
            <w:r w:rsidR="00CA1DAF" w:rsidRPr="000A39E0">
              <w:rPr>
                <w:rFonts w:ascii="Arial" w:hAnsi="Arial" w:cs="Arial"/>
                <w:color w:val="000000" w:themeColor="text1"/>
                <w:sz w:val="20"/>
                <w:vertAlign w:val="superscript"/>
                <w:lang w:val="en-US"/>
              </w:rPr>
              <w:t>2</w:t>
            </w:r>
            <w:r w:rsidR="00CA1DAF" w:rsidRPr="000A39E0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>Arizpe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>, Alex</w:t>
            </w:r>
            <w:r w:rsidR="00CA1DAF" w:rsidRPr="000A39E0">
              <w:rPr>
                <w:rFonts w:ascii="Arial" w:hAnsi="Arial" w:cs="Arial"/>
                <w:color w:val="000000" w:themeColor="text1"/>
                <w:sz w:val="20"/>
                <w:vertAlign w:val="superscript"/>
                <w:lang w:val="en-US"/>
              </w:rPr>
              <w:t>3</w:t>
            </w:r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>Swetnam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>, Tyson</w:t>
            </w:r>
            <w:r w:rsidR="00297001">
              <w:rPr>
                <w:rFonts w:ascii="Arial" w:hAnsi="Arial" w:cs="Arial"/>
                <w:color w:val="000000" w:themeColor="text1"/>
                <w:sz w:val="20"/>
                <w:vertAlign w:val="superscript"/>
                <w:lang w:val="en-US"/>
              </w:rPr>
              <w:t>4</w:t>
            </w:r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>Babst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>, Flurin</w:t>
            </w:r>
            <w:r w:rsidR="00297001">
              <w:rPr>
                <w:rFonts w:ascii="Arial" w:hAnsi="Arial" w:cs="Arial"/>
                <w:color w:val="000000" w:themeColor="text1"/>
                <w:sz w:val="20"/>
                <w:vertAlign w:val="superscript"/>
                <w:lang w:val="en-US"/>
              </w:rPr>
              <w:t>5</w:t>
            </w:r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>; Falk, Don</w:t>
            </w:r>
            <w:r w:rsidR="00FF1255">
              <w:rPr>
                <w:rFonts w:ascii="Arial" w:hAnsi="Arial" w:cs="Arial"/>
                <w:color w:val="000000" w:themeColor="text1"/>
                <w:sz w:val="20"/>
                <w:vertAlign w:val="superscript"/>
                <w:lang w:val="en-US"/>
              </w:rPr>
              <w:t>4</w:t>
            </w:r>
          </w:p>
        </w:tc>
      </w:tr>
      <w:tr w:rsidR="003540D1" w:rsidRPr="000A39E0" w:rsidTr="000A39E0">
        <w:trPr>
          <w:trHeight w:val="1076"/>
        </w:trPr>
        <w:tc>
          <w:tcPr>
            <w:tcW w:w="2802" w:type="dxa"/>
            <w:vAlign w:val="center"/>
          </w:tcPr>
          <w:p w:rsidR="003540D1" w:rsidRPr="000A39E0" w:rsidRDefault="003540D1" w:rsidP="003540D1">
            <w:pPr>
              <w:spacing w:before="120" w:after="120"/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</w:pPr>
            <w:r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t>Affiliations:</w:t>
            </w:r>
          </w:p>
        </w:tc>
        <w:tc>
          <w:tcPr>
            <w:tcW w:w="6804" w:type="dxa"/>
            <w:vAlign w:val="center"/>
          </w:tcPr>
          <w:p w:rsidR="003540D1" w:rsidRPr="000A39E0" w:rsidRDefault="00CA1DAF" w:rsidP="00FF1255">
            <w:pPr>
              <w:spacing w:before="120" w:after="120"/>
              <w:rPr>
                <w:rFonts w:ascii="Arial" w:hAnsi="Arial" w:cs="Arial"/>
                <w:i/>
                <w:color w:val="000000" w:themeColor="text1"/>
                <w:sz w:val="20"/>
                <w:lang w:val="en-US"/>
              </w:rPr>
            </w:pPr>
            <w:r w:rsidRPr="000A39E0">
              <w:rPr>
                <w:rFonts w:ascii="Arial" w:hAnsi="Arial" w:cs="Arial"/>
                <w:i/>
                <w:color w:val="000000" w:themeColor="text1"/>
                <w:sz w:val="20"/>
                <w:lang w:val="en-US"/>
              </w:rPr>
              <w:t xml:space="preserve">1. </w:t>
            </w:r>
            <w:r w:rsidR="00820E53">
              <w:rPr>
                <w:rFonts w:ascii="Arial" w:hAnsi="Arial" w:cs="Arial"/>
                <w:i/>
                <w:color w:val="000000" w:themeColor="text1"/>
                <w:sz w:val="20"/>
                <w:lang w:val="en-US"/>
              </w:rPr>
              <w:t>Laboratory of Tree-Ring Research and Department of Ecology &amp; Evolutionary Biology, University of Arizona</w:t>
            </w:r>
            <w:r w:rsidRPr="000A39E0">
              <w:rPr>
                <w:rFonts w:ascii="Arial" w:hAnsi="Arial" w:cs="Arial"/>
                <w:i/>
                <w:color w:val="000000" w:themeColor="text1"/>
                <w:sz w:val="20"/>
                <w:lang w:val="en-US"/>
              </w:rPr>
              <w:t xml:space="preserve">; 2. </w:t>
            </w:r>
            <w:r w:rsidR="00820E53">
              <w:rPr>
                <w:rFonts w:ascii="Arial" w:hAnsi="Arial" w:cs="Arial"/>
                <w:i/>
                <w:color w:val="000000" w:themeColor="text1"/>
                <w:sz w:val="20"/>
                <w:lang w:val="en-US"/>
              </w:rPr>
              <w:t>Department of Ecology &amp; Evolutionary Biology, University of Connecticut Storrs</w:t>
            </w:r>
            <w:r w:rsidRPr="000A39E0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  <w:t>; 3</w:t>
            </w:r>
            <w:r w:rsidRPr="000A39E0">
              <w:rPr>
                <w:rFonts w:ascii="Arial" w:hAnsi="Arial" w:cs="Arial"/>
                <w:i/>
                <w:color w:val="000000" w:themeColor="text1"/>
                <w:sz w:val="20"/>
                <w:lang w:val="en-US"/>
              </w:rPr>
              <w:t xml:space="preserve">. </w:t>
            </w:r>
            <w:r w:rsidR="00820E53">
              <w:rPr>
                <w:rFonts w:ascii="Arial" w:hAnsi="Arial" w:cs="Arial"/>
                <w:i/>
                <w:color w:val="000000" w:themeColor="text1"/>
                <w:sz w:val="20"/>
                <w:lang w:val="en-US"/>
              </w:rPr>
              <w:t>Laboratory of Tree-Ring Research, University of Arizona</w:t>
            </w:r>
            <w:r w:rsidRPr="000A39E0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0769D5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  <w:t xml:space="preserve">School of Natural Resources and Environment, University of Arizona; 5. </w:t>
            </w:r>
            <w:proofErr w:type="spellStart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Dendroclimatology</w:t>
            </w:r>
            <w:proofErr w:type="spellEnd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Group</w:t>
            </w:r>
            <w:proofErr w:type="spellEnd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Department</w:t>
            </w:r>
            <w:proofErr w:type="spellEnd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Landscape</w:t>
            </w:r>
            <w:proofErr w:type="spellEnd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Dynamics, </w:t>
            </w:r>
            <w:proofErr w:type="spellStart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Swis</w:t>
            </w:r>
            <w:r w:rsid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</w:t>
            </w:r>
            <w:proofErr w:type="spellEnd"/>
            <w:r w:rsid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Federal </w:t>
            </w:r>
            <w:proofErr w:type="spellStart"/>
            <w:r w:rsid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Research</w:t>
            </w:r>
            <w:proofErr w:type="spellEnd"/>
            <w:r w:rsid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Institute</w:t>
            </w:r>
            <w:proofErr w:type="spellEnd"/>
            <w:r w:rsid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  <w:t xml:space="preserve">WSL and </w:t>
            </w:r>
            <w:proofErr w:type="spellStart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Department</w:t>
            </w:r>
            <w:proofErr w:type="spellEnd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Ecology</w:t>
            </w:r>
            <w:proofErr w:type="spellEnd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Institute</w:t>
            </w:r>
            <w:proofErr w:type="spellEnd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Botany</w:t>
            </w:r>
            <w:proofErr w:type="spellEnd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Polish</w:t>
            </w:r>
            <w:proofErr w:type="spellEnd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Academy</w:t>
            </w:r>
            <w:proofErr w:type="spellEnd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of </w:t>
            </w:r>
            <w:proofErr w:type="spellStart"/>
            <w:r w:rsidR="00FF1255" w:rsidRPr="00FF1255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Sciences</w:t>
            </w:r>
            <w:proofErr w:type="spellEnd"/>
            <w:r w:rsidRPr="000A39E0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3540D1" w:rsidRPr="00CA1DAF" w:rsidTr="00DD6F3D">
        <w:tc>
          <w:tcPr>
            <w:tcW w:w="2802" w:type="dxa"/>
            <w:vAlign w:val="center"/>
          </w:tcPr>
          <w:p w:rsidR="003540D1" w:rsidRPr="000A39E0" w:rsidRDefault="003540D1" w:rsidP="003540D1">
            <w:pPr>
              <w:spacing w:before="120" w:after="120"/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</w:pPr>
            <w:r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t>* Principal author email</w:t>
            </w:r>
          </w:p>
        </w:tc>
        <w:tc>
          <w:tcPr>
            <w:tcW w:w="6804" w:type="dxa"/>
            <w:vAlign w:val="center"/>
          </w:tcPr>
          <w:p w:rsidR="003540D1" w:rsidRPr="000A39E0" w:rsidRDefault="000769D5" w:rsidP="003540D1">
            <w:pPr>
              <w:spacing w:before="120" w:after="120"/>
              <w:rPr>
                <w:rFonts w:ascii="Arial" w:hAnsi="Arial" w:cs="Arial"/>
                <w:color w:val="000000" w:themeColor="text1"/>
                <w:sz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>mekevans@ltrr.arizona.edu</w:t>
            </w:r>
          </w:p>
        </w:tc>
      </w:tr>
      <w:tr w:rsidR="003540D1" w:rsidRPr="00CA1DAF" w:rsidTr="000A39E0">
        <w:trPr>
          <w:trHeight w:val="7122"/>
        </w:trPr>
        <w:tc>
          <w:tcPr>
            <w:tcW w:w="2802" w:type="dxa"/>
            <w:vAlign w:val="center"/>
          </w:tcPr>
          <w:p w:rsidR="003540D1" w:rsidRPr="000A39E0" w:rsidRDefault="003540D1" w:rsidP="003540D1">
            <w:pPr>
              <w:spacing w:before="120" w:after="120"/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</w:pPr>
            <w:r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lastRenderedPageBreak/>
              <w:t xml:space="preserve">Abstract </w:t>
            </w:r>
            <w:r w:rsidR="00D14D30"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br/>
            </w:r>
            <w:r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t>(max. 300 words)</w:t>
            </w:r>
          </w:p>
        </w:tc>
        <w:tc>
          <w:tcPr>
            <w:tcW w:w="6804" w:type="dxa"/>
            <w:vAlign w:val="center"/>
          </w:tcPr>
          <w:p w:rsidR="003540D1" w:rsidRPr="00C377D0" w:rsidRDefault="00C377D0" w:rsidP="008B4B1E">
            <w:pPr>
              <w:spacing w:before="120" w:after="120"/>
              <w:rPr>
                <w:rFonts w:ascii="Arial" w:hAnsi="Arial" w:cs="Arial"/>
                <w:color w:val="000000" w:themeColor="text1"/>
                <w:sz w:val="20"/>
                <w:lang w:val="en-US"/>
              </w:rPr>
            </w:pPr>
            <w:bookmarkStart w:id="0" w:name="_GoBack"/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forest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biome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is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expected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to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shift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geographically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with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anthropogenic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climate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change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. To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build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species-specific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,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process-based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models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for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forecasting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how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trees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'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geographic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distributions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will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change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under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future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climate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scenarios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,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we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see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a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need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to combine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two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major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,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complementary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sources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of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information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on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individual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tree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performance in response to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climate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variation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: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tree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-ring and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fo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rest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plot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data.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annual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resolution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of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former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make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them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gold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standard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for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inferring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climate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effects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on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growt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h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;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latter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are more</w:t>
            </w:r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B4B1E">
              <w:rPr>
                <w:rFonts w:ascii="Arial" w:hAnsi="Arial" w:cs="Arial"/>
                <w:bCs/>
                <w:color w:val="000000" w:themeColor="text1"/>
                <w:sz w:val="20"/>
              </w:rPr>
              <w:t>numerous</w:t>
            </w:r>
            <w:proofErr w:type="spellEnd"/>
            <w:r w:rsidR="008B4B1E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,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spatially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extensive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, and 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are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unbiased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with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respect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to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tr</w:t>
            </w:r>
            <w:r w:rsidR="008B4B1E">
              <w:rPr>
                <w:rFonts w:ascii="Arial" w:hAnsi="Arial" w:cs="Arial"/>
                <w:bCs/>
                <w:color w:val="000000" w:themeColor="text1"/>
                <w:sz w:val="20"/>
              </w:rPr>
              <w:t>ee</w:t>
            </w:r>
            <w:proofErr w:type="spellEnd"/>
            <w:r w:rsidR="008B4B1E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B4B1E">
              <w:rPr>
                <w:rFonts w:ascii="Arial" w:hAnsi="Arial" w:cs="Arial"/>
                <w:bCs/>
                <w:color w:val="000000" w:themeColor="text1"/>
                <w:sz w:val="20"/>
              </w:rPr>
              <w:t>size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r w:rsidR="008B4B1E">
              <w:rPr>
                <w:rFonts w:ascii="Arial" w:hAnsi="Arial" w:cs="Arial"/>
                <w:bCs/>
                <w:color w:val="000000" w:themeColor="text1"/>
                <w:sz w:val="20"/>
              </w:rPr>
              <w:t>(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i.e.,</w:t>
            </w:r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comprehensive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nati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onal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forest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inventory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programs</w:t>
            </w:r>
            <w:proofErr w:type="spellEnd"/>
            <w:r w:rsidR="008B4B1E">
              <w:rPr>
                <w:rFonts w:ascii="Arial" w:hAnsi="Arial" w:cs="Arial"/>
                <w:bCs/>
                <w:color w:val="000000" w:themeColor="text1"/>
                <w:sz w:val="20"/>
              </w:rPr>
              <w:t>)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.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Our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objective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here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wa</w:t>
            </w:r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to test a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model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combining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these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two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data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types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at a single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exceptionally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well-studied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site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-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Monument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Canyon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in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Jemez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Mountains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of New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Mexico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, U. S. A.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Increm</w:t>
            </w:r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>ent</w:t>
            </w:r>
            <w:proofErr w:type="spellEnd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>cores</w:t>
            </w:r>
            <w:proofErr w:type="spellEnd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>were</w:t>
            </w:r>
            <w:proofErr w:type="spellEnd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>collected</w:t>
            </w:r>
            <w:proofErr w:type="spellEnd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>from</w:t>
            </w:r>
            <w:proofErr w:type="spellEnd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100</w:t>
            </w:r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trees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>across</w:t>
            </w:r>
            <w:proofErr w:type="spellEnd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>size</w:t>
            </w:r>
            <w:proofErr w:type="spellEnd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>classes</w:t>
            </w:r>
            <w:proofErr w:type="spellEnd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in 2014, and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measurements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of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diameter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at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brea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st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height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(DBH)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were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made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on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all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trees</w:t>
            </w:r>
            <w:proofErr w:type="spellEnd"/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&gt;20cm DBH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(n=500)</w:t>
            </w:r>
            <w:r w:rsidR="00BA7FCE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in</w:t>
            </w:r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2004 and 2014, in 16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p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lots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ranging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from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 w:rsidRPr="00842BAB">
              <w:rPr>
                <w:rFonts w:ascii="Arial" w:hAnsi="Arial" w:cs="Arial"/>
                <w:bCs/>
                <w:i/>
                <w:color w:val="000000" w:themeColor="text1"/>
                <w:sz w:val="20"/>
              </w:rPr>
              <w:t>Pinus</w:t>
            </w:r>
            <w:proofErr w:type="spellEnd"/>
            <w:r w:rsidR="00842BAB" w:rsidRPr="00842BAB">
              <w:rPr>
                <w:rFonts w:ascii="Arial" w:hAnsi="Arial" w:cs="Arial"/>
                <w:bCs/>
                <w:i/>
                <w:color w:val="000000" w:themeColor="text1"/>
                <w:sz w:val="20"/>
              </w:rPr>
              <w:t xml:space="preserve"> ponderosa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-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dominated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to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mixed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conifer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forest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.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Analysis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of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tree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-ring data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revealed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negative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sensitivity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to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temperature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and positive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sensitivity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to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precipitation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at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end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of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previous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year’s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growing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season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(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Sept-Oct</w:t>
            </w:r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) and in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arid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foresummer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months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of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current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growing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season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(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Apr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-Jun</w:t>
            </w:r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).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Analysis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of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DBH data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offered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limited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insight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on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climatic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niche (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i.e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,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growth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response to 10</w:t>
            </w:r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-year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average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climate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, a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typical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forest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inventory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census</w:t>
            </w:r>
            <w:proofErr w:type="spellEnd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="00842BAB">
              <w:rPr>
                <w:rFonts w:ascii="Arial" w:hAnsi="Arial" w:cs="Arial"/>
                <w:bCs/>
                <w:color w:val="000000" w:themeColor="text1"/>
                <w:sz w:val="20"/>
              </w:rPr>
              <w:t>interval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).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We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combined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tree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-ring and DBH data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together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using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a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hidden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process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model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that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treats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both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as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observations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of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 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common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process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of individual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tree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growth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, and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ask</w:t>
            </w:r>
            <w:r w:rsidR="008B4B1E">
              <w:rPr>
                <w:rFonts w:ascii="Arial" w:hAnsi="Arial" w:cs="Arial"/>
                <w:bCs/>
                <w:color w:val="000000" w:themeColor="text1"/>
                <w:sz w:val="20"/>
              </w:rPr>
              <w:t>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,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by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removing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increasingly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more of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tree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-ring data,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how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inference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of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climatic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niche degrades.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This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analysis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offers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insight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into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how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much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tree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-ring data are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needed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to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complement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forest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inventory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plot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data to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infer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</w:t>
            </w:r>
            <w:proofErr w:type="spellStart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>climatic</w:t>
            </w:r>
            <w:proofErr w:type="spellEnd"/>
            <w:r w:rsidRPr="00C377D0"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niche.</w:t>
            </w:r>
            <w:bookmarkEnd w:id="0"/>
          </w:p>
        </w:tc>
      </w:tr>
      <w:tr w:rsidR="003540D1" w:rsidRPr="00CA1DAF" w:rsidTr="000A39E0">
        <w:trPr>
          <w:trHeight w:val="556"/>
        </w:trPr>
        <w:tc>
          <w:tcPr>
            <w:tcW w:w="2802" w:type="dxa"/>
            <w:vAlign w:val="center"/>
          </w:tcPr>
          <w:p w:rsidR="003540D1" w:rsidRPr="000A39E0" w:rsidRDefault="003540D1" w:rsidP="00940971">
            <w:pPr>
              <w:spacing w:before="120" w:after="120"/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</w:pPr>
            <w:r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t>Keywords</w:t>
            </w:r>
            <w:r w:rsidR="00D14D30" w:rsidRPr="000A39E0">
              <w:rPr>
                <w:rFonts w:ascii="Arial" w:hAnsi="Arial" w:cs="Arial"/>
                <w:b/>
                <w:color w:val="808080" w:themeColor="background1" w:themeShade="80"/>
                <w:sz w:val="20"/>
                <w:lang w:val="en-US"/>
              </w:rPr>
              <w:t xml:space="preserve"> </w:t>
            </w:r>
            <w:r w:rsidR="00D14D30" w:rsidRPr="000A39E0">
              <w:rPr>
                <w:rFonts w:ascii="Arial" w:hAnsi="Arial" w:cs="Arial"/>
                <w:color w:val="808080" w:themeColor="background1" w:themeShade="80"/>
                <w:sz w:val="20"/>
                <w:lang w:val="en-US"/>
              </w:rPr>
              <w:t>(</w:t>
            </w:r>
            <w:r w:rsidR="00940971" w:rsidRPr="000A39E0">
              <w:rPr>
                <w:rFonts w:ascii="Arial" w:hAnsi="Arial" w:cs="Arial"/>
                <w:color w:val="808080" w:themeColor="background1" w:themeShade="80"/>
                <w:sz w:val="20"/>
                <w:lang w:val="en-US"/>
              </w:rPr>
              <w:t>up to</w:t>
            </w:r>
            <w:r w:rsidR="00D14D30" w:rsidRPr="000A39E0">
              <w:rPr>
                <w:rFonts w:ascii="Arial" w:hAnsi="Arial" w:cs="Arial"/>
                <w:color w:val="808080" w:themeColor="background1" w:themeShade="80"/>
                <w:sz w:val="20"/>
                <w:lang w:val="en-US"/>
              </w:rPr>
              <w:t xml:space="preserve"> 5)</w:t>
            </w:r>
          </w:p>
        </w:tc>
        <w:tc>
          <w:tcPr>
            <w:tcW w:w="6804" w:type="dxa"/>
            <w:vAlign w:val="center"/>
          </w:tcPr>
          <w:p w:rsidR="003540D1" w:rsidRPr="000A39E0" w:rsidRDefault="008B4B1E" w:rsidP="008B4B1E">
            <w:pPr>
              <w:spacing w:before="120" w:after="120"/>
              <w:rPr>
                <w:rFonts w:ascii="Arial" w:hAnsi="Arial" w:cs="Arial"/>
                <w:color w:val="000000" w:themeColor="text1"/>
                <w:sz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>D</w:t>
            </w:r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ata fusion; </w:t>
            </w:r>
            <w:r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Ecological forecasting; Forest inventory plot data; </w:t>
            </w:r>
          </w:p>
        </w:tc>
      </w:tr>
    </w:tbl>
    <w:p w:rsidR="007E090D" w:rsidRDefault="007E090D" w:rsidP="000A39E0">
      <w:pPr>
        <w:rPr>
          <w:rFonts w:ascii="Arial" w:hAnsi="Arial" w:cs="Arial"/>
          <w:lang w:val="en-US"/>
        </w:rPr>
      </w:pPr>
    </w:p>
    <w:sectPr w:rsidR="007E090D" w:rsidSect="001E6B5D">
      <w:headerReference w:type="default" r:id="rId7"/>
      <w:pgSz w:w="11906" w:h="16838" w:code="9"/>
      <w:pgMar w:top="1021" w:right="926" w:bottom="426" w:left="1260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E00" w:rsidRDefault="00596E00" w:rsidP="00C16DAB">
      <w:pPr>
        <w:spacing w:after="0" w:line="240" w:lineRule="auto"/>
      </w:pPr>
      <w:r>
        <w:separator/>
      </w:r>
    </w:p>
  </w:endnote>
  <w:endnote w:type="continuationSeparator" w:id="0">
    <w:p w:rsidR="00596E00" w:rsidRDefault="00596E00" w:rsidP="00C1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E00" w:rsidRDefault="00596E00" w:rsidP="00C16DAB">
      <w:pPr>
        <w:spacing w:after="0" w:line="240" w:lineRule="auto"/>
      </w:pPr>
      <w:r>
        <w:separator/>
      </w:r>
    </w:p>
  </w:footnote>
  <w:footnote w:type="continuationSeparator" w:id="0">
    <w:p w:rsidR="00596E00" w:rsidRDefault="00596E00" w:rsidP="00C16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B87" w:rsidRDefault="00DA5B87">
    <w:pPr>
      <w:pStyle w:val="Header"/>
    </w:pPr>
    <w:r>
      <w:rPr>
        <w:noProof/>
        <w:lang w:val="en-US"/>
      </w:rPr>
      <w:drawing>
        <wp:inline distT="0" distB="0" distL="0" distR="0" wp14:anchorId="1EDE7F1C" wp14:editId="58BF0D84">
          <wp:extent cx="5969635" cy="1440815"/>
          <wp:effectExtent l="0" t="0" r="0" b="6985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635" cy="1440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A5B87" w:rsidRDefault="00DA5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E3"/>
    <w:rsid w:val="00051937"/>
    <w:rsid w:val="000769D5"/>
    <w:rsid w:val="000A39E0"/>
    <w:rsid w:val="001A4909"/>
    <w:rsid w:val="001B40E3"/>
    <w:rsid w:val="001C40D8"/>
    <w:rsid w:val="001E6B5D"/>
    <w:rsid w:val="00297001"/>
    <w:rsid w:val="002E79AA"/>
    <w:rsid w:val="00306954"/>
    <w:rsid w:val="003540D1"/>
    <w:rsid w:val="004138C7"/>
    <w:rsid w:val="00462B24"/>
    <w:rsid w:val="004F46A0"/>
    <w:rsid w:val="005639DB"/>
    <w:rsid w:val="00596E00"/>
    <w:rsid w:val="005B1404"/>
    <w:rsid w:val="005E1B87"/>
    <w:rsid w:val="0072694C"/>
    <w:rsid w:val="00742A44"/>
    <w:rsid w:val="007A4C6E"/>
    <w:rsid w:val="007E090D"/>
    <w:rsid w:val="00820E53"/>
    <w:rsid w:val="008326D7"/>
    <w:rsid w:val="00842BAB"/>
    <w:rsid w:val="008B4B1E"/>
    <w:rsid w:val="009061D0"/>
    <w:rsid w:val="00924DA3"/>
    <w:rsid w:val="00940971"/>
    <w:rsid w:val="00947BA5"/>
    <w:rsid w:val="00970E94"/>
    <w:rsid w:val="00AE7799"/>
    <w:rsid w:val="00B1271D"/>
    <w:rsid w:val="00B16AFE"/>
    <w:rsid w:val="00B25654"/>
    <w:rsid w:val="00BA7546"/>
    <w:rsid w:val="00BA7FCE"/>
    <w:rsid w:val="00C16DAB"/>
    <w:rsid w:val="00C17410"/>
    <w:rsid w:val="00C377D0"/>
    <w:rsid w:val="00CA1DAF"/>
    <w:rsid w:val="00CD535B"/>
    <w:rsid w:val="00CF3459"/>
    <w:rsid w:val="00D14D30"/>
    <w:rsid w:val="00D15B34"/>
    <w:rsid w:val="00D2282F"/>
    <w:rsid w:val="00DA5B87"/>
    <w:rsid w:val="00DD6F3D"/>
    <w:rsid w:val="00ED52C3"/>
    <w:rsid w:val="00EE697A"/>
    <w:rsid w:val="00FC3EAF"/>
    <w:rsid w:val="00F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1E05F3-936A-476D-927F-65847075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D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AB"/>
  </w:style>
  <w:style w:type="paragraph" w:styleId="Footer">
    <w:name w:val="footer"/>
    <w:basedOn w:val="Normal"/>
    <w:link w:val="FooterChar"/>
    <w:uiPriority w:val="99"/>
    <w:unhideWhenUsed/>
    <w:rsid w:val="00C16D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AB"/>
  </w:style>
  <w:style w:type="paragraph" w:styleId="BalloonText">
    <w:name w:val="Balloon Text"/>
    <w:basedOn w:val="Normal"/>
    <w:link w:val="BalloonTextChar"/>
    <w:uiPriority w:val="99"/>
    <w:semiHidden/>
    <w:unhideWhenUsed/>
    <w:rsid w:val="00C1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16DA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79AA"/>
    <w:rPr>
      <w:color w:val="808080"/>
    </w:rPr>
  </w:style>
  <w:style w:type="table" w:styleId="TableGrid">
    <w:name w:val="Table Grid"/>
    <w:basedOn w:val="TableNormal"/>
    <w:uiPriority w:val="59"/>
    <w:rsid w:val="001A4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07EF93FE344192A1C79BDDFB2E8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25A91-7F42-4218-BC1E-45E87521BDE9}"/>
      </w:docPartPr>
      <w:docPartBody>
        <w:p w:rsidR="00B72ED1" w:rsidRDefault="00F34B2D">
          <w:pPr>
            <w:pStyle w:val="BE07EF93FE344192A1C79BDDFB2E8C9D"/>
          </w:pPr>
          <w:r w:rsidRPr="00881D4F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2D"/>
    <w:rsid w:val="00680C02"/>
    <w:rsid w:val="009352DB"/>
    <w:rsid w:val="00B72ED1"/>
    <w:rsid w:val="00F3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07EF93FE344192A1C79BDDFB2E8C9D">
    <w:name w:val="BE07EF93FE344192A1C79BDDFB2E8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66C2F-66C1-4CD2-99C6-C3B552947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</dc:creator>
  <cp:lastModifiedBy>eth_admin</cp:lastModifiedBy>
  <cp:revision>5</cp:revision>
  <dcterms:created xsi:type="dcterms:W3CDTF">2015-11-13T15:43:00Z</dcterms:created>
  <dcterms:modified xsi:type="dcterms:W3CDTF">2015-11-13T17:57:00Z</dcterms:modified>
</cp:coreProperties>
</file>