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(Aman et al., 2014; Aman and Bman, 2015) </w:t>
      </w:r>
      <w:r w:rsidR="00B4015F">
        <w:t>adipiscing elit. Mauris dictum, nibh ut condimentum pharetra, quam ligula varius est, sed vehicula massa erat ut metus. In eget metus lorem. Fusce vitae ante dictum, elementum sem non, lacinia dui. Integer tellus tortor, convallis et aliquam non, dictum vel mauris. Quisque maximus mollis dui, a mollis mauris vehicula in. Duis dui ligula, suscipit ac lectus</w:t>
      </w:r>
      <w:r w:rsidR="00C82F79">
        <w:t xml:space="preserve"> vitae, fringilla euismod diam.</w:t>
      </w:r>
    </w:p>
    <w:p w14:paraId="3B69E57B" w14:textId="77777777" w:rsidR="00C82F79" w:rsidRDefault="00C82F79" w:rsidP="00B57DB5">
      <w:pPr>
        <w:pStyle w:val="Heading1"/>
        <w:spacing w:line="360" w:lineRule="auto"/>
      </w:pPr>
      <w:r>
        <w:t xml:space="preserve">1 </w:t>
      </w:r>
      <w:r w:rsidR="00DC393C">
        <w:t>Introduction</w:t>
      </w:r>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5A71736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would have a direct impact on soil organic matter even deep into the soil profile. However, </w:t>
      </w:r>
      <w:r w:rsidRPr="00DC393C">
        <w:rPr>
          <w:rFonts w:cs="Times New Roman"/>
          <w:b w:val="0"/>
          <w:bCs w:val="0"/>
          <w:iCs w:val="0"/>
          <w:szCs w:val="24"/>
        </w:rPr>
        <w:lastRenderedPageBreak/>
        <w:t xml:space="preserve">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2FF46745"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2002;</w:t>
      </w:r>
      <w:r w:rsidR="00046168">
        <w:rPr>
          <w:rFonts w:cs="Times New Roman"/>
          <w:b w:val="0"/>
          <w:bCs w:val="0"/>
          <w:iCs w:val="0"/>
          <w:szCs w:val="24"/>
        </w:rPr>
        <w:t xml:space="preserve"> </w:t>
      </w:r>
      <w:r w:rsidR="00540BD4">
        <w:rPr>
          <w:rFonts w:cs="Times New Roman"/>
          <w:b w:val="0"/>
          <w:bCs w:val="0"/>
          <w:iCs w:val="0"/>
          <w:szCs w:val="24"/>
        </w:rPr>
        <w:t>Rasse et al. 2005</w:t>
      </w:r>
      <w:r w:rsidRPr="00DC393C">
        <w:rPr>
          <w:rFonts w:cs="Times New Roman"/>
          <w:b w:val="0"/>
          <w:bCs w:val="0"/>
          <w:iCs w:val="0"/>
          <w:szCs w:val="24"/>
        </w:rPr>
        <w:t>).  The C:N ratio of the organic matter being decomposed also plays a key role in both the rate of decomposition and the fate of the decomposed organic matter, with higher C:N ratios leading to slower decomposition (Silver and Miya 2001) and fewer microbial by-products (Cortrufo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 .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(Circium canadense)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(Blackmer et al., 1997) and the expected N removal in the harvested biomass of perennial grasses grown in the area (Heggenstaller et al., 2009).  Fertilization timing can be found in Table 1.</w:t>
      </w:r>
    </w:p>
    <w:p w14:paraId="7237936D" w14:textId="2962CA29" w:rsidR="00B57DB5" w:rsidRPr="00EA13F0" w:rsidRDefault="00B57DB5" w:rsidP="00B57DB5">
      <w:pPr>
        <w:pStyle w:val="Heading3"/>
        <w:spacing w:line="360" w:lineRule="auto"/>
        <w:rPr>
          <w:rFonts w:cs="Times New Roman"/>
          <w:b w:val="0"/>
          <w:bCs w:val="0"/>
          <w:color w:val="C00000"/>
          <w:szCs w:val="24"/>
        </w:rPr>
      </w:pPr>
      <w:r w:rsidRPr="00EA13F0">
        <w:rPr>
          <w:rFonts w:cs="Times New Roman"/>
          <w:b w:val="0"/>
          <w:bCs w:val="0"/>
          <w:color w:val="C00000"/>
          <w:szCs w:val="24"/>
        </w:rPr>
        <w:t xml:space="preserve">The maize used was a 104-day relative maturity hybrid with transgenes for glyphosate resistance, corn borer (Ostrinia nubilalis) resistance, and corn rootworm (Diabrotica spp.) protection (Agrigold 6325 VT3).   Maize was planted following standard practices (Abendroth et al., 2011) in rows spaced 76 cm apart at 79,500 seeds ha-1 on 6 May 2010 and 82,500 seeds ha-1 on 11 May 2011.  Fertilizer rates and types can be found in Table 1.  Rates of N added after planting were based on results of late-spring tests of soil nitrate-N concentration (Blackmer et al.,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Blackmer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(Appendix).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(mrt) using the equations k = loss/pool and mrt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01AB8A1B" w:rsidR="00532388" w:rsidRDefault="006C6BC4" w:rsidP="00532388">
      <w:pPr>
        <w:rPr>
          <w:szCs w:val="20"/>
        </w:rPr>
      </w:pPr>
      <w:r>
        <w:rPr>
          <w:szCs w:val="20"/>
        </w:rPr>
        <w:t>Table 2</w:t>
      </w:r>
      <w:r w:rsidR="00532388" w:rsidRPr="00532388">
        <w:rPr>
          <w:szCs w:val="20"/>
        </w:rPr>
        <w:t>.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636"/>
        <w:gridCol w:w="636"/>
        <w:gridCol w:w="636"/>
        <w:gridCol w:w="636"/>
        <w:gridCol w:w="656"/>
        <w:gridCol w:w="636"/>
        <w:gridCol w:w="636"/>
      </w:tblGrid>
      <w:tr w:rsidR="001070FF" w14:paraId="24A9C74B" w14:textId="77777777" w:rsidTr="001070FF">
        <w:tc>
          <w:tcPr>
            <w:tcW w:w="0" w:type="auto"/>
            <w:tcBorders>
              <w:top w:val="nil"/>
              <w:left w:val="nil"/>
              <w:bottom w:val="single" w:sz="2" w:space="0" w:color="auto"/>
              <w:right w:val="nil"/>
            </w:tcBorders>
            <w:vAlign w:val="bottom"/>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bottom"/>
            <w:hideMark/>
          </w:tcPr>
          <w:p w14:paraId="72191EB0" w14:textId="77777777" w:rsidR="001070FF" w:rsidRDefault="001070FF">
            <w:pPr>
              <w:pStyle w:val="Compact"/>
              <w:jc w:val="right"/>
            </w:pPr>
            <w:r>
              <w:t>BD</w:t>
            </w:r>
          </w:p>
        </w:tc>
        <w:tc>
          <w:tcPr>
            <w:tcW w:w="0" w:type="auto"/>
            <w:tcBorders>
              <w:top w:val="nil"/>
              <w:left w:val="nil"/>
              <w:bottom w:val="single" w:sz="2" w:space="0" w:color="auto"/>
              <w:right w:val="nil"/>
            </w:tcBorders>
            <w:vAlign w:val="bottom"/>
            <w:hideMark/>
          </w:tcPr>
          <w:p w14:paraId="48BB367B" w14:textId="77777777" w:rsidR="001070FF" w:rsidRDefault="001070FF">
            <w:pPr>
              <w:pStyle w:val="Compact"/>
              <w:jc w:val="right"/>
            </w:pPr>
            <w:r>
              <w:t>pH</w:t>
            </w:r>
          </w:p>
        </w:tc>
        <w:tc>
          <w:tcPr>
            <w:tcW w:w="0" w:type="auto"/>
            <w:tcBorders>
              <w:top w:val="nil"/>
              <w:left w:val="nil"/>
              <w:bottom w:val="single" w:sz="2" w:space="0" w:color="auto"/>
              <w:right w:val="nil"/>
            </w:tcBorders>
            <w:vAlign w:val="bottom"/>
            <w:hideMark/>
          </w:tcPr>
          <w:p w14:paraId="5125DFEE" w14:textId="77777777" w:rsidR="001070FF" w:rsidRDefault="001070FF">
            <w:pPr>
              <w:pStyle w:val="Compact"/>
              <w:jc w:val="right"/>
            </w:pPr>
            <w:r>
              <w:t>TC</w:t>
            </w:r>
          </w:p>
        </w:tc>
        <w:tc>
          <w:tcPr>
            <w:tcW w:w="0" w:type="auto"/>
            <w:tcBorders>
              <w:top w:val="nil"/>
              <w:left w:val="nil"/>
              <w:bottom w:val="single" w:sz="2" w:space="0" w:color="auto"/>
              <w:right w:val="nil"/>
            </w:tcBorders>
            <w:vAlign w:val="bottom"/>
            <w:hideMark/>
          </w:tcPr>
          <w:p w14:paraId="350C7FBC" w14:textId="77777777" w:rsidR="001070FF" w:rsidRDefault="001070FF">
            <w:pPr>
              <w:pStyle w:val="Compact"/>
              <w:jc w:val="right"/>
            </w:pPr>
            <w:r>
              <w:t>TN</w:t>
            </w:r>
          </w:p>
        </w:tc>
        <w:tc>
          <w:tcPr>
            <w:tcW w:w="0" w:type="auto"/>
            <w:tcBorders>
              <w:top w:val="nil"/>
              <w:left w:val="nil"/>
              <w:bottom w:val="single" w:sz="2" w:space="0" w:color="auto"/>
              <w:right w:val="nil"/>
            </w:tcBorders>
            <w:vAlign w:val="bottom"/>
            <w:hideMark/>
          </w:tcPr>
          <w:p w14:paraId="3B8D13B5" w14:textId="77777777" w:rsidR="001070FF" w:rsidRDefault="001070FF">
            <w:pPr>
              <w:pStyle w:val="Compact"/>
              <w:jc w:val="right"/>
            </w:pPr>
            <w:r>
              <w:t>sand</w:t>
            </w:r>
          </w:p>
        </w:tc>
        <w:tc>
          <w:tcPr>
            <w:tcW w:w="0" w:type="auto"/>
            <w:tcBorders>
              <w:top w:val="nil"/>
              <w:left w:val="nil"/>
              <w:bottom w:val="single" w:sz="2" w:space="0" w:color="auto"/>
              <w:right w:val="nil"/>
            </w:tcBorders>
            <w:vAlign w:val="bottom"/>
            <w:hideMark/>
          </w:tcPr>
          <w:p w14:paraId="2E39DA60" w14:textId="77777777" w:rsidR="001070FF" w:rsidRDefault="001070FF">
            <w:pPr>
              <w:pStyle w:val="Compact"/>
              <w:jc w:val="right"/>
            </w:pPr>
            <w:r>
              <w:t>silt</w:t>
            </w:r>
          </w:p>
        </w:tc>
        <w:tc>
          <w:tcPr>
            <w:tcW w:w="0" w:type="auto"/>
            <w:tcBorders>
              <w:top w:val="nil"/>
              <w:left w:val="nil"/>
              <w:bottom w:val="single" w:sz="2" w:space="0" w:color="auto"/>
              <w:right w:val="nil"/>
            </w:tcBorders>
            <w:vAlign w:val="bottom"/>
            <w:hideMark/>
          </w:tcPr>
          <w:p w14:paraId="7C7B639F" w14:textId="77777777" w:rsidR="001070FF" w:rsidRDefault="001070FF">
            <w:pPr>
              <w:pStyle w:val="Compact"/>
              <w:jc w:val="right"/>
            </w:pPr>
            <w:r>
              <w:t>clay</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pPr>
              <w:pStyle w:val="Compact"/>
              <w:jc w:val="right"/>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pPr>
              <w:pStyle w:val="Compact"/>
              <w:jc w:val="right"/>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pPr>
              <w:pStyle w:val="Compact"/>
              <w:jc w:val="right"/>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pPr>
              <w:pStyle w:val="Compact"/>
              <w:jc w:val="right"/>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pPr>
              <w:pStyle w:val="Compact"/>
              <w:jc w:val="right"/>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lastRenderedPageBreak/>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532388">
      <w:pPr>
        <w:rPr>
          <w:szCs w:val="20"/>
        </w:rPr>
      </w:pPr>
      <w:r w:rsidRPr="00BF164E">
        <w:lastRenderedPageBreak/>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bookmarkStart w:id="0" w:name="_GoBack"/>
      <w:bookmarkEnd w:id="0"/>
    </w:p>
    <w:p w14:paraId="4188413F" w14:textId="77777777" w:rsidR="00532388" w:rsidRPr="00532388" w:rsidRDefault="00532388" w:rsidP="00532388">
      <w:pPr>
        <w:rPr>
          <w:szCs w:val="20"/>
        </w:rPr>
      </w:pPr>
      <w:r w:rsidRPr="00532388">
        <w:rPr>
          <w:szCs w:val="20"/>
        </w:rPr>
        <w:t xml:space="preserve">Figure 2. </w:t>
      </w:r>
      <w:commentRangeStart w:id="1"/>
      <w:r w:rsidRPr="00532388">
        <w:rPr>
          <w:szCs w:val="20"/>
        </w:rPr>
        <w:t>Absolute difference in root C pools six years after prairie establishment.</w:t>
      </w:r>
      <w:commentRangeEnd w:id="1"/>
      <w:r w:rsidRPr="00532388">
        <w:rPr>
          <w:rStyle w:val="CommentReference"/>
          <w:sz w:val="20"/>
          <w:szCs w:val="20"/>
        </w:rPr>
        <w:commentReference w:id="1"/>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1F0D4C39" w:rsidR="00532388" w:rsidRPr="00532388" w:rsidRDefault="006C6BC4" w:rsidP="00532388">
      <w:pPr>
        <w:rPr>
          <w:szCs w:val="20"/>
        </w:rPr>
      </w:pPr>
      <w:r>
        <w:rPr>
          <w:szCs w:val="20"/>
        </w:rPr>
        <w:t>Table 3</w:t>
      </w:r>
      <w:r w:rsidR="00532388" w:rsidRPr="00532388">
        <w:rPr>
          <w:szCs w:val="20"/>
        </w:rPr>
        <w:t>.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Modeled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tbl>
      <w:tblPr>
        <w:tblW w:w="3040" w:type="pct"/>
        <w:tblLook w:val="07E0" w:firstRow="1" w:lastRow="1" w:firstColumn="1" w:lastColumn="1" w:noHBand="1" w:noVBand="1"/>
        <w:tblCaption w:val="Root pool decomposition, masses in g/m^2"/>
      </w:tblPr>
      <w:tblGrid>
        <w:gridCol w:w="2256"/>
        <w:gridCol w:w="710"/>
        <w:gridCol w:w="630"/>
        <w:gridCol w:w="590"/>
        <w:gridCol w:w="643"/>
        <w:gridCol w:w="636"/>
        <w:gridCol w:w="636"/>
      </w:tblGrid>
      <w:tr w:rsidR="006B6053" w14:paraId="2C7A1CC7" w14:textId="77777777" w:rsidTr="006B6053">
        <w:tc>
          <w:tcPr>
            <w:tcW w:w="0" w:type="auto"/>
            <w:tcBorders>
              <w:top w:val="nil"/>
              <w:left w:val="nil"/>
              <w:bottom w:val="single" w:sz="2" w:space="0" w:color="auto"/>
              <w:right w:val="nil"/>
            </w:tcBorders>
            <w:vAlign w:val="bottom"/>
            <w:hideMark/>
          </w:tcPr>
          <w:p w14:paraId="3848C3F9" w14:textId="77777777" w:rsidR="006B6053" w:rsidRDefault="006B6053">
            <w:pPr>
              <w:pStyle w:val="Compact"/>
            </w:pPr>
            <w:r>
              <w:t>trt</w:t>
            </w:r>
          </w:p>
        </w:tc>
        <w:tc>
          <w:tcPr>
            <w:tcW w:w="0" w:type="auto"/>
            <w:tcBorders>
              <w:top w:val="nil"/>
              <w:left w:val="nil"/>
              <w:bottom w:val="single" w:sz="2" w:space="0" w:color="auto"/>
              <w:right w:val="nil"/>
            </w:tcBorders>
            <w:vAlign w:val="bottom"/>
            <w:hideMark/>
          </w:tcPr>
          <w:p w14:paraId="5A92FB86" w14:textId="77777777" w:rsidR="006B6053" w:rsidRDefault="006B6053">
            <w:pPr>
              <w:pStyle w:val="Compact"/>
              <w:jc w:val="right"/>
            </w:pPr>
            <w:r>
              <w:t>input</w:t>
            </w:r>
          </w:p>
        </w:tc>
        <w:tc>
          <w:tcPr>
            <w:tcW w:w="0" w:type="auto"/>
            <w:tcBorders>
              <w:top w:val="nil"/>
              <w:left w:val="nil"/>
              <w:bottom w:val="single" w:sz="2" w:space="0" w:color="auto"/>
              <w:right w:val="nil"/>
            </w:tcBorders>
            <w:vAlign w:val="bottom"/>
            <w:hideMark/>
          </w:tcPr>
          <w:p w14:paraId="53C83C3D" w14:textId="77777777" w:rsidR="006B6053" w:rsidRDefault="006B6053">
            <w:pPr>
              <w:pStyle w:val="Compact"/>
              <w:jc w:val="right"/>
            </w:pPr>
            <w:r>
              <w:t>gain</w:t>
            </w:r>
          </w:p>
        </w:tc>
        <w:tc>
          <w:tcPr>
            <w:tcW w:w="0" w:type="auto"/>
            <w:tcBorders>
              <w:top w:val="nil"/>
              <w:left w:val="nil"/>
              <w:bottom w:val="single" w:sz="2" w:space="0" w:color="auto"/>
              <w:right w:val="nil"/>
            </w:tcBorders>
            <w:vAlign w:val="bottom"/>
            <w:hideMark/>
          </w:tcPr>
          <w:p w14:paraId="43BBD3F7" w14:textId="77777777" w:rsidR="006B6053" w:rsidRDefault="006B6053">
            <w:pPr>
              <w:pStyle w:val="Compact"/>
              <w:jc w:val="right"/>
            </w:pPr>
            <w:r>
              <w:t>loss</w:t>
            </w:r>
          </w:p>
        </w:tc>
        <w:tc>
          <w:tcPr>
            <w:tcW w:w="0" w:type="auto"/>
            <w:tcBorders>
              <w:top w:val="nil"/>
              <w:left w:val="nil"/>
              <w:bottom w:val="single" w:sz="2" w:space="0" w:color="auto"/>
              <w:right w:val="nil"/>
            </w:tcBorders>
            <w:vAlign w:val="bottom"/>
            <w:hideMark/>
          </w:tcPr>
          <w:p w14:paraId="17BF8279" w14:textId="77777777" w:rsidR="006B6053" w:rsidRDefault="006B6053">
            <w:pPr>
              <w:pStyle w:val="Compact"/>
              <w:jc w:val="right"/>
            </w:pPr>
            <w:r>
              <w:t>pool</w:t>
            </w:r>
          </w:p>
        </w:tc>
        <w:tc>
          <w:tcPr>
            <w:tcW w:w="0" w:type="auto"/>
            <w:tcBorders>
              <w:top w:val="nil"/>
              <w:left w:val="nil"/>
              <w:bottom w:val="single" w:sz="2" w:space="0" w:color="auto"/>
              <w:right w:val="nil"/>
            </w:tcBorders>
            <w:vAlign w:val="bottom"/>
            <w:hideMark/>
          </w:tcPr>
          <w:p w14:paraId="28FD2A55" w14:textId="77777777" w:rsidR="006B6053" w:rsidRDefault="006B6053">
            <w:pPr>
              <w:pStyle w:val="Compact"/>
              <w:jc w:val="right"/>
            </w:pPr>
            <w:r>
              <w:t>k</w:t>
            </w:r>
          </w:p>
        </w:tc>
        <w:tc>
          <w:tcPr>
            <w:tcW w:w="0" w:type="auto"/>
            <w:tcBorders>
              <w:top w:val="nil"/>
              <w:left w:val="nil"/>
              <w:bottom w:val="single" w:sz="2" w:space="0" w:color="auto"/>
              <w:right w:val="nil"/>
            </w:tcBorders>
            <w:vAlign w:val="bottom"/>
            <w:hideMark/>
          </w:tcPr>
          <w:p w14:paraId="134DD892" w14:textId="77777777" w:rsidR="006B6053" w:rsidRDefault="006B6053">
            <w:pPr>
              <w:pStyle w:val="Compact"/>
              <w:jc w:val="right"/>
            </w:pPr>
            <w:r>
              <w:t>mrt</w:t>
            </w:r>
          </w:p>
        </w:tc>
      </w:tr>
      <w:tr w:rsidR="006B6053" w14:paraId="5DFECD91" w14:textId="77777777" w:rsidTr="006B6053">
        <w:tc>
          <w:tcPr>
            <w:tcW w:w="0" w:type="auto"/>
            <w:hideMark/>
          </w:tcPr>
          <w:p w14:paraId="63AEB98F" w14:textId="77777777" w:rsidR="006B6053" w:rsidRDefault="006B6053">
            <w:pPr>
              <w:pStyle w:val="Compact"/>
            </w:pPr>
            <w:r>
              <w:t>Prairie2010</w:t>
            </w:r>
          </w:p>
        </w:tc>
        <w:tc>
          <w:tcPr>
            <w:tcW w:w="0" w:type="auto"/>
            <w:hideMark/>
          </w:tcPr>
          <w:p w14:paraId="411196CA" w14:textId="77777777" w:rsidR="006B6053" w:rsidRDefault="006B6053">
            <w:pPr>
              <w:pStyle w:val="Compact"/>
              <w:jc w:val="right"/>
            </w:pPr>
            <w:r>
              <w:t>367</w:t>
            </w:r>
          </w:p>
        </w:tc>
        <w:tc>
          <w:tcPr>
            <w:tcW w:w="0" w:type="auto"/>
            <w:hideMark/>
          </w:tcPr>
          <w:p w14:paraId="5AD2962D" w14:textId="77777777" w:rsidR="006B6053" w:rsidRDefault="006B6053">
            <w:pPr>
              <w:pStyle w:val="Compact"/>
              <w:jc w:val="right"/>
            </w:pPr>
            <w:r>
              <w:t>104</w:t>
            </w:r>
          </w:p>
        </w:tc>
        <w:tc>
          <w:tcPr>
            <w:tcW w:w="0" w:type="auto"/>
            <w:hideMark/>
          </w:tcPr>
          <w:p w14:paraId="5BD83189" w14:textId="77777777" w:rsidR="006B6053" w:rsidRDefault="006B6053">
            <w:pPr>
              <w:pStyle w:val="Compact"/>
              <w:jc w:val="right"/>
            </w:pPr>
            <w:r>
              <w:t>263</w:t>
            </w:r>
          </w:p>
        </w:tc>
        <w:tc>
          <w:tcPr>
            <w:tcW w:w="0" w:type="auto"/>
            <w:hideMark/>
          </w:tcPr>
          <w:p w14:paraId="0FF131E9" w14:textId="77777777" w:rsidR="006B6053" w:rsidRDefault="006B6053">
            <w:pPr>
              <w:pStyle w:val="Compact"/>
              <w:jc w:val="right"/>
            </w:pPr>
            <w:r>
              <w:t>748</w:t>
            </w:r>
          </w:p>
        </w:tc>
        <w:tc>
          <w:tcPr>
            <w:tcW w:w="0" w:type="auto"/>
            <w:hideMark/>
          </w:tcPr>
          <w:p w14:paraId="331462A8" w14:textId="77777777" w:rsidR="006B6053" w:rsidRDefault="006B6053">
            <w:pPr>
              <w:pStyle w:val="Compact"/>
              <w:jc w:val="right"/>
            </w:pPr>
            <w:r>
              <w:t>0.35</w:t>
            </w:r>
          </w:p>
        </w:tc>
        <w:tc>
          <w:tcPr>
            <w:tcW w:w="0" w:type="auto"/>
            <w:hideMark/>
          </w:tcPr>
          <w:p w14:paraId="3019848C" w14:textId="77777777" w:rsidR="006B6053" w:rsidRDefault="006B6053">
            <w:pPr>
              <w:pStyle w:val="Compact"/>
              <w:jc w:val="right"/>
            </w:pPr>
            <w:r>
              <w:t>2.85</w:t>
            </w:r>
          </w:p>
        </w:tc>
      </w:tr>
      <w:tr w:rsidR="006B6053" w14:paraId="2E103561" w14:textId="77777777" w:rsidTr="006B6053">
        <w:tc>
          <w:tcPr>
            <w:tcW w:w="0" w:type="auto"/>
            <w:hideMark/>
          </w:tcPr>
          <w:p w14:paraId="1321244C" w14:textId="77777777" w:rsidR="006B6053" w:rsidRDefault="006B6053">
            <w:pPr>
              <w:pStyle w:val="Compact"/>
            </w:pPr>
            <w:r>
              <w:t>FertilizedPrairie2010</w:t>
            </w:r>
          </w:p>
        </w:tc>
        <w:tc>
          <w:tcPr>
            <w:tcW w:w="0" w:type="auto"/>
            <w:hideMark/>
          </w:tcPr>
          <w:p w14:paraId="797A2B4F" w14:textId="77777777" w:rsidR="006B6053" w:rsidRDefault="006B6053">
            <w:pPr>
              <w:pStyle w:val="Compact"/>
              <w:jc w:val="right"/>
            </w:pPr>
            <w:r>
              <w:t>146</w:t>
            </w:r>
          </w:p>
        </w:tc>
        <w:tc>
          <w:tcPr>
            <w:tcW w:w="0" w:type="auto"/>
            <w:hideMark/>
          </w:tcPr>
          <w:p w14:paraId="5EDC5C46" w14:textId="77777777" w:rsidR="006B6053" w:rsidRDefault="006B6053">
            <w:pPr>
              <w:pStyle w:val="Compact"/>
              <w:jc w:val="right"/>
            </w:pPr>
            <w:r>
              <w:t>62</w:t>
            </w:r>
          </w:p>
        </w:tc>
        <w:tc>
          <w:tcPr>
            <w:tcW w:w="0" w:type="auto"/>
            <w:hideMark/>
          </w:tcPr>
          <w:p w14:paraId="46CCDCE5" w14:textId="77777777" w:rsidR="006B6053" w:rsidRDefault="006B6053">
            <w:pPr>
              <w:pStyle w:val="Compact"/>
              <w:jc w:val="right"/>
            </w:pPr>
            <w:r>
              <w:t>84</w:t>
            </w:r>
          </w:p>
        </w:tc>
        <w:tc>
          <w:tcPr>
            <w:tcW w:w="0" w:type="auto"/>
            <w:hideMark/>
          </w:tcPr>
          <w:p w14:paraId="3C431382" w14:textId="77777777" w:rsidR="006B6053" w:rsidRDefault="006B6053">
            <w:pPr>
              <w:pStyle w:val="Compact"/>
              <w:jc w:val="right"/>
            </w:pPr>
            <w:r>
              <w:t>231</w:t>
            </w:r>
          </w:p>
        </w:tc>
        <w:tc>
          <w:tcPr>
            <w:tcW w:w="0" w:type="auto"/>
            <w:hideMark/>
          </w:tcPr>
          <w:p w14:paraId="745045A7" w14:textId="77777777" w:rsidR="006B6053" w:rsidRDefault="006B6053">
            <w:pPr>
              <w:pStyle w:val="Compact"/>
              <w:jc w:val="right"/>
            </w:pPr>
            <w:r>
              <w:t>0.37</w:t>
            </w:r>
          </w:p>
        </w:tc>
        <w:tc>
          <w:tcPr>
            <w:tcW w:w="0" w:type="auto"/>
            <w:hideMark/>
          </w:tcPr>
          <w:p w14:paraId="468D194B" w14:textId="77777777" w:rsidR="006B6053" w:rsidRDefault="006B6053">
            <w:pPr>
              <w:pStyle w:val="Compact"/>
              <w:jc w:val="right"/>
            </w:pPr>
            <w:r>
              <w:t>2.74</w:t>
            </w:r>
          </w:p>
        </w:tc>
      </w:tr>
      <w:tr w:rsidR="006B6053" w14:paraId="560E68A7" w14:textId="77777777" w:rsidTr="006B6053">
        <w:tc>
          <w:tcPr>
            <w:tcW w:w="0" w:type="auto"/>
            <w:hideMark/>
          </w:tcPr>
          <w:p w14:paraId="3EDC89A1" w14:textId="77777777" w:rsidR="006B6053" w:rsidRDefault="006B6053">
            <w:pPr>
              <w:pStyle w:val="Compact"/>
            </w:pPr>
            <w:r>
              <w:t>Prairie2011</w:t>
            </w:r>
          </w:p>
        </w:tc>
        <w:tc>
          <w:tcPr>
            <w:tcW w:w="0" w:type="auto"/>
            <w:hideMark/>
          </w:tcPr>
          <w:p w14:paraId="2D98B297" w14:textId="77777777" w:rsidR="006B6053" w:rsidRDefault="006B6053">
            <w:pPr>
              <w:pStyle w:val="Compact"/>
              <w:jc w:val="right"/>
            </w:pPr>
            <w:r>
              <w:t>387</w:t>
            </w:r>
          </w:p>
        </w:tc>
        <w:tc>
          <w:tcPr>
            <w:tcW w:w="0" w:type="auto"/>
            <w:hideMark/>
          </w:tcPr>
          <w:p w14:paraId="5608212C" w14:textId="77777777" w:rsidR="006B6053" w:rsidRDefault="006B6053">
            <w:pPr>
              <w:pStyle w:val="Compact"/>
              <w:jc w:val="right"/>
            </w:pPr>
            <w:r>
              <w:t>78</w:t>
            </w:r>
          </w:p>
        </w:tc>
        <w:tc>
          <w:tcPr>
            <w:tcW w:w="0" w:type="auto"/>
            <w:hideMark/>
          </w:tcPr>
          <w:p w14:paraId="10ED786B" w14:textId="77777777" w:rsidR="006B6053" w:rsidRDefault="006B6053">
            <w:pPr>
              <w:pStyle w:val="Compact"/>
              <w:jc w:val="right"/>
            </w:pPr>
            <w:r>
              <w:t>309</w:t>
            </w:r>
          </w:p>
        </w:tc>
        <w:tc>
          <w:tcPr>
            <w:tcW w:w="0" w:type="auto"/>
            <w:hideMark/>
          </w:tcPr>
          <w:p w14:paraId="013155C6" w14:textId="77777777" w:rsidR="006B6053" w:rsidRDefault="006B6053">
            <w:pPr>
              <w:pStyle w:val="Compact"/>
              <w:jc w:val="right"/>
            </w:pPr>
            <w:r>
              <w:t>758</w:t>
            </w:r>
          </w:p>
        </w:tc>
        <w:tc>
          <w:tcPr>
            <w:tcW w:w="0" w:type="auto"/>
            <w:hideMark/>
          </w:tcPr>
          <w:p w14:paraId="5CB4498C" w14:textId="77777777" w:rsidR="006B6053" w:rsidRDefault="006B6053">
            <w:pPr>
              <w:pStyle w:val="Compact"/>
              <w:jc w:val="right"/>
            </w:pPr>
            <w:r>
              <w:t>0.41</w:t>
            </w:r>
          </w:p>
        </w:tc>
        <w:tc>
          <w:tcPr>
            <w:tcW w:w="0" w:type="auto"/>
            <w:hideMark/>
          </w:tcPr>
          <w:p w14:paraId="0B7657AE" w14:textId="77777777" w:rsidR="006B6053" w:rsidRDefault="006B6053">
            <w:pPr>
              <w:pStyle w:val="Compact"/>
              <w:jc w:val="right"/>
            </w:pPr>
            <w:r>
              <w:t>2.45</w:t>
            </w:r>
          </w:p>
        </w:tc>
      </w:tr>
      <w:tr w:rsidR="006B6053" w14:paraId="42575576" w14:textId="77777777" w:rsidTr="006B6053">
        <w:tc>
          <w:tcPr>
            <w:tcW w:w="0" w:type="auto"/>
            <w:hideMark/>
          </w:tcPr>
          <w:p w14:paraId="01D1C296" w14:textId="77777777" w:rsidR="006B6053" w:rsidRDefault="006B6053">
            <w:pPr>
              <w:pStyle w:val="Compact"/>
            </w:pPr>
            <w:r>
              <w:t>FertilizedPrairie2011</w:t>
            </w:r>
          </w:p>
        </w:tc>
        <w:tc>
          <w:tcPr>
            <w:tcW w:w="0" w:type="auto"/>
            <w:hideMark/>
          </w:tcPr>
          <w:p w14:paraId="6722A7E4" w14:textId="77777777" w:rsidR="006B6053" w:rsidRDefault="006B6053">
            <w:pPr>
              <w:pStyle w:val="Compact"/>
              <w:jc w:val="right"/>
            </w:pPr>
            <w:r>
              <w:t>168</w:t>
            </w:r>
          </w:p>
        </w:tc>
        <w:tc>
          <w:tcPr>
            <w:tcW w:w="0" w:type="auto"/>
            <w:hideMark/>
          </w:tcPr>
          <w:p w14:paraId="378FC6E6" w14:textId="77777777" w:rsidR="006B6053" w:rsidRDefault="006B6053">
            <w:pPr>
              <w:pStyle w:val="Compact"/>
              <w:jc w:val="right"/>
            </w:pPr>
            <w:r>
              <w:t>55</w:t>
            </w:r>
          </w:p>
        </w:tc>
        <w:tc>
          <w:tcPr>
            <w:tcW w:w="0" w:type="auto"/>
            <w:hideMark/>
          </w:tcPr>
          <w:p w14:paraId="21CE33B5" w14:textId="77777777" w:rsidR="006B6053" w:rsidRDefault="006B6053">
            <w:pPr>
              <w:pStyle w:val="Compact"/>
              <w:jc w:val="right"/>
            </w:pPr>
            <w:r>
              <w:t>113</w:t>
            </w:r>
          </w:p>
        </w:tc>
        <w:tc>
          <w:tcPr>
            <w:tcW w:w="0" w:type="auto"/>
            <w:hideMark/>
          </w:tcPr>
          <w:p w14:paraId="7EA26B89" w14:textId="77777777" w:rsidR="006B6053" w:rsidRDefault="006B6053">
            <w:pPr>
              <w:pStyle w:val="Compact"/>
              <w:jc w:val="right"/>
            </w:pPr>
            <w:r>
              <w:t>342</w:t>
            </w:r>
          </w:p>
        </w:tc>
        <w:tc>
          <w:tcPr>
            <w:tcW w:w="0" w:type="auto"/>
            <w:hideMark/>
          </w:tcPr>
          <w:p w14:paraId="38045D3B" w14:textId="77777777" w:rsidR="006B6053" w:rsidRDefault="006B6053">
            <w:pPr>
              <w:pStyle w:val="Compact"/>
              <w:jc w:val="right"/>
            </w:pPr>
            <w:r>
              <w:t>0.33</w:t>
            </w:r>
          </w:p>
        </w:tc>
        <w:tc>
          <w:tcPr>
            <w:tcW w:w="0" w:type="auto"/>
            <w:hideMark/>
          </w:tcPr>
          <w:p w14:paraId="1A798105" w14:textId="77777777" w:rsidR="006B6053" w:rsidRDefault="006B6053">
            <w:pPr>
              <w:pStyle w:val="Compact"/>
              <w:jc w:val="right"/>
            </w:pPr>
            <w:r>
              <w:t>3.02</w:t>
            </w:r>
          </w:p>
        </w:tc>
      </w:tr>
      <w:tr w:rsidR="006B6053" w14:paraId="5B040D1B" w14:textId="77777777" w:rsidTr="006B6053">
        <w:tc>
          <w:tcPr>
            <w:tcW w:w="0" w:type="auto"/>
            <w:hideMark/>
          </w:tcPr>
          <w:p w14:paraId="2B7675FF" w14:textId="77777777" w:rsidR="006B6053" w:rsidRDefault="006B6053">
            <w:pPr>
              <w:pStyle w:val="Compact"/>
            </w:pPr>
            <w:r>
              <w:t>Maize2010</w:t>
            </w:r>
          </w:p>
        </w:tc>
        <w:tc>
          <w:tcPr>
            <w:tcW w:w="0" w:type="auto"/>
            <w:hideMark/>
          </w:tcPr>
          <w:p w14:paraId="7A998137" w14:textId="77777777" w:rsidR="006B6053" w:rsidRDefault="006B6053">
            <w:pPr>
              <w:pStyle w:val="Compact"/>
              <w:jc w:val="right"/>
            </w:pPr>
            <w:r>
              <w:t>56</w:t>
            </w:r>
          </w:p>
        </w:tc>
        <w:tc>
          <w:tcPr>
            <w:tcW w:w="0" w:type="auto"/>
            <w:hideMark/>
          </w:tcPr>
          <w:p w14:paraId="6DFF030E" w14:textId="77777777" w:rsidR="006B6053" w:rsidRDefault="006B6053">
            <w:pPr>
              <w:pStyle w:val="Compact"/>
              <w:jc w:val="right"/>
            </w:pPr>
            <w:r>
              <w:t>18</w:t>
            </w:r>
          </w:p>
        </w:tc>
        <w:tc>
          <w:tcPr>
            <w:tcW w:w="0" w:type="auto"/>
            <w:hideMark/>
          </w:tcPr>
          <w:p w14:paraId="6B251576" w14:textId="77777777" w:rsidR="006B6053" w:rsidRDefault="006B6053">
            <w:pPr>
              <w:pStyle w:val="Compact"/>
              <w:jc w:val="right"/>
            </w:pPr>
            <w:r>
              <w:t>38</w:t>
            </w:r>
          </w:p>
        </w:tc>
        <w:tc>
          <w:tcPr>
            <w:tcW w:w="0" w:type="auto"/>
            <w:hideMark/>
          </w:tcPr>
          <w:p w14:paraId="08B546EF" w14:textId="77777777" w:rsidR="006B6053" w:rsidRDefault="006B6053">
            <w:pPr>
              <w:pStyle w:val="Compact"/>
              <w:jc w:val="right"/>
            </w:pPr>
            <w:r>
              <w:t>44</w:t>
            </w:r>
          </w:p>
        </w:tc>
        <w:tc>
          <w:tcPr>
            <w:tcW w:w="0" w:type="auto"/>
            <w:hideMark/>
          </w:tcPr>
          <w:p w14:paraId="2D6EE411" w14:textId="77777777" w:rsidR="006B6053" w:rsidRDefault="006B6053">
            <w:pPr>
              <w:pStyle w:val="Compact"/>
              <w:jc w:val="right"/>
            </w:pPr>
            <w:r>
              <w:t>0.86</w:t>
            </w:r>
          </w:p>
        </w:tc>
        <w:tc>
          <w:tcPr>
            <w:tcW w:w="0" w:type="auto"/>
            <w:hideMark/>
          </w:tcPr>
          <w:p w14:paraId="12301E38" w14:textId="77777777" w:rsidR="006B6053" w:rsidRDefault="006B6053">
            <w:pPr>
              <w:pStyle w:val="Compact"/>
              <w:jc w:val="right"/>
            </w:pPr>
            <w:r>
              <w:t>1.16</w:t>
            </w:r>
          </w:p>
        </w:tc>
      </w:tr>
      <w:tr w:rsidR="006B6053" w14:paraId="1FBFB441" w14:textId="77777777" w:rsidTr="006B6053">
        <w:tc>
          <w:tcPr>
            <w:tcW w:w="0" w:type="auto"/>
            <w:hideMark/>
          </w:tcPr>
          <w:p w14:paraId="45779894" w14:textId="77777777" w:rsidR="006B6053" w:rsidRDefault="006B6053">
            <w:pPr>
              <w:pStyle w:val="Compact"/>
            </w:pPr>
            <w:r>
              <w:t>Maize2011</w:t>
            </w:r>
          </w:p>
        </w:tc>
        <w:tc>
          <w:tcPr>
            <w:tcW w:w="0" w:type="auto"/>
            <w:hideMark/>
          </w:tcPr>
          <w:p w14:paraId="18254274" w14:textId="77777777" w:rsidR="006B6053" w:rsidRDefault="006B6053">
            <w:pPr>
              <w:pStyle w:val="Compact"/>
              <w:jc w:val="right"/>
            </w:pPr>
            <w:r>
              <w:t>48</w:t>
            </w:r>
          </w:p>
        </w:tc>
        <w:tc>
          <w:tcPr>
            <w:tcW w:w="0" w:type="auto"/>
            <w:hideMark/>
          </w:tcPr>
          <w:p w14:paraId="68732A10" w14:textId="77777777" w:rsidR="006B6053" w:rsidRDefault="006B6053">
            <w:pPr>
              <w:pStyle w:val="Compact"/>
              <w:jc w:val="right"/>
            </w:pPr>
            <w:r>
              <w:t>16</w:t>
            </w:r>
          </w:p>
        </w:tc>
        <w:tc>
          <w:tcPr>
            <w:tcW w:w="0" w:type="auto"/>
            <w:hideMark/>
          </w:tcPr>
          <w:p w14:paraId="2521A46C" w14:textId="77777777" w:rsidR="006B6053" w:rsidRDefault="006B6053">
            <w:pPr>
              <w:pStyle w:val="Compact"/>
              <w:jc w:val="right"/>
            </w:pPr>
            <w:r>
              <w:t>31</w:t>
            </w:r>
          </w:p>
        </w:tc>
        <w:tc>
          <w:tcPr>
            <w:tcW w:w="0" w:type="auto"/>
            <w:hideMark/>
          </w:tcPr>
          <w:p w14:paraId="16AD7956" w14:textId="77777777" w:rsidR="006B6053" w:rsidRDefault="006B6053">
            <w:pPr>
              <w:pStyle w:val="Compact"/>
              <w:jc w:val="right"/>
            </w:pPr>
            <w:r>
              <w:t>47</w:t>
            </w:r>
          </w:p>
        </w:tc>
        <w:tc>
          <w:tcPr>
            <w:tcW w:w="0" w:type="auto"/>
            <w:hideMark/>
          </w:tcPr>
          <w:p w14:paraId="18149144" w14:textId="77777777" w:rsidR="006B6053" w:rsidRDefault="006B6053">
            <w:pPr>
              <w:pStyle w:val="Compact"/>
              <w:jc w:val="right"/>
            </w:pPr>
            <w:r>
              <w:t>0.67</w:t>
            </w:r>
          </w:p>
        </w:tc>
        <w:tc>
          <w:tcPr>
            <w:tcW w:w="0" w:type="auto"/>
            <w:hideMark/>
          </w:tcPr>
          <w:p w14:paraId="681599F1" w14:textId="77777777" w:rsidR="006B6053" w:rsidRDefault="006B6053">
            <w:pPr>
              <w:pStyle w:val="Compact"/>
              <w:jc w:val="right"/>
            </w:pPr>
            <w: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Prairie roots had a mean residence time (mrt) of 2.75 years in the top 30 cm of the profile when averaged across treatments and years (2010 and 2011).  Maize roots turned over twice as fast as prairie roots when averaged across treatments and years (</w:t>
      </w:r>
      <w:commentRangeStart w:id="2"/>
      <w:r w:rsidRPr="00532388">
        <w:rPr>
          <w:szCs w:val="20"/>
        </w:rPr>
        <w:t xml:space="preserve">Table </w:t>
      </w:r>
      <w:commentRangeEnd w:id="2"/>
      <w:r w:rsidRPr="00532388">
        <w:rPr>
          <w:rStyle w:val="CommentReference"/>
          <w:sz w:val="20"/>
          <w:szCs w:val="20"/>
        </w:rPr>
        <w:commentReference w:id="2"/>
      </w:r>
      <w:r w:rsidRPr="00532388">
        <w:rPr>
          <w:szCs w:val="20"/>
        </w:rPr>
        <w:t xml:space="preserve">3).  </w:t>
      </w:r>
    </w:p>
    <w:p w14:paraId="303549F7" w14:textId="4102F94C" w:rsidR="00532388" w:rsidRPr="00532388" w:rsidRDefault="00DD5530" w:rsidP="00532388">
      <w:pPr>
        <w:rPr>
          <w:szCs w:val="20"/>
        </w:rPr>
      </w:pPr>
      <w:r w:rsidRPr="00DD5530">
        <w:lastRenderedPageBreak/>
        <w:drawing>
          <wp:inline distT="0" distB="0" distL="0" distR="0" wp14:anchorId="2A22C0D6" wp14:editId="124C9E9F">
            <wp:extent cx="3485714" cy="6971428"/>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5714" cy="6971428"/>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C:N ratios with depth over time. Grey shading represents one standard error of the mean. </w:t>
      </w:r>
    </w:p>
    <w:p w14:paraId="074B54EF" w14:textId="77777777" w:rsidR="00532388" w:rsidRPr="00532388" w:rsidRDefault="00532388" w:rsidP="00532388">
      <w:pPr>
        <w:rPr>
          <w:szCs w:val="20"/>
        </w:rPr>
      </w:pPr>
      <w:r w:rsidRPr="00532388">
        <w:rPr>
          <w:szCs w:val="20"/>
        </w:rPr>
        <w:lastRenderedPageBreak/>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(Cortrufo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The increase in C:N ratio with depth may have been due to difference in root age, even in maize. The deepest roots were the oldest roots (York, personal communication).  The effect of time on increase of root C:N ratio was most obvious in prairie, which may have been a function of both maturing roots and the inclusion of dead roots in the root C pool measurements.</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453F87F5"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w:t>
      </w:r>
      <w:r w:rsidRPr="00532388">
        <w:rPr>
          <w:szCs w:val="20"/>
        </w:rPr>
        <w:lastRenderedPageBreak/>
        <w:t>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 in the central United States. </w:t>
      </w:r>
    </w:p>
    <w:p w14:paraId="07074224" w14:textId="77777777" w:rsidR="00532388" w:rsidRDefault="00532388" w:rsidP="00532388">
      <w:pPr>
        <w:rPr>
          <w:szCs w:val="20"/>
        </w:rPr>
      </w:pPr>
    </w:p>
    <w:p w14:paraId="1310C413" w14:textId="14CFCE43" w:rsidR="008F6F13" w:rsidRDefault="00532388" w:rsidP="00532388">
      <w:pPr>
        <w:rPr>
          <w:szCs w:val="20"/>
        </w:rPr>
      </w:pPr>
      <w:r w:rsidRPr="00532388">
        <w:rPr>
          <w:szCs w:val="20"/>
        </w:rPr>
        <w:t xml:space="preserve">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corn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3C8113C1" w14:textId="465AB0A6" w:rsidR="00532388" w:rsidRPr="00532388" w:rsidRDefault="008F6F13" w:rsidP="00532388">
      <w:pPr>
        <w:rPr>
          <w:szCs w:val="20"/>
        </w:rPr>
      </w:pPr>
      <w:r>
        <w:rPr>
          <w:szCs w:val="20"/>
        </w:rPr>
        <w:t>Many comparisons of perennial and annual cropping systems have failed to find differences in soil organic C levels, especially at deeper depths</w:t>
      </w:r>
      <w:r w:rsidR="000D17EE">
        <w:rPr>
          <w:szCs w:val="20"/>
        </w:rPr>
        <w:t xml:space="preserve"> (Omonde et al. 2006</w:t>
      </w:r>
      <w:r w:rsidR="00955F29">
        <w:rPr>
          <w:szCs w:val="20"/>
        </w:rPr>
        <w:t>, check dissertation</w:t>
      </w:r>
      <w:r w:rsidR="00BF2B38">
        <w:rPr>
          <w:szCs w:val="20"/>
        </w:rPr>
        <w:t xml:space="preserve"> for others</w:t>
      </w:r>
      <w:r w:rsidR="000D17EE">
        <w:rPr>
          <w:szCs w:val="20"/>
        </w:rPr>
        <w:t>)</w:t>
      </w:r>
      <w:r>
        <w:rPr>
          <w:szCs w:val="20"/>
        </w:rPr>
        <w:t>.</w:t>
      </w:r>
      <w:r w:rsidR="00BF2B38">
        <w:rPr>
          <w:szCs w:val="20"/>
        </w:rPr>
        <w:t xml:space="preserve">  O’Brien at el. (2010) found soil organic C levels to decrease below 10 cm after the reconstruction of prairie systems. </w:t>
      </w:r>
      <w:r w:rsidR="00955F29">
        <w:rPr>
          <w:szCs w:val="20"/>
        </w:rPr>
        <w:t xml:space="preserve"> </w:t>
      </w:r>
      <w:r w:rsidR="00BF2B38">
        <w:rPr>
          <w:szCs w:val="20"/>
        </w:rPr>
        <w:t>Such results are</w:t>
      </w:r>
      <w:r w:rsidR="00955F29">
        <w:rPr>
          <w:szCs w:val="20"/>
        </w:rPr>
        <w:t xml:space="preserve"> often attributed to C saturation</w:t>
      </w:r>
      <w:r w:rsidR="000D17EE">
        <w:rPr>
          <w:szCs w:val="20"/>
        </w:rPr>
        <w:t xml:space="preserve">  </w:t>
      </w:r>
      <w:r>
        <w:rPr>
          <w:szCs w:val="20"/>
        </w:rPr>
        <w:t xml:space="preserve"> </w:t>
      </w:r>
      <w:r w:rsidR="00532388" w:rsidRPr="00532388">
        <w:rPr>
          <w:szCs w:val="20"/>
        </w:rPr>
        <w:t xml:space="preserve">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Soils are incredibly complex and biogeochemical processes that determine C storage happen over a long time and in environments 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an important enough factor to result in greater maize C contributions to soil organic matter than prairie C contributions to soil organic matter below 20 cm.  In these and many other herbaceous systems, an increase in root C:N ratio with an increase in depth may in part explain why 50% of soil organic C is </w:t>
      </w:r>
      <w:r w:rsidRPr="00532388">
        <w:rPr>
          <w:szCs w:val="20"/>
        </w:rPr>
        <w:lastRenderedPageBreak/>
        <w:t xml:space="preserve">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r>
        <w:rPr>
          <w:b/>
          <w:color w:val="000000" w:themeColor="text1"/>
          <w:szCs w:val="20"/>
        </w:rPr>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r>
        <w:t>Abendroth et al., 2011</w:t>
      </w:r>
    </w:p>
    <w:p w14:paraId="66CADA54" w14:textId="77777777" w:rsidR="00F5258E" w:rsidRDefault="00F5258E" w:rsidP="00532388">
      <w:r>
        <w:t>Aman, A. A. and Bman, B. B.: The test article, J. Sci. Res., 12, 135–147, doi:10.1234/56789, 2015.</w:t>
      </w:r>
    </w:p>
    <w:p w14:paraId="0F26A73A" w14:textId="77777777" w:rsidR="00F5258E" w:rsidRDefault="00F5258E" w:rsidP="00532388">
      <w:r>
        <w:t>Aman, A. A., Cman, C., and Bman, B. B.: More test articles, J. Adv. Res., 35, 13–28, doi:10.2345/67890, 2014.</w:t>
      </w:r>
    </w:p>
    <w:p w14:paraId="58EA2653" w14:textId="77777777" w:rsidR="00341834" w:rsidRDefault="00341834" w:rsidP="00532388">
      <w:r>
        <w:t>Balesdent and Balabane, 1996</w:t>
      </w:r>
    </w:p>
    <w:p w14:paraId="29CD1838" w14:textId="77777777" w:rsidR="00341834" w:rsidRDefault="00341834" w:rsidP="00532388">
      <w:r>
        <w:t>Beniston et al., 2014</w:t>
      </w:r>
    </w:p>
    <w:p w14:paraId="3C26DC8F" w14:textId="77777777" w:rsidR="00341834" w:rsidRDefault="00341834" w:rsidP="00532388">
      <w:r>
        <w:lastRenderedPageBreak/>
        <w:t>Blackmer et al. 1997</w:t>
      </w:r>
    </w:p>
    <w:p w14:paraId="39E826FA" w14:textId="77777777" w:rsidR="002858A7" w:rsidRDefault="002858A7" w:rsidP="00532388">
      <w:r>
        <w:t>Cerrato and Blackmer 1990</w:t>
      </w:r>
    </w:p>
    <w:p w14:paraId="1A2C142C" w14:textId="77777777" w:rsidR="00341834" w:rsidRDefault="00341834" w:rsidP="00532388">
      <w:r>
        <w:t>Cortrufo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r>
        <w:t>Heggenstaller et al. 1997</w:t>
      </w:r>
    </w:p>
    <w:p w14:paraId="5D7F4120" w14:textId="77777777" w:rsidR="00341834" w:rsidRDefault="00341834" w:rsidP="00532388">
      <w:r>
        <w:t>Jarchow and Liebman 2013</w:t>
      </w:r>
    </w:p>
    <w:p w14:paraId="75F24708" w14:textId="77777777" w:rsidR="00341834" w:rsidRDefault="00341834" w:rsidP="00532388">
      <w:r>
        <w:t>Jobbagy and Jackson 2000</w:t>
      </w:r>
    </w:p>
    <w:p w14:paraId="6A9BF903" w14:textId="77777777" w:rsidR="00341834" w:rsidRDefault="00341834" w:rsidP="00532388">
      <w:r>
        <w:t>Kong and Six, 2010</w:t>
      </w:r>
    </w:p>
    <w:p w14:paraId="7CACD2B6" w14:textId="77777777" w:rsidR="002858A7" w:rsidRDefault="002858A7" w:rsidP="00532388">
      <w:r>
        <w:t>Liang and Balser, 2008</w:t>
      </w:r>
    </w:p>
    <w:p w14:paraId="0D1C7C2B" w14:textId="77777777" w:rsidR="002858A7" w:rsidRDefault="002858A7" w:rsidP="00532388">
      <w:r>
        <w:t>McGranahan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r>
        <w:t>Omonode and Vyn, 2006</w:t>
      </w:r>
    </w:p>
    <w:p w14:paraId="458D71CA" w14:textId="77777777" w:rsidR="002858A7" w:rsidRDefault="002858A7" w:rsidP="00532388">
      <w:r>
        <w:t>Pinheiro et al., 2013</w:t>
      </w:r>
    </w:p>
    <w:p w14:paraId="5E5329D3" w14:textId="77777777" w:rsidR="00341834" w:rsidRDefault="00341834" w:rsidP="00532388">
      <w:r>
        <w:t>Rumpel and Kogel-Knabner 2011</w:t>
      </w:r>
    </w:p>
    <w:p w14:paraId="37785C85" w14:textId="77777777" w:rsidR="002858A7" w:rsidRDefault="002858A7" w:rsidP="00532388">
      <w:r>
        <w:t>Saywer et al., 2006</w:t>
      </w:r>
    </w:p>
    <w:p w14:paraId="1F821E21" w14:textId="77777777" w:rsidR="00341834" w:rsidRDefault="00341834" w:rsidP="00532388">
      <w:r>
        <w:t>Silver and Miya</w:t>
      </w:r>
    </w:p>
    <w:p w14:paraId="5DCA9A39" w14:textId="77777777" w:rsidR="00341834" w:rsidRDefault="00341834" w:rsidP="00532388">
      <w:r>
        <w:t>Six et al. ????</w:t>
      </w:r>
    </w:p>
    <w:p w14:paraId="408B6C6D" w14:textId="77777777" w:rsidR="00341834" w:rsidRDefault="00341834" w:rsidP="00532388">
      <w:r>
        <w:t>Tufekcioglu et al 2003</w:t>
      </w:r>
    </w:p>
    <w:p w14:paraId="3FCB64C5" w14:textId="77777777" w:rsidR="00341834" w:rsidRDefault="00341834" w:rsidP="00532388">
      <w:r>
        <w:t>Van Es et al. 2007</w:t>
      </w:r>
    </w:p>
    <w:p w14:paraId="78E5A4DE" w14:textId="77777777" w:rsidR="002858A7" w:rsidRDefault="002858A7" w:rsidP="00532388">
      <w:r>
        <w:t>Veenstra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fldSimple w:instr=" SEQ Figure \* ARABIC ">
        <w:r w:rsidR="003118C8">
          <w:rPr>
            <w:noProof/>
          </w:rPr>
          <w:t>1</w:t>
        </w:r>
      </w:fldSimple>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2"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equations/maths,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95724" w14:textId="77777777" w:rsidR="00E2154E" w:rsidRDefault="00E2154E" w:rsidP="006D0C96">
      <w:pPr>
        <w:spacing w:line="240" w:lineRule="auto"/>
      </w:pPr>
      <w:r>
        <w:separator/>
      </w:r>
    </w:p>
  </w:endnote>
  <w:endnote w:type="continuationSeparator" w:id="0">
    <w:p w14:paraId="0B58E322" w14:textId="77777777" w:rsidR="00E2154E" w:rsidRDefault="00E2154E"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040962FF" w:rsidR="00A4321F" w:rsidRDefault="00A4321F">
        <w:pPr>
          <w:pStyle w:val="Footer"/>
          <w:jc w:val="center"/>
        </w:pPr>
        <w:r>
          <w:fldChar w:fldCharType="begin"/>
        </w:r>
        <w:r>
          <w:instrText xml:space="preserve"> PAGE   \* MERGEFORMAT </w:instrText>
        </w:r>
        <w:r>
          <w:fldChar w:fldCharType="separate"/>
        </w:r>
        <w:r w:rsidR="00BF164E">
          <w:rPr>
            <w:noProof/>
          </w:rPr>
          <w:t>7</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3289F" w14:textId="77777777" w:rsidR="00E2154E" w:rsidRDefault="00E2154E" w:rsidP="006D0C96">
      <w:pPr>
        <w:spacing w:line="240" w:lineRule="auto"/>
      </w:pPr>
      <w:r>
        <w:separator/>
      </w:r>
    </w:p>
  </w:footnote>
  <w:footnote w:type="continuationSeparator" w:id="0">
    <w:p w14:paraId="33569AA3" w14:textId="77777777" w:rsidR="00E2154E" w:rsidRDefault="00E2154E"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46168"/>
    <w:rsid w:val="0005690A"/>
    <w:rsid w:val="00075F28"/>
    <w:rsid w:val="000A1B66"/>
    <w:rsid w:val="000A53AC"/>
    <w:rsid w:val="000C3A9F"/>
    <w:rsid w:val="000D17EE"/>
    <w:rsid w:val="000F078B"/>
    <w:rsid w:val="00106F11"/>
    <w:rsid w:val="001070FF"/>
    <w:rsid w:val="0017132B"/>
    <w:rsid w:val="001A692A"/>
    <w:rsid w:val="001C5EB9"/>
    <w:rsid w:val="00203F92"/>
    <w:rsid w:val="002858A7"/>
    <w:rsid w:val="003118C8"/>
    <w:rsid w:val="00341834"/>
    <w:rsid w:val="003A4FB4"/>
    <w:rsid w:val="003D5288"/>
    <w:rsid w:val="003E6D6D"/>
    <w:rsid w:val="00450DB9"/>
    <w:rsid w:val="00463568"/>
    <w:rsid w:val="004D0F1A"/>
    <w:rsid w:val="00532388"/>
    <w:rsid w:val="00537A1D"/>
    <w:rsid w:val="00540BD4"/>
    <w:rsid w:val="0055217B"/>
    <w:rsid w:val="00564213"/>
    <w:rsid w:val="005A4F32"/>
    <w:rsid w:val="006233A4"/>
    <w:rsid w:val="006326D7"/>
    <w:rsid w:val="00670F05"/>
    <w:rsid w:val="0067146A"/>
    <w:rsid w:val="0067549D"/>
    <w:rsid w:val="006A0C9A"/>
    <w:rsid w:val="006A2BD8"/>
    <w:rsid w:val="006B6053"/>
    <w:rsid w:val="006C6BC4"/>
    <w:rsid w:val="006D0C96"/>
    <w:rsid w:val="006D2DCF"/>
    <w:rsid w:val="0070537F"/>
    <w:rsid w:val="00751A44"/>
    <w:rsid w:val="00752935"/>
    <w:rsid w:val="00796A7F"/>
    <w:rsid w:val="0084540A"/>
    <w:rsid w:val="00855006"/>
    <w:rsid w:val="00862449"/>
    <w:rsid w:val="008B719F"/>
    <w:rsid w:val="008C4E85"/>
    <w:rsid w:val="008E213F"/>
    <w:rsid w:val="008E3110"/>
    <w:rsid w:val="008E7F42"/>
    <w:rsid w:val="008F6F13"/>
    <w:rsid w:val="009060C1"/>
    <w:rsid w:val="009150E4"/>
    <w:rsid w:val="0091791F"/>
    <w:rsid w:val="00932F15"/>
    <w:rsid w:val="00943440"/>
    <w:rsid w:val="00955F29"/>
    <w:rsid w:val="009A4D11"/>
    <w:rsid w:val="009D38E2"/>
    <w:rsid w:val="009F2C0A"/>
    <w:rsid w:val="00A4321F"/>
    <w:rsid w:val="00A57A1B"/>
    <w:rsid w:val="00AC74AC"/>
    <w:rsid w:val="00AE4157"/>
    <w:rsid w:val="00B4015F"/>
    <w:rsid w:val="00B5719D"/>
    <w:rsid w:val="00B57DB5"/>
    <w:rsid w:val="00B75342"/>
    <w:rsid w:val="00B94A58"/>
    <w:rsid w:val="00BB2689"/>
    <w:rsid w:val="00BD0523"/>
    <w:rsid w:val="00BF164E"/>
    <w:rsid w:val="00BF2B38"/>
    <w:rsid w:val="00C1589F"/>
    <w:rsid w:val="00C2251E"/>
    <w:rsid w:val="00C26311"/>
    <w:rsid w:val="00C33F13"/>
    <w:rsid w:val="00C35812"/>
    <w:rsid w:val="00C82F79"/>
    <w:rsid w:val="00CC51D0"/>
    <w:rsid w:val="00D14064"/>
    <w:rsid w:val="00D40CE0"/>
    <w:rsid w:val="00D5213F"/>
    <w:rsid w:val="00D55D3E"/>
    <w:rsid w:val="00DB4E53"/>
    <w:rsid w:val="00DC393C"/>
    <w:rsid w:val="00DD5530"/>
    <w:rsid w:val="00E00339"/>
    <w:rsid w:val="00E142A8"/>
    <w:rsid w:val="00E2154E"/>
    <w:rsid w:val="00E979B6"/>
    <w:rsid w:val="00EA13F0"/>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04B2E-DD92-4D47-8823-2D382312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37791</TotalTime>
  <Pages>22</Pages>
  <Words>5385</Words>
  <Characters>30699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15</cp:revision>
  <cp:lastPrinted>2016-02-01T07:21:00Z</cp:lastPrinted>
  <dcterms:created xsi:type="dcterms:W3CDTF">2016-11-08T22:05:00Z</dcterms:created>
  <dcterms:modified xsi:type="dcterms:W3CDTF">2017-01-16T21:29:00Z</dcterms:modified>
</cp:coreProperties>
</file>