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77777777" w:rsidR="00B4015F" w:rsidRDefault="00DC393C" w:rsidP="00B4015F">
      <w:pPr>
        <w:pStyle w:val="MStitle"/>
      </w:pPr>
      <w:r w:rsidRPr="00DC393C">
        <w:t>A deeper look at</w:t>
      </w:r>
      <w:r>
        <w:t xml:space="preserve"> the relationship between root carbon</w:t>
      </w:r>
      <w:r w:rsidRPr="00DC393C">
        <w:t xml:space="preserve"> pools and the vertical di</w:t>
      </w:r>
      <w:r>
        <w:t>stribution of soil carbon</w:t>
      </w:r>
      <w:r w:rsidRPr="00DC393C">
        <w:t xml:space="preserve"> pools</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(Aman et al., 2014; Aman and Bman, 2015) </w:t>
      </w:r>
      <w:r w:rsidR="00B4015F">
        <w:t>adipiscing elit. Mauris dictum, nibh ut condimentum pharetra, quam ligula varius est, sed vehicula massa erat ut metus. In eget metus lorem. Fusce vitae ante dictum, elementum sem non, lacinia dui. Integer tellus tortor, convallis et aliquam non, dictum vel mauris. Quisque maximus mollis dui, a mollis mauris vehicula in. Duis dui ligula, suscipit ac lectus</w:t>
      </w:r>
      <w:r w:rsidR="00C82F79">
        <w:t xml:space="preserve"> vitae, fringilla euismod diam.</w:t>
      </w:r>
    </w:p>
    <w:p w14:paraId="3B69E57B" w14:textId="77777777" w:rsidR="00C82F79" w:rsidRDefault="00C82F79" w:rsidP="00B57DB5">
      <w:pPr>
        <w:pStyle w:val="Heading1"/>
        <w:spacing w:line="360" w:lineRule="auto"/>
      </w:pPr>
      <w:r>
        <w:t xml:space="preserve">1 </w:t>
      </w:r>
      <w:r w:rsidR="00DC393C">
        <w:t>Introduction</w:t>
      </w:r>
    </w:p>
    <w:p w14:paraId="68957447"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  Soil organic matter losses  coincide with a shift from perennial plant systems to annual cropping systems that introduced frequent tillage, subsurface drainage, and differences in organic matter inputs, including considerably different rooting systems. The effects of changes  in aboveground processes such as increased soil disturbance and aeration, addition of fertilizers, and changes in residue amount and quality have been widely studied (cite, cite, cite).  The role played by changes in rooting systems, on the other hand, is difficult to study and has received less attention.</w:t>
      </w:r>
    </w:p>
    <w:p w14:paraId="489AA467"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 Kong and Six 2010).  This would mean that a change in root inputs, such as that engendered by switching from annual to perennial systems, would have a direct impact on soil organic matter even deep into the soil profile. However, few direct </w:t>
      </w:r>
      <w:r w:rsidRPr="00DC393C">
        <w:rPr>
          <w:rFonts w:cs="Times New Roman"/>
          <w:b w:val="0"/>
          <w:bCs w:val="0"/>
          <w:iCs w:val="0"/>
          <w:szCs w:val="24"/>
        </w:rPr>
        <w:lastRenderedPageBreak/>
        <w:t xml:space="preserve">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is transferred between pools and how much C remains in a particular pool.  Soil temperature, moisture, and O2 availability are the most important environmental variables controlling the rate of decomposition (Gill and Burke, 2002) and soil texture and existing soil C levels determine the length of time C remains in the soil (Six et al. ????).  The C:N ratio of the organic matter being decomposed also plays a key role in both the rate of decomposition and the fate of the decomposed organic matter, with higher C:N ratios leading to slower decomposition (Silver and Miya 2001) and fewer microbial by-products (Cortrufo 2015).  Temperature, moisture, O2,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 .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w:t>
      </w:r>
      <w:r>
        <w:t xml:space="preserve"> </w:t>
      </w:r>
      <w:r>
        <w:t>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(Circium canadense) control, and the timing and frequency of herbicide use in the annual cropping systems varied among treatments.  Nutrient management also varied among all treatments (Table 1).   </w:t>
      </w:r>
    </w:p>
    <w:p w14:paraId="7536D7A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The Table 1 .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(Blackmer et al., 1997) and the expected N removal in the harvested biomass of perennial grasses grown in the area (Heggenstaller et al., 2009).  Fertilization timing can be found in Table 1.</w:t>
      </w:r>
    </w:p>
    <w:p w14:paraId="7237936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maize used was a 104-day relative maturity hybrid with transgenes for glyphosate resistance, corn borer (Ostrinia nubilalis) resistance, and corn rootworm (Diabrotica spp.) protection (Agrigold 6325 VT3).   Maize was planted following standard practices (Abendroth et al., 2011) in rows spaced 76 cm apart at 79,500 seeds ha-1 on 6 May 2010 and 82,500 seeds ha-1 on 11 May 2011 .  Fertilizer rates and types can be found in Table 1.  Rates of N added after planting were based on results of late-spring tests of soil nitrate-N concentration (Blackmer et al.,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Blackmer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w:t>
      </w:r>
      <w:r w:rsidRPr="00B57DB5">
        <w:rPr>
          <w:rFonts w:cs="Times New Roman"/>
          <w:bCs w:val="0"/>
          <w:szCs w:val="24"/>
        </w:rPr>
        <w:t>.1</w:t>
      </w:r>
      <w:r w:rsidRPr="00B57DB5">
        <w:rPr>
          <w:rFonts w:cs="Times New Roman"/>
          <w:bCs w:val="0"/>
          <w:szCs w:val="24"/>
        </w:rPr>
        <w:t xml:space="preserve">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w:t>
      </w:r>
      <w:r w:rsidRPr="00B57DB5">
        <w:rPr>
          <w:rFonts w:cs="Times New Roman"/>
          <w:bCs w:val="0"/>
          <w:szCs w:val="24"/>
        </w:rPr>
        <w:t>.2</w:t>
      </w:r>
      <w:r w:rsidRPr="00B57DB5">
        <w:rPr>
          <w:rFonts w:cs="Times New Roman"/>
          <w:bCs w:val="0"/>
          <w:szCs w:val="24"/>
        </w:rPr>
        <w:t xml:space="preserve">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3C89AEDF" w14:textId="77777777" w:rsidR="00B57DB5" w:rsidRPr="00B57DB5" w:rsidRDefault="00B57DB5" w:rsidP="00B57DB5">
      <w:pPr>
        <w:pStyle w:val="Heading3"/>
        <w:spacing w:line="360" w:lineRule="auto"/>
        <w:rPr>
          <w:rFonts w:cs="Times New Roman"/>
          <w:b w:val="0"/>
          <w:bCs w:val="0"/>
          <w:szCs w:val="24"/>
        </w:rPr>
      </w:pP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w:t>
      </w:r>
      <w:r w:rsidRPr="00B57DB5">
        <w:rPr>
          <w:rFonts w:cs="Times New Roman"/>
          <w:bCs w:val="0"/>
          <w:szCs w:val="24"/>
        </w:rPr>
        <w:t xml:space="preserve">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10424210" w14:textId="77777777" w:rsidR="00B57DB5" w:rsidRPr="00B57DB5" w:rsidRDefault="00B57DB5" w:rsidP="00B57DB5">
      <w:pPr>
        <w:pStyle w:val="Heading3"/>
        <w:spacing w:line="360" w:lineRule="auto"/>
        <w:rPr>
          <w:rFonts w:cs="Times New Roman"/>
          <w:b w:val="0"/>
          <w:bCs w:val="0"/>
          <w:szCs w:val="24"/>
        </w:rPr>
      </w:pP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(Appendix).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(mrt) using the equations k = loss/pool and mrt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77777777" w:rsidR="00532388" w:rsidRPr="00532388" w:rsidRDefault="00532388" w:rsidP="00532388">
      <w:pPr>
        <w:rPr>
          <w:szCs w:val="20"/>
        </w:rPr>
      </w:pPr>
      <w:r w:rsidRPr="00532388">
        <w:rPr>
          <w:szCs w:val="20"/>
        </w:rPr>
        <w:t xml:space="preserve">Table 1. Soil characteristics. soil C, soil N, clay, sand, silt, pH (to be </w:t>
      </w:r>
      <w:commentRangeStart w:id="0"/>
      <w:r w:rsidRPr="00532388">
        <w:rPr>
          <w:szCs w:val="20"/>
        </w:rPr>
        <w:t>created</w:t>
      </w:r>
      <w:commentRangeEnd w:id="0"/>
      <w:r w:rsidRPr="00532388">
        <w:rPr>
          <w:rStyle w:val="CommentReference"/>
          <w:sz w:val="20"/>
          <w:szCs w:val="20"/>
        </w:rPr>
        <w:commentReference w:id="0"/>
      </w:r>
      <w:r w:rsidRPr="00532388">
        <w:rPr>
          <w:szCs w:val="20"/>
        </w:rPr>
        <w:t>)</w:t>
      </w:r>
    </w:p>
    <w:p w14:paraId="022AB815" w14:textId="77777777" w:rsidR="00532388" w:rsidRPr="00532388" w:rsidRDefault="00532388" w:rsidP="00532388">
      <w:pPr>
        <w:jc w:val="center"/>
        <w:rPr>
          <w:szCs w:val="20"/>
        </w:rPr>
      </w:pPr>
      <w:r w:rsidRPr="00532388">
        <w:rPr>
          <w:noProof/>
          <w:szCs w:val="20"/>
        </w:rPr>
        <w:drawing>
          <wp:inline distT="0" distB="0" distL="0" distR="0" wp14:anchorId="25816A1D" wp14:editId="70D0B293">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8590"/>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w:t>
      </w:r>
      <w:r w:rsidRPr="00532388">
        <w:rPr>
          <w:szCs w:val="20"/>
        </w:rPr>
        <w:lastRenderedPageBreak/>
        <w:t xml:space="preserve">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77777777" w:rsidR="00532388" w:rsidRPr="00532388" w:rsidRDefault="00532388" w:rsidP="00532388">
      <w:pPr>
        <w:rPr>
          <w:szCs w:val="20"/>
        </w:rPr>
      </w:pPr>
      <w:r w:rsidRPr="00532388">
        <w:rPr>
          <w:noProof/>
          <w:szCs w:val="20"/>
        </w:rPr>
        <w:drawing>
          <wp:inline distT="0" distB="0" distL="0" distR="0" wp14:anchorId="115F9BA7" wp14:editId="1BE31F06">
            <wp:extent cx="3057525" cy="4892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718" cy="4948958"/>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1"/>
      <w:r w:rsidRPr="00532388">
        <w:rPr>
          <w:szCs w:val="20"/>
        </w:rPr>
        <w:t>Absolute difference in root C pools six years after prairie establishment.</w:t>
      </w:r>
      <w:commentRangeEnd w:id="1"/>
      <w:r w:rsidRPr="00532388">
        <w:rPr>
          <w:rStyle w:val="CommentReference"/>
          <w:sz w:val="20"/>
          <w:szCs w:val="20"/>
        </w:rPr>
        <w:commentReference w:id="1"/>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77777777" w:rsidR="00532388" w:rsidRPr="00532388" w:rsidRDefault="00532388" w:rsidP="00532388">
      <w:pPr>
        <w:rPr>
          <w:szCs w:val="20"/>
        </w:rPr>
      </w:pPr>
      <w:r w:rsidRPr="00532388">
        <w:rPr>
          <w:szCs w:val="20"/>
        </w:rPr>
        <w:t>Table 2. Root pool and soil organic C found above and below 20 cm.</w:t>
      </w:r>
    </w:p>
    <w:p w14:paraId="76DD77B2" w14:textId="77777777" w:rsidR="00532388" w:rsidRPr="00532388" w:rsidRDefault="00532388" w:rsidP="00532388">
      <w:pPr>
        <w:rPr>
          <w:szCs w:val="20"/>
        </w:rPr>
      </w:pPr>
      <w:r w:rsidRPr="00532388">
        <w:rPr>
          <w:noProof/>
          <w:szCs w:val="20"/>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7777777" w:rsidR="00532388" w:rsidRPr="00532388" w:rsidRDefault="00532388" w:rsidP="00532388">
      <w:pPr>
        <w:rPr>
          <w:szCs w:val="20"/>
        </w:rPr>
      </w:pPr>
      <w:r w:rsidRPr="00532388">
        <w:rPr>
          <w:noProof/>
          <w:szCs w:val="20"/>
        </w:rPr>
        <w:drawing>
          <wp:inline distT="0" distB="0" distL="0" distR="0" wp14:anchorId="494BCC9B" wp14:editId="7BF53085">
            <wp:extent cx="5943600" cy="474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9800"/>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lastRenderedPageBreak/>
        <w:t>Figure 3. Modeled accumulation of root pool mass over six years at 0-5 cm, 5-15 cm, 15-30 cm, 30-60 cm, and 60-100 cm. Grey shading represents one standard error of the mean. Seasonal effects are smoothed.</w:t>
      </w:r>
    </w:p>
    <w:p w14:paraId="4D42522B" w14:textId="77777777" w:rsidR="00532388" w:rsidRPr="00532388" w:rsidRDefault="00532388" w:rsidP="00532388">
      <w:pPr>
        <w:rPr>
          <w:szCs w:val="20"/>
        </w:rPr>
      </w:pPr>
      <w:r w:rsidRPr="00532388">
        <w:rPr>
          <w:noProof/>
          <w:szCs w:val="20"/>
        </w:rPr>
        <w:drawing>
          <wp:inline distT="0" distB="0" distL="0" distR="0" wp14:anchorId="085352D5" wp14:editId="7F9D7A3C">
            <wp:extent cx="4647619" cy="698095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6980952"/>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lastRenderedPageBreak/>
        <w:t xml:space="preserve">Figure 4. Modeled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rPr>
        <w:lastRenderedPageBreak/>
        <w:drawing>
          <wp:inline distT="0" distB="0" distL="0" distR="0" wp14:anchorId="57674D3A" wp14:editId="310A869C">
            <wp:extent cx="4681733" cy="7083188"/>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0249" cy="7096072"/>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p w14:paraId="095A963E"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w:t>
      </w:r>
    </w:p>
    <w:p w14:paraId="73427481"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trt           input   gain   loss   pool   k    mrt </w:t>
      </w:r>
    </w:p>
    <w:p w14:paraId="577C6A9A"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 ------ ------ ------ ---- -----</w:t>
      </w:r>
    </w:p>
    <w:p w14:paraId="5B128BF5"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Prairie2010        367    104    263    748   0.35  2.8 </w:t>
      </w:r>
    </w:p>
    <w:p w14:paraId="71901310"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w:t>
      </w:r>
    </w:p>
    <w:p w14:paraId="3F383D94"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Prairie2011        387     78    309    758   0.41  2.5</w:t>
      </w:r>
    </w:p>
    <w:p w14:paraId="6B9F3ED7"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573AA36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FertilizedPrairie2010   146     62     84    231   0.37  2.7 </w:t>
      </w:r>
    </w:p>
    <w:p w14:paraId="7F9BBCCC"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14A6CD2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FertilizedPrairie2011   168     55    113    342   0.33  3.0  </w:t>
      </w:r>
    </w:p>
    <w:p w14:paraId="5E193280"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07B3307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Maize2010         56      18     38     44   0.86  1.2 </w:t>
      </w:r>
    </w:p>
    <w:p w14:paraId="00572884"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2AB9F6EB"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Maize2011         48      16     31     47   0.67  1.5 </w:t>
      </w:r>
    </w:p>
    <w:p w14:paraId="3B425A3B"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w:t>
      </w:r>
    </w:p>
    <w:p w14:paraId="7B8C6EE2" w14:textId="77777777" w:rsidR="00532388" w:rsidRPr="00532388" w:rsidRDefault="00532388" w:rsidP="00532388">
      <w:pPr>
        <w:rPr>
          <w:szCs w:val="20"/>
        </w:rPr>
      </w:pPr>
    </w:p>
    <w:p w14:paraId="5586D20E" w14:textId="77777777" w:rsidR="00532388" w:rsidRPr="00532388" w:rsidRDefault="00532388" w:rsidP="00532388">
      <w:pPr>
        <w:rPr>
          <w:szCs w:val="20"/>
        </w:rPr>
      </w:pPr>
      <w:r w:rsidRPr="00532388">
        <w:rPr>
          <w:szCs w:val="20"/>
        </w:rPr>
        <w:t>Prairie roots had a mean residence time (mrt) of 2.75 years in the top 30 cm of the profile when averaged across treatments and years (2010 and 2011).  Maize roots turned over twice as fast as prairie roots when averaged across treatments and years (</w:t>
      </w:r>
      <w:commentRangeStart w:id="2"/>
      <w:r w:rsidRPr="00532388">
        <w:rPr>
          <w:szCs w:val="20"/>
        </w:rPr>
        <w:t xml:space="preserve">Table </w:t>
      </w:r>
      <w:commentRangeEnd w:id="2"/>
      <w:r w:rsidRPr="00532388">
        <w:rPr>
          <w:rStyle w:val="CommentReference"/>
          <w:sz w:val="20"/>
          <w:szCs w:val="20"/>
        </w:rPr>
        <w:commentReference w:id="2"/>
      </w:r>
      <w:r w:rsidRPr="00532388">
        <w:rPr>
          <w:szCs w:val="20"/>
        </w:rPr>
        <w:t xml:space="preserve">3).  </w:t>
      </w:r>
    </w:p>
    <w:p w14:paraId="303549F7" w14:textId="77777777" w:rsidR="00532388" w:rsidRPr="00532388" w:rsidRDefault="00532388" w:rsidP="00532388">
      <w:pPr>
        <w:rPr>
          <w:szCs w:val="20"/>
        </w:rPr>
      </w:pPr>
      <w:r w:rsidRPr="00532388">
        <w:rPr>
          <w:noProof/>
          <w:szCs w:val="20"/>
        </w:rPr>
        <w:lastRenderedPageBreak/>
        <w:drawing>
          <wp:inline distT="0" distB="0" distL="0" distR="0" wp14:anchorId="7BDACEA8" wp14:editId="143707E2">
            <wp:extent cx="3485714" cy="697142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5714" cy="6971428"/>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C:N ratios with depth over time. Grey shading represents one standard error of the mean. </w:t>
      </w:r>
    </w:p>
    <w:p w14:paraId="074B54EF" w14:textId="77777777" w:rsidR="00532388" w:rsidRPr="00532388" w:rsidRDefault="00532388" w:rsidP="00532388">
      <w:pPr>
        <w:rPr>
          <w:szCs w:val="20"/>
        </w:rPr>
      </w:pPr>
      <w:r w:rsidRPr="00532388">
        <w:rPr>
          <w:szCs w:val="20"/>
        </w:rPr>
        <w:lastRenderedPageBreak/>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(Cortrufo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The increase in C:N ratio with depth may have been due to difference in root age, even in maize. The deepest roots were the oldest roots (York, personal communication).  The effect of time on increase of root C:N ratio was most obvious in prairie, which may have been a function of both maturing roots and the inclusion of dead roots in the root C pool measurements.</w:t>
      </w:r>
    </w:p>
    <w:p w14:paraId="338082D5" w14:textId="77777777"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77777777"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w:t>
      </w:r>
      <w:r w:rsidRPr="00532388">
        <w:rPr>
          <w:szCs w:val="20"/>
        </w:rPr>
        <w:lastRenderedPageBreak/>
        <w:t xml:space="preserve">pattern of more uniform distribution of C with the highest point of C 10 cm below the surface.  The loss of C in the soil surface after cultivation is well known and attributed to mass loss through soil erosion, increased mineralization of organic matter through </w:t>
      </w:r>
      <w:r w:rsidRPr="00532388">
        <w:rPr>
          <w:szCs w:val="20"/>
        </w:rPr>
        <w:lastRenderedPageBreak/>
        <w:t xml:space="preserve">tillage, and decreased belowground organic matter inputs.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  </w:t>
      </w:r>
    </w:p>
    <w:p w14:paraId="07074224" w14:textId="77777777" w:rsidR="00532388" w:rsidRDefault="00532388" w:rsidP="00532388">
      <w:pPr>
        <w:rPr>
          <w:szCs w:val="20"/>
        </w:rPr>
      </w:pPr>
    </w:p>
    <w:p w14:paraId="3C8113C1" w14:textId="77777777" w:rsidR="00532388" w:rsidRPr="00532388" w:rsidRDefault="00532388" w:rsidP="00532388">
      <w:pPr>
        <w:rPr>
          <w:szCs w:val="20"/>
        </w:rPr>
      </w:pPr>
      <w:r w:rsidRPr="00532388">
        <w:rPr>
          <w:szCs w:val="20"/>
        </w:rPr>
        <w:t xml:space="preserve">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C:N ratio have not been taken into consideration.  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Soils are incredibly complex and biogeochemical processes that determine C storage happen over a long time and in environments 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an important enough factor to 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5B6298F8" w14:textId="77777777" w:rsidR="00532388" w:rsidRPr="00532388" w:rsidRDefault="0084540A" w:rsidP="00532388">
      <w:pPr>
        <w:rPr>
          <w:b/>
          <w:color w:val="000000" w:themeColor="text1"/>
          <w:szCs w:val="20"/>
        </w:rPr>
      </w:pPr>
      <w:r>
        <w:rPr>
          <w:b/>
          <w:color w:val="000000" w:themeColor="text1"/>
          <w:szCs w:val="20"/>
        </w:rPr>
        <w:lastRenderedPageBreak/>
        <w:t>7</w:t>
      </w:r>
      <w:bookmarkStart w:id="3" w:name="_GoBack"/>
      <w:bookmarkEnd w:id="3"/>
      <w:r w:rsidR="00532388" w:rsidRPr="00532388">
        <w:rPr>
          <w:b/>
          <w:color w:val="000000" w:themeColor="text1"/>
          <w:szCs w:val="20"/>
        </w:rPr>
        <w:t xml:space="preserve"> </w:t>
      </w:r>
      <w:r w:rsidR="00532388" w:rsidRPr="00532388">
        <w:rPr>
          <w:b/>
          <w:color w:val="000000" w:themeColor="text1"/>
          <w:szCs w:val="20"/>
        </w:rPr>
        <w:t>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szCs w:val="20"/>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szCs w:val="20"/>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szCs w:val="20"/>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r>
        <w:t>Abendroth et al., 2011</w:t>
      </w:r>
    </w:p>
    <w:p w14:paraId="66CADA54" w14:textId="77777777" w:rsidR="00F5258E" w:rsidRDefault="00F5258E" w:rsidP="00532388">
      <w:r>
        <w:t>Aman, A. A. and Bman, B. B.: The test article, J. Sci. Res., 12, 135–147, doi:10.1234/56789, 2015.</w:t>
      </w:r>
    </w:p>
    <w:p w14:paraId="0F26A73A" w14:textId="77777777" w:rsidR="00F5258E" w:rsidRDefault="00F5258E" w:rsidP="00532388">
      <w:r>
        <w:t>Aman, A. A., Cman, C., and Bman, B. B.: More test articles, J. Adv. Res., 35, 13–28, doi:10.2345/67890, 2014.</w:t>
      </w:r>
    </w:p>
    <w:p w14:paraId="58EA2653" w14:textId="77777777" w:rsidR="00341834" w:rsidRDefault="00341834" w:rsidP="00532388">
      <w:r>
        <w:t>Balesdent and Balabane, 1996</w:t>
      </w:r>
    </w:p>
    <w:p w14:paraId="29CD1838" w14:textId="77777777" w:rsidR="00341834" w:rsidRDefault="00341834" w:rsidP="00532388">
      <w:r>
        <w:t>Beniston et al., 2014</w:t>
      </w:r>
    </w:p>
    <w:p w14:paraId="3C26DC8F" w14:textId="77777777" w:rsidR="00341834" w:rsidRDefault="00341834" w:rsidP="00532388">
      <w:r>
        <w:lastRenderedPageBreak/>
        <w:t>Blackmer et al. 1997</w:t>
      </w:r>
    </w:p>
    <w:p w14:paraId="39E826FA" w14:textId="77777777" w:rsidR="002858A7" w:rsidRDefault="002858A7" w:rsidP="00532388">
      <w:r>
        <w:t>Cerrato and Blackmer 1990</w:t>
      </w:r>
    </w:p>
    <w:p w14:paraId="1A2C142C" w14:textId="77777777" w:rsidR="00341834" w:rsidRDefault="00341834" w:rsidP="00532388">
      <w:r>
        <w:t>Cortrufo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r>
        <w:t>Heggenstaller et al. 1997</w:t>
      </w:r>
    </w:p>
    <w:p w14:paraId="5D7F4120" w14:textId="77777777" w:rsidR="00341834" w:rsidRDefault="00341834" w:rsidP="00532388">
      <w:r>
        <w:t>Jarchow and Liebman 2013</w:t>
      </w:r>
    </w:p>
    <w:p w14:paraId="75F24708" w14:textId="77777777" w:rsidR="00341834" w:rsidRDefault="00341834" w:rsidP="00532388">
      <w:r>
        <w:t>Jobbagy and Jackson 2000</w:t>
      </w:r>
    </w:p>
    <w:p w14:paraId="6A9BF903" w14:textId="77777777" w:rsidR="00341834" w:rsidRDefault="00341834" w:rsidP="00532388">
      <w:r>
        <w:t>Kong and Six, 2010</w:t>
      </w:r>
    </w:p>
    <w:p w14:paraId="7CACD2B6" w14:textId="77777777" w:rsidR="002858A7" w:rsidRDefault="002858A7" w:rsidP="00532388">
      <w:r>
        <w:t>Liang and Balser, 2008</w:t>
      </w:r>
    </w:p>
    <w:p w14:paraId="0D1C7C2B" w14:textId="77777777" w:rsidR="002858A7" w:rsidRDefault="002858A7" w:rsidP="00532388">
      <w:r>
        <w:t>McGranahan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r>
        <w:t>Omonode and Vyn, 2006</w:t>
      </w:r>
    </w:p>
    <w:p w14:paraId="458D71CA" w14:textId="77777777" w:rsidR="002858A7" w:rsidRDefault="002858A7" w:rsidP="00532388">
      <w:r>
        <w:t>Pinheiro et al., 2013</w:t>
      </w:r>
    </w:p>
    <w:p w14:paraId="5E5329D3" w14:textId="77777777" w:rsidR="00341834" w:rsidRDefault="00341834" w:rsidP="00532388">
      <w:r>
        <w:t>Rumpel and Kogel-Knabner 2011</w:t>
      </w:r>
    </w:p>
    <w:p w14:paraId="37785C85" w14:textId="77777777" w:rsidR="002858A7" w:rsidRDefault="002858A7" w:rsidP="00532388">
      <w:r>
        <w:t>Saywer et al., 2006</w:t>
      </w:r>
    </w:p>
    <w:p w14:paraId="1F821E21" w14:textId="77777777" w:rsidR="00341834" w:rsidRDefault="00341834" w:rsidP="00532388">
      <w:r>
        <w:t>Silver and Miya</w:t>
      </w:r>
    </w:p>
    <w:p w14:paraId="5DCA9A39" w14:textId="77777777" w:rsidR="00341834" w:rsidRDefault="00341834" w:rsidP="00532388">
      <w:r>
        <w:t>Six et al. ????</w:t>
      </w:r>
    </w:p>
    <w:p w14:paraId="408B6C6D" w14:textId="77777777" w:rsidR="00341834" w:rsidRDefault="00341834" w:rsidP="00532388">
      <w:r>
        <w:t>Tufekcioglu et al 2003</w:t>
      </w:r>
    </w:p>
    <w:p w14:paraId="3FCB64C5" w14:textId="77777777" w:rsidR="00341834" w:rsidRDefault="00341834" w:rsidP="00532388">
      <w:r>
        <w:t>Van Es et al. 2007</w:t>
      </w:r>
    </w:p>
    <w:p w14:paraId="78E5A4DE" w14:textId="77777777" w:rsidR="002858A7" w:rsidRDefault="002858A7" w:rsidP="00532388">
      <w:r>
        <w:t>Veenstra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r w:rsidR="00274AAE">
        <w:fldChar w:fldCharType="begin"/>
      </w:r>
      <w:r w:rsidR="00274AAE">
        <w:instrText xml:space="preserve"> SEQ Figure \* ARABIC </w:instrText>
      </w:r>
      <w:r w:rsidR="00274AAE">
        <w:fldChar w:fldCharType="separate"/>
      </w:r>
      <w:r w:rsidR="003118C8">
        <w:rPr>
          <w:noProof/>
        </w:rPr>
        <w:t>1</w:t>
      </w:r>
      <w:r w:rsidR="00274AAE">
        <w:rPr>
          <w:noProof/>
        </w:rPr>
        <w:fldChar w:fldCharType="end"/>
      </w:r>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etzel, Ranae N [AGRON]" w:date="2016-09-20T15:07:00Z" w:initials="DRN[">
    <w:p w14:paraId="54E456A3" w14:textId="77777777" w:rsidR="00532388" w:rsidRDefault="00532388" w:rsidP="00532388">
      <w:pPr>
        <w:pStyle w:val="CommentText"/>
      </w:pPr>
      <w:r>
        <w:rPr>
          <w:rStyle w:val="CommentReference"/>
        </w:rPr>
        <w:annotationRef/>
      </w:r>
      <w:r>
        <w:t>We have all these values saved in APSIM (and elsewhere).</w:t>
      </w:r>
    </w:p>
  </w:comment>
  <w:comment w:id="1" w:author="Matt Liebman" w:date="2016-09-21T09:22:00Z" w:initials="MOU">
    <w:p w14:paraId="56DC7D69" w14:textId="77777777" w:rsidR="00532388" w:rsidRDefault="00532388"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2" w:author="Archontoulis, Sotirios [AGRON]" w:date="2016-09-21T20:49:00Z" w:initials="AS[">
    <w:p w14:paraId="63C408F2" w14:textId="77777777" w:rsidR="00532388" w:rsidRDefault="00532388"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equations/maths,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E456A3" w15:done="0"/>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3C98D" w14:textId="77777777" w:rsidR="00274AAE" w:rsidRDefault="00274AAE" w:rsidP="006D0C96">
      <w:pPr>
        <w:spacing w:line="240" w:lineRule="auto"/>
      </w:pPr>
      <w:r>
        <w:separator/>
      </w:r>
    </w:p>
  </w:endnote>
  <w:endnote w:type="continuationSeparator" w:id="0">
    <w:p w14:paraId="541A2E0F" w14:textId="77777777" w:rsidR="00274AAE" w:rsidRDefault="00274AAE"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0FA468B0" w:rsidR="006D0C96" w:rsidRDefault="006D0C96">
        <w:pPr>
          <w:pStyle w:val="Footer"/>
          <w:jc w:val="center"/>
        </w:pPr>
        <w:r>
          <w:fldChar w:fldCharType="begin"/>
        </w:r>
        <w:r>
          <w:instrText xml:space="preserve"> PAGE   \* MERGEFORMAT </w:instrText>
        </w:r>
        <w:r>
          <w:fldChar w:fldCharType="separate"/>
        </w:r>
        <w:r w:rsidR="0084540A">
          <w:rPr>
            <w:noProof/>
          </w:rPr>
          <w:t>15</w:t>
        </w:r>
        <w:r>
          <w:rPr>
            <w:noProof/>
          </w:rPr>
          <w:fldChar w:fldCharType="end"/>
        </w:r>
      </w:p>
    </w:sdtContent>
  </w:sdt>
  <w:p w14:paraId="3669A038" w14:textId="77777777" w:rsidR="006D0C96" w:rsidRDefault="006D0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B74A5" w14:textId="77777777" w:rsidR="00274AAE" w:rsidRDefault="00274AAE" w:rsidP="006D0C96">
      <w:pPr>
        <w:spacing w:line="240" w:lineRule="auto"/>
      </w:pPr>
      <w:r>
        <w:separator/>
      </w:r>
    </w:p>
  </w:footnote>
  <w:footnote w:type="continuationSeparator" w:id="0">
    <w:p w14:paraId="69D09F73" w14:textId="77777777" w:rsidR="00274AAE" w:rsidRDefault="00274AAE"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5690A"/>
    <w:rsid w:val="00075F28"/>
    <w:rsid w:val="000A1B66"/>
    <w:rsid w:val="000C3A9F"/>
    <w:rsid w:val="001C5EB9"/>
    <w:rsid w:val="00203F92"/>
    <w:rsid w:val="00274AAE"/>
    <w:rsid w:val="002858A7"/>
    <w:rsid w:val="003118C8"/>
    <w:rsid w:val="00341834"/>
    <w:rsid w:val="003A4FB4"/>
    <w:rsid w:val="003D5288"/>
    <w:rsid w:val="00450DB9"/>
    <w:rsid w:val="00463568"/>
    <w:rsid w:val="004D0F1A"/>
    <w:rsid w:val="00532388"/>
    <w:rsid w:val="0055217B"/>
    <w:rsid w:val="00564213"/>
    <w:rsid w:val="005A4F32"/>
    <w:rsid w:val="006326D7"/>
    <w:rsid w:val="00670F05"/>
    <w:rsid w:val="006A2BD8"/>
    <w:rsid w:val="006D0C96"/>
    <w:rsid w:val="0070537F"/>
    <w:rsid w:val="00751A44"/>
    <w:rsid w:val="00796A7F"/>
    <w:rsid w:val="0084540A"/>
    <w:rsid w:val="00855006"/>
    <w:rsid w:val="008B719F"/>
    <w:rsid w:val="008E213F"/>
    <w:rsid w:val="008E3110"/>
    <w:rsid w:val="009150E4"/>
    <w:rsid w:val="0091791F"/>
    <w:rsid w:val="00932F15"/>
    <w:rsid w:val="00943440"/>
    <w:rsid w:val="009D38E2"/>
    <w:rsid w:val="009F2C0A"/>
    <w:rsid w:val="00AE4157"/>
    <w:rsid w:val="00B4015F"/>
    <w:rsid w:val="00B5719D"/>
    <w:rsid w:val="00B57DB5"/>
    <w:rsid w:val="00B75342"/>
    <w:rsid w:val="00B94A58"/>
    <w:rsid w:val="00BD0523"/>
    <w:rsid w:val="00C1589F"/>
    <w:rsid w:val="00C26311"/>
    <w:rsid w:val="00C35812"/>
    <w:rsid w:val="00C82F79"/>
    <w:rsid w:val="00CC51D0"/>
    <w:rsid w:val="00D40CE0"/>
    <w:rsid w:val="00DB4E53"/>
    <w:rsid w:val="00DC393C"/>
    <w:rsid w:val="00E00339"/>
    <w:rsid w:val="00E142A8"/>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FE0EF-133C-486D-B607-9A3AEC3D7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1</TotalTime>
  <Pages>23</Pages>
  <Words>5250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2</cp:revision>
  <cp:lastPrinted>2016-02-01T07:21:00Z</cp:lastPrinted>
  <dcterms:created xsi:type="dcterms:W3CDTF">2016-11-08T22:05:00Z</dcterms:created>
  <dcterms:modified xsi:type="dcterms:W3CDTF">2016-11-08T22:05:00Z</dcterms:modified>
</cp:coreProperties>
</file>