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(Aman et al., 2014; Aman and Bman, 2015) </w:t>
      </w:r>
      <w:r w:rsidR="00B4015F">
        <w:t>adipiscing elit. Mauris dictum, nibh ut condimentum pharetra, quam ligula varius est, sed vehicula massa erat ut metus. In eget metus lorem. Fusce vitae ante dictum, elementum sem non, lacinia dui. Integer tellus tortor, convallis et aliquam non, dictum vel mauris. Quisque maximus mollis dui, a mollis mauris vehicula in. Duis dui ligula, suscipit ac lectus</w:t>
      </w:r>
      <w:r w:rsidR="00C82F79">
        <w:t xml:space="preserve"> vitae, fringilla euismod diam.</w:t>
      </w:r>
    </w:p>
    <w:p w14:paraId="3B69E57B" w14:textId="77777777" w:rsidR="00C82F79" w:rsidRDefault="00C82F79" w:rsidP="00B57DB5">
      <w:pPr>
        <w:pStyle w:val="Heading1"/>
        <w:spacing w:line="360" w:lineRule="auto"/>
      </w:pPr>
      <w:r>
        <w:t xml:space="preserve">1 </w:t>
      </w:r>
      <w:r w:rsidR="00DC393C">
        <w:t>Introduction</w:t>
      </w:r>
    </w:p>
    <w:p w14:paraId="68957447" w14:textId="66F6727D"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 Kong and Six 2010).  This would mean that a change in root inputs, such as that engendered by switching from annual to perennial systems, would have a direct impact on soil organic matter even deep into the soil profile. However, few direct </w:t>
      </w:r>
      <w:r w:rsidRPr="00DC393C">
        <w:rPr>
          <w:rFonts w:cs="Times New Roman"/>
          <w:b w:val="0"/>
          <w:bCs w:val="0"/>
          <w:iCs w:val="0"/>
          <w:szCs w:val="24"/>
        </w:rPr>
        <w:lastRenderedPageBreak/>
        <w:t xml:space="preserve">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(Six et al. ????).  The C:N ratio of the organic matter being decomposed also plays a key role in both the rate of decomposition and the fate of the decomposed organic matter, with higher C:N ratios leading to slower decomposition (Silver and Miya 2001) and fewer microbial by-products (Cortrufo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(Blackmer et al., 1997) and the expected N removal in the harvested biomass of perennial grasses grown in the area (Heggenstaller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maize used was a 104-day relative maturity hybrid with transgenes for glyphosate resistance, corn borer (Ostrinia nubilalis) resistance, and corn rootworm (Diabrotica spp.) protection (Agrigold 6325 VT3).   Maize was planted following standard practices (Abendroth et al., 2011) in rows spaced 76 cm apart at 79,500 seeds ha-1 on 6 May 2010 and 82,500 seeds ha-1 on 11 May 2011.  Fertilizer rates and types can be found in Table 1.  Rates of N added after planting were based on results of late-spring tests of soil nitrate-N concentration (Blackmer et al.,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Blackmer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(Appendix).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(mrt) using the equations k = loss/pool and mrt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2E47FCFD" w:rsidR="00532388" w:rsidRDefault="00532388" w:rsidP="00532388">
      <w:pPr>
        <w:rPr>
          <w:szCs w:val="20"/>
        </w:rPr>
      </w:pPr>
      <w:r w:rsidRPr="00532388">
        <w:rPr>
          <w:szCs w:val="20"/>
        </w:rPr>
        <w:t>Table 1.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77777777" w:rsidR="00532388" w:rsidRPr="00532388" w:rsidRDefault="00532388" w:rsidP="00532388">
      <w:pPr>
        <w:jc w:val="center"/>
        <w:rPr>
          <w:szCs w:val="20"/>
        </w:rPr>
      </w:pPr>
      <w:r w:rsidRPr="00532388">
        <w:rPr>
          <w:noProof/>
          <w:szCs w:val="20"/>
          <w:lang w:val="en-US" w:eastAsia="en-US"/>
        </w:rPr>
        <w:lastRenderedPageBreak/>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rPr>
          <w:noProof/>
          <w:lang w:val="en-US" w:eastAsia="en-US"/>
        </w:rPr>
        <w:lastRenderedPageBreak/>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0"/>
      <w:r w:rsidRPr="00532388">
        <w:rPr>
          <w:szCs w:val="20"/>
        </w:rPr>
        <w:t>Absolute difference in root C pools six years after prairie establishment.</w:t>
      </w:r>
      <w:commentRangeEnd w:id="0"/>
      <w:r w:rsidRPr="00532388">
        <w:rPr>
          <w:rStyle w:val="CommentReference"/>
          <w:sz w:val="20"/>
          <w:szCs w:val="20"/>
        </w:rPr>
        <w:commentReference w:id="0"/>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t>Table 2.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Modeled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tbl>
      <w:tblPr>
        <w:tblW w:w="3040" w:type="pct"/>
        <w:tblLook w:val="07E0" w:firstRow="1" w:lastRow="1" w:firstColumn="1" w:lastColumn="1" w:noHBand="1" w:noVBand="1"/>
        <w:tblCaption w:val="Root pool decomposition, masses in g/m^2"/>
      </w:tblPr>
      <w:tblGrid>
        <w:gridCol w:w="2256"/>
        <w:gridCol w:w="710"/>
        <w:gridCol w:w="630"/>
        <w:gridCol w:w="590"/>
        <w:gridCol w:w="643"/>
        <w:gridCol w:w="636"/>
        <w:gridCol w:w="636"/>
      </w:tblGrid>
      <w:tr w:rsidR="006B6053" w14:paraId="2C7A1CC7" w14:textId="77777777" w:rsidTr="006B6053">
        <w:tc>
          <w:tcPr>
            <w:tcW w:w="0" w:type="auto"/>
            <w:tcBorders>
              <w:top w:val="nil"/>
              <w:left w:val="nil"/>
              <w:bottom w:val="single" w:sz="2" w:space="0" w:color="auto"/>
              <w:right w:val="nil"/>
            </w:tcBorders>
            <w:vAlign w:val="bottom"/>
            <w:hideMark/>
          </w:tcPr>
          <w:p w14:paraId="3848C3F9" w14:textId="77777777" w:rsidR="006B6053" w:rsidRDefault="006B6053">
            <w:pPr>
              <w:pStyle w:val="Compact"/>
            </w:pPr>
            <w:bookmarkStart w:id="1" w:name="_GoBack"/>
            <w:bookmarkEnd w:id="1"/>
            <w:r>
              <w:t>trt</w:t>
            </w:r>
          </w:p>
        </w:tc>
        <w:tc>
          <w:tcPr>
            <w:tcW w:w="0" w:type="auto"/>
            <w:tcBorders>
              <w:top w:val="nil"/>
              <w:left w:val="nil"/>
              <w:bottom w:val="single" w:sz="2" w:space="0" w:color="auto"/>
              <w:right w:val="nil"/>
            </w:tcBorders>
            <w:vAlign w:val="bottom"/>
            <w:hideMark/>
          </w:tcPr>
          <w:p w14:paraId="5A92FB86" w14:textId="77777777" w:rsidR="006B6053" w:rsidRDefault="006B6053">
            <w:pPr>
              <w:pStyle w:val="Compact"/>
              <w:jc w:val="right"/>
            </w:pPr>
            <w:r>
              <w:t>input</w:t>
            </w:r>
          </w:p>
        </w:tc>
        <w:tc>
          <w:tcPr>
            <w:tcW w:w="0" w:type="auto"/>
            <w:tcBorders>
              <w:top w:val="nil"/>
              <w:left w:val="nil"/>
              <w:bottom w:val="single" w:sz="2" w:space="0" w:color="auto"/>
              <w:right w:val="nil"/>
            </w:tcBorders>
            <w:vAlign w:val="bottom"/>
            <w:hideMark/>
          </w:tcPr>
          <w:p w14:paraId="53C83C3D" w14:textId="77777777" w:rsidR="006B6053" w:rsidRDefault="006B6053">
            <w:pPr>
              <w:pStyle w:val="Compact"/>
              <w:jc w:val="right"/>
            </w:pPr>
            <w:r>
              <w:t>gain</w:t>
            </w:r>
          </w:p>
        </w:tc>
        <w:tc>
          <w:tcPr>
            <w:tcW w:w="0" w:type="auto"/>
            <w:tcBorders>
              <w:top w:val="nil"/>
              <w:left w:val="nil"/>
              <w:bottom w:val="single" w:sz="2" w:space="0" w:color="auto"/>
              <w:right w:val="nil"/>
            </w:tcBorders>
            <w:vAlign w:val="bottom"/>
            <w:hideMark/>
          </w:tcPr>
          <w:p w14:paraId="43BBD3F7" w14:textId="77777777" w:rsidR="006B6053" w:rsidRDefault="006B6053">
            <w:pPr>
              <w:pStyle w:val="Compact"/>
              <w:jc w:val="right"/>
            </w:pPr>
            <w:r>
              <w:t>loss</w:t>
            </w:r>
          </w:p>
        </w:tc>
        <w:tc>
          <w:tcPr>
            <w:tcW w:w="0" w:type="auto"/>
            <w:tcBorders>
              <w:top w:val="nil"/>
              <w:left w:val="nil"/>
              <w:bottom w:val="single" w:sz="2" w:space="0" w:color="auto"/>
              <w:right w:val="nil"/>
            </w:tcBorders>
            <w:vAlign w:val="bottom"/>
            <w:hideMark/>
          </w:tcPr>
          <w:p w14:paraId="17BF8279" w14:textId="77777777" w:rsidR="006B6053" w:rsidRDefault="006B6053">
            <w:pPr>
              <w:pStyle w:val="Compact"/>
              <w:jc w:val="right"/>
            </w:pPr>
            <w:r>
              <w:t>pool</w:t>
            </w:r>
          </w:p>
        </w:tc>
        <w:tc>
          <w:tcPr>
            <w:tcW w:w="0" w:type="auto"/>
            <w:tcBorders>
              <w:top w:val="nil"/>
              <w:left w:val="nil"/>
              <w:bottom w:val="single" w:sz="2" w:space="0" w:color="auto"/>
              <w:right w:val="nil"/>
            </w:tcBorders>
            <w:vAlign w:val="bottom"/>
            <w:hideMark/>
          </w:tcPr>
          <w:p w14:paraId="28FD2A55" w14:textId="77777777" w:rsidR="006B6053" w:rsidRDefault="006B6053">
            <w:pPr>
              <w:pStyle w:val="Compact"/>
              <w:jc w:val="right"/>
            </w:pPr>
            <w:r>
              <w:t>k</w:t>
            </w:r>
          </w:p>
        </w:tc>
        <w:tc>
          <w:tcPr>
            <w:tcW w:w="0" w:type="auto"/>
            <w:tcBorders>
              <w:top w:val="nil"/>
              <w:left w:val="nil"/>
              <w:bottom w:val="single" w:sz="2" w:space="0" w:color="auto"/>
              <w:right w:val="nil"/>
            </w:tcBorders>
            <w:vAlign w:val="bottom"/>
            <w:hideMark/>
          </w:tcPr>
          <w:p w14:paraId="134DD892" w14:textId="77777777" w:rsidR="006B6053" w:rsidRDefault="006B6053">
            <w:pPr>
              <w:pStyle w:val="Compact"/>
              <w:jc w:val="right"/>
            </w:pPr>
            <w:r>
              <w:t>mrt</w:t>
            </w:r>
          </w:p>
        </w:tc>
      </w:tr>
      <w:tr w:rsidR="006B6053" w14:paraId="5DFECD91" w14:textId="77777777" w:rsidTr="006B6053">
        <w:tc>
          <w:tcPr>
            <w:tcW w:w="0" w:type="auto"/>
            <w:hideMark/>
          </w:tcPr>
          <w:p w14:paraId="63AEB98F" w14:textId="77777777" w:rsidR="006B6053" w:rsidRDefault="006B6053">
            <w:pPr>
              <w:pStyle w:val="Compact"/>
            </w:pPr>
            <w:r>
              <w:t>Prairie2010</w:t>
            </w:r>
          </w:p>
        </w:tc>
        <w:tc>
          <w:tcPr>
            <w:tcW w:w="0" w:type="auto"/>
            <w:hideMark/>
          </w:tcPr>
          <w:p w14:paraId="411196CA" w14:textId="77777777" w:rsidR="006B6053" w:rsidRDefault="006B6053">
            <w:pPr>
              <w:pStyle w:val="Compact"/>
              <w:jc w:val="right"/>
            </w:pPr>
            <w:r>
              <w:t>367</w:t>
            </w:r>
          </w:p>
        </w:tc>
        <w:tc>
          <w:tcPr>
            <w:tcW w:w="0" w:type="auto"/>
            <w:hideMark/>
          </w:tcPr>
          <w:p w14:paraId="5AD2962D" w14:textId="77777777" w:rsidR="006B6053" w:rsidRDefault="006B6053">
            <w:pPr>
              <w:pStyle w:val="Compact"/>
              <w:jc w:val="right"/>
            </w:pPr>
            <w:r>
              <w:t>104</w:t>
            </w:r>
          </w:p>
        </w:tc>
        <w:tc>
          <w:tcPr>
            <w:tcW w:w="0" w:type="auto"/>
            <w:hideMark/>
          </w:tcPr>
          <w:p w14:paraId="5BD83189" w14:textId="77777777" w:rsidR="006B6053" w:rsidRDefault="006B6053">
            <w:pPr>
              <w:pStyle w:val="Compact"/>
              <w:jc w:val="right"/>
            </w:pPr>
            <w:r>
              <w:t>263</w:t>
            </w:r>
          </w:p>
        </w:tc>
        <w:tc>
          <w:tcPr>
            <w:tcW w:w="0" w:type="auto"/>
            <w:hideMark/>
          </w:tcPr>
          <w:p w14:paraId="0FF131E9" w14:textId="77777777" w:rsidR="006B6053" w:rsidRDefault="006B6053">
            <w:pPr>
              <w:pStyle w:val="Compact"/>
              <w:jc w:val="right"/>
            </w:pPr>
            <w:r>
              <w:t>748</w:t>
            </w:r>
          </w:p>
        </w:tc>
        <w:tc>
          <w:tcPr>
            <w:tcW w:w="0" w:type="auto"/>
            <w:hideMark/>
          </w:tcPr>
          <w:p w14:paraId="331462A8" w14:textId="77777777" w:rsidR="006B6053" w:rsidRDefault="006B6053">
            <w:pPr>
              <w:pStyle w:val="Compact"/>
              <w:jc w:val="right"/>
            </w:pPr>
            <w:r>
              <w:t>0.35</w:t>
            </w:r>
          </w:p>
        </w:tc>
        <w:tc>
          <w:tcPr>
            <w:tcW w:w="0" w:type="auto"/>
            <w:hideMark/>
          </w:tcPr>
          <w:p w14:paraId="3019848C" w14:textId="77777777" w:rsidR="006B6053" w:rsidRDefault="006B6053">
            <w:pPr>
              <w:pStyle w:val="Compact"/>
              <w:jc w:val="right"/>
            </w:pPr>
            <w:r>
              <w:t>2.85</w:t>
            </w:r>
          </w:p>
        </w:tc>
      </w:tr>
      <w:tr w:rsidR="006B6053" w14:paraId="2E103561" w14:textId="77777777" w:rsidTr="006B6053">
        <w:tc>
          <w:tcPr>
            <w:tcW w:w="0" w:type="auto"/>
            <w:hideMark/>
          </w:tcPr>
          <w:p w14:paraId="1321244C" w14:textId="77777777" w:rsidR="006B6053" w:rsidRDefault="006B6053">
            <w:pPr>
              <w:pStyle w:val="Compact"/>
            </w:pPr>
            <w:r>
              <w:t>FertilizedPrairie2010</w:t>
            </w:r>
          </w:p>
        </w:tc>
        <w:tc>
          <w:tcPr>
            <w:tcW w:w="0" w:type="auto"/>
            <w:hideMark/>
          </w:tcPr>
          <w:p w14:paraId="797A2B4F" w14:textId="77777777" w:rsidR="006B6053" w:rsidRDefault="006B6053">
            <w:pPr>
              <w:pStyle w:val="Compact"/>
              <w:jc w:val="right"/>
            </w:pPr>
            <w:r>
              <w:t>146</w:t>
            </w:r>
          </w:p>
        </w:tc>
        <w:tc>
          <w:tcPr>
            <w:tcW w:w="0" w:type="auto"/>
            <w:hideMark/>
          </w:tcPr>
          <w:p w14:paraId="5EDC5C46" w14:textId="77777777" w:rsidR="006B6053" w:rsidRDefault="006B6053">
            <w:pPr>
              <w:pStyle w:val="Compact"/>
              <w:jc w:val="right"/>
            </w:pPr>
            <w:r>
              <w:t>62</w:t>
            </w:r>
          </w:p>
        </w:tc>
        <w:tc>
          <w:tcPr>
            <w:tcW w:w="0" w:type="auto"/>
            <w:hideMark/>
          </w:tcPr>
          <w:p w14:paraId="46CCDCE5" w14:textId="77777777" w:rsidR="006B6053" w:rsidRDefault="006B6053">
            <w:pPr>
              <w:pStyle w:val="Compact"/>
              <w:jc w:val="right"/>
            </w:pPr>
            <w:r>
              <w:t>84</w:t>
            </w:r>
          </w:p>
        </w:tc>
        <w:tc>
          <w:tcPr>
            <w:tcW w:w="0" w:type="auto"/>
            <w:hideMark/>
          </w:tcPr>
          <w:p w14:paraId="3C431382" w14:textId="77777777" w:rsidR="006B6053" w:rsidRDefault="006B6053">
            <w:pPr>
              <w:pStyle w:val="Compact"/>
              <w:jc w:val="right"/>
            </w:pPr>
            <w:r>
              <w:t>231</w:t>
            </w:r>
          </w:p>
        </w:tc>
        <w:tc>
          <w:tcPr>
            <w:tcW w:w="0" w:type="auto"/>
            <w:hideMark/>
          </w:tcPr>
          <w:p w14:paraId="745045A7" w14:textId="77777777" w:rsidR="006B6053" w:rsidRDefault="006B6053">
            <w:pPr>
              <w:pStyle w:val="Compact"/>
              <w:jc w:val="right"/>
            </w:pPr>
            <w:r>
              <w:t>0.37</w:t>
            </w:r>
          </w:p>
        </w:tc>
        <w:tc>
          <w:tcPr>
            <w:tcW w:w="0" w:type="auto"/>
            <w:hideMark/>
          </w:tcPr>
          <w:p w14:paraId="468D194B" w14:textId="77777777" w:rsidR="006B6053" w:rsidRDefault="006B6053">
            <w:pPr>
              <w:pStyle w:val="Compact"/>
              <w:jc w:val="right"/>
            </w:pPr>
            <w:r>
              <w:t>2.74</w:t>
            </w:r>
          </w:p>
        </w:tc>
      </w:tr>
      <w:tr w:rsidR="006B6053" w14:paraId="560E68A7" w14:textId="77777777" w:rsidTr="006B6053">
        <w:tc>
          <w:tcPr>
            <w:tcW w:w="0" w:type="auto"/>
            <w:hideMark/>
          </w:tcPr>
          <w:p w14:paraId="3EDC89A1" w14:textId="77777777" w:rsidR="006B6053" w:rsidRDefault="006B6053">
            <w:pPr>
              <w:pStyle w:val="Compact"/>
            </w:pPr>
            <w:r>
              <w:t>Prairie2011</w:t>
            </w:r>
          </w:p>
        </w:tc>
        <w:tc>
          <w:tcPr>
            <w:tcW w:w="0" w:type="auto"/>
            <w:hideMark/>
          </w:tcPr>
          <w:p w14:paraId="2D98B297" w14:textId="77777777" w:rsidR="006B6053" w:rsidRDefault="006B6053">
            <w:pPr>
              <w:pStyle w:val="Compact"/>
              <w:jc w:val="right"/>
            </w:pPr>
            <w:r>
              <w:t>387</w:t>
            </w:r>
          </w:p>
        </w:tc>
        <w:tc>
          <w:tcPr>
            <w:tcW w:w="0" w:type="auto"/>
            <w:hideMark/>
          </w:tcPr>
          <w:p w14:paraId="5608212C" w14:textId="77777777" w:rsidR="006B6053" w:rsidRDefault="006B6053">
            <w:pPr>
              <w:pStyle w:val="Compact"/>
              <w:jc w:val="right"/>
            </w:pPr>
            <w:r>
              <w:t>78</w:t>
            </w:r>
          </w:p>
        </w:tc>
        <w:tc>
          <w:tcPr>
            <w:tcW w:w="0" w:type="auto"/>
            <w:hideMark/>
          </w:tcPr>
          <w:p w14:paraId="10ED786B" w14:textId="77777777" w:rsidR="006B6053" w:rsidRDefault="006B6053">
            <w:pPr>
              <w:pStyle w:val="Compact"/>
              <w:jc w:val="right"/>
            </w:pPr>
            <w:r>
              <w:t>309</w:t>
            </w:r>
          </w:p>
        </w:tc>
        <w:tc>
          <w:tcPr>
            <w:tcW w:w="0" w:type="auto"/>
            <w:hideMark/>
          </w:tcPr>
          <w:p w14:paraId="013155C6" w14:textId="77777777" w:rsidR="006B6053" w:rsidRDefault="006B6053">
            <w:pPr>
              <w:pStyle w:val="Compact"/>
              <w:jc w:val="right"/>
            </w:pPr>
            <w:r>
              <w:t>758</w:t>
            </w:r>
          </w:p>
        </w:tc>
        <w:tc>
          <w:tcPr>
            <w:tcW w:w="0" w:type="auto"/>
            <w:hideMark/>
          </w:tcPr>
          <w:p w14:paraId="5CB4498C" w14:textId="77777777" w:rsidR="006B6053" w:rsidRDefault="006B6053">
            <w:pPr>
              <w:pStyle w:val="Compact"/>
              <w:jc w:val="right"/>
            </w:pPr>
            <w:r>
              <w:t>0.41</w:t>
            </w:r>
          </w:p>
        </w:tc>
        <w:tc>
          <w:tcPr>
            <w:tcW w:w="0" w:type="auto"/>
            <w:hideMark/>
          </w:tcPr>
          <w:p w14:paraId="0B7657AE" w14:textId="77777777" w:rsidR="006B6053" w:rsidRDefault="006B6053">
            <w:pPr>
              <w:pStyle w:val="Compact"/>
              <w:jc w:val="right"/>
            </w:pPr>
            <w:r>
              <w:t>2.45</w:t>
            </w:r>
          </w:p>
        </w:tc>
      </w:tr>
      <w:tr w:rsidR="006B6053" w14:paraId="42575576" w14:textId="77777777" w:rsidTr="006B6053">
        <w:tc>
          <w:tcPr>
            <w:tcW w:w="0" w:type="auto"/>
            <w:hideMark/>
          </w:tcPr>
          <w:p w14:paraId="01D1C296" w14:textId="77777777" w:rsidR="006B6053" w:rsidRDefault="006B6053">
            <w:pPr>
              <w:pStyle w:val="Compact"/>
            </w:pPr>
            <w:r>
              <w:t>FertilizedPrairie2011</w:t>
            </w:r>
          </w:p>
        </w:tc>
        <w:tc>
          <w:tcPr>
            <w:tcW w:w="0" w:type="auto"/>
            <w:hideMark/>
          </w:tcPr>
          <w:p w14:paraId="6722A7E4" w14:textId="77777777" w:rsidR="006B6053" w:rsidRDefault="006B6053">
            <w:pPr>
              <w:pStyle w:val="Compact"/>
              <w:jc w:val="right"/>
            </w:pPr>
            <w:r>
              <w:t>168</w:t>
            </w:r>
          </w:p>
        </w:tc>
        <w:tc>
          <w:tcPr>
            <w:tcW w:w="0" w:type="auto"/>
            <w:hideMark/>
          </w:tcPr>
          <w:p w14:paraId="378FC6E6" w14:textId="77777777" w:rsidR="006B6053" w:rsidRDefault="006B6053">
            <w:pPr>
              <w:pStyle w:val="Compact"/>
              <w:jc w:val="right"/>
            </w:pPr>
            <w:r>
              <w:t>55</w:t>
            </w:r>
          </w:p>
        </w:tc>
        <w:tc>
          <w:tcPr>
            <w:tcW w:w="0" w:type="auto"/>
            <w:hideMark/>
          </w:tcPr>
          <w:p w14:paraId="21CE33B5" w14:textId="77777777" w:rsidR="006B6053" w:rsidRDefault="006B6053">
            <w:pPr>
              <w:pStyle w:val="Compact"/>
              <w:jc w:val="right"/>
            </w:pPr>
            <w:r>
              <w:t>113</w:t>
            </w:r>
          </w:p>
        </w:tc>
        <w:tc>
          <w:tcPr>
            <w:tcW w:w="0" w:type="auto"/>
            <w:hideMark/>
          </w:tcPr>
          <w:p w14:paraId="7EA26B89" w14:textId="77777777" w:rsidR="006B6053" w:rsidRDefault="006B6053">
            <w:pPr>
              <w:pStyle w:val="Compact"/>
              <w:jc w:val="right"/>
            </w:pPr>
            <w:r>
              <w:t>342</w:t>
            </w:r>
          </w:p>
        </w:tc>
        <w:tc>
          <w:tcPr>
            <w:tcW w:w="0" w:type="auto"/>
            <w:hideMark/>
          </w:tcPr>
          <w:p w14:paraId="38045D3B" w14:textId="77777777" w:rsidR="006B6053" w:rsidRDefault="006B6053">
            <w:pPr>
              <w:pStyle w:val="Compact"/>
              <w:jc w:val="right"/>
            </w:pPr>
            <w:r>
              <w:t>0.33</w:t>
            </w:r>
          </w:p>
        </w:tc>
        <w:tc>
          <w:tcPr>
            <w:tcW w:w="0" w:type="auto"/>
            <w:hideMark/>
          </w:tcPr>
          <w:p w14:paraId="1A798105" w14:textId="77777777" w:rsidR="006B6053" w:rsidRDefault="006B6053">
            <w:pPr>
              <w:pStyle w:val="Compact"/>
              <w:jc w:val="right"/>
            </w:pPr>
            <w:r>
              <w:t>3.02</w:t>
            </w:r>
          </w:p>
        </w:tc>
      </w:tr>
      <w:tr w:rsidR="006B6053" w14:paraId="5B040D1B" w14:textId="77777777" w:rsidTr="006B6053">
        <w:tc>
          <w:tcPr>
            <w:tcW w:w="0" w:type="auto"/>
            <w:hideMark/>
          </w:tcPr>
          <w:p w14:paraId="2B7675FF" w14:textId="77777777" w:rsidR="006B6053" w:rsidRDefault="006B6053">
            <w:pPr>
              <w:pStyle w:val="Compact"/>
            </w:pPr>
            <w:r>
              <w:t>Maize2010</w:t>
            </w:r>
          </w:p>
        </w:tc>
        <w:tc>
          <w:tcPr>
            <w:tcW w:w="0" w:type="auto"/>
            <w:hideMark/>
          </w:tcPr>
          <w:p w14:paraId="7A998137" w14:textId="77777777" w:rsidR="006B6053" w:rsidRDefault="006B6053">
            <w:pPr>
              <w:pStyle w:val="Compact"/>
              <w:jc w:val="right"/>
            </w:pPr>
            <w:r>
              <w:t>56</w:t>
            </w:r>
          </w:p>
        </w:tc>
        <w:tc>
          <w:tcPr>
            <w:tcW w:w="0" w:type="auto"/>
            <w:hideMark/>
          </w:tcPr>
          <w:p w14:paraId="6DFF030E" w14:textId="77777777" w:rsidR="006B6053" w:rsidRDefault="006B6053">
            <w:pPr>
              <w:pStyle w:val="Compact"/>
              <w:jc w:val="right"/>
            </w:pPr>
            <w:r>
              <w:t>18</w:t>
            </w:r>
          </w:p>
        </w:tc>
        <w:tc>
          <w:tcPr>
            <w:tcW w:w="0" w:type="auto"/>
            <w:hideMark/>
          </w:tcPr>
          <w:p w14:paraId="6B251576" w14:textId="77777777" w:rsidR="006B6053" w:rsidRDefault="006B6053">
            <w:pPr>
              <w:pStyle w:val="Compact"/>
              <w:jc w:val="right"/>
            </w:pPr>
            <w:r>
              <w:t>38</w:t>
            </w:r>
          </w:p>
        </w:tc>
        <w:tc>
          <w:tcPr>
            <w:tcW w:w="0" w:type="auto"/>
            <w:hideMark/>
          </w:tcPr>
          <w:p w14:paraId="08B546EF" w14:textId="77777777" w:rsidR="006B6053" w:rsidRDefault="006B6053">
            <w:pPr>
              <w:pStyle w:val="Compact"/>
              <w:jc w:val="right"/>
            </w:pPr>
            <w:r>
              <w:t>44</w:t>
            </w:r>
          </w:p>
        </w:tc>
        <w:tc>
          <w:tcPr>
            <w:tcW w:w="0" w:type="auto"/>
            <w:hideMark/>
          </w:tcPr>
          <w:p w14:paraId="2D6EE411" w14:textId="77777777" w:rsidR="006B6053" w:rsidRDefault="006B6053">
            <w:pPr>
              <w:pStyle w:val="Compact"/>
              <w:jc w:val="right"/>
            </w:pPr>
            <w:r>
              <w:t>0.86</w:t>
            </w:r>
          </w:p>
        </w:tc>
        <w:tc>
          <w:tcPr>
            <w:tcW w:w="0" w:type="auto"/>
            <w:hideMark/>
          </w:tcPr>
          <w:p w14:paraId="12301E38" w14:textId="77777777" w:rsidR="006B6053" w:rsidRDefault="006B6053">
            <w:pPr>
              <w:pStyle w:val="Compact"/>
              <w:jc w:val="right"/>
            </w:pPr>
            <w:r>
              <w:t>1.16</w:t>
            </w:r>
          </w:p>
        </w:tc>
      </w:tr>
      <w:tr w:rsidR="006B6053" w14:paraId="1FBFB441" w14:textId="77777777" w:rsidTr="006B6053">
        <w:tc>
          <w:tcPr>
            <w:tcW w:w="0" w:type="auto"/>
            <w:hideMark/>
          </w:tcPr>
          <w:p w14:paraId="45779894" w14:textId="77777777" w:rsidR="006B6053" w:rsidRDefault="006B6053">
            <w:pPr>
              <w:pStyle w:val="Compact"/>
            </w:pPr>
            <w:r>
              <w:t>Maize2011</w:t>
            </w:r>
          </w:p>
        </w:tc>
        <w:tc>
          <w:tcPr>
            <w:tcW w:w="0" w:type="auto"/>
            <w:hideMark/>
          </w:tcPr>
          <w:p w14:paraId="18254274" w14:textId="77777777" w:rsidR="006B6053" w:rsidRDefault="006B6053">
            <w:pPr>
              <w:pStyle w:val="Compact"/>
              <w:jc w:val="right"/>
            </w:pPr>
            <w:r>
              <w:t>48</w:t>
            </w:r>
          </w:p>
        </w:tc>
        <w:tc>
          <w:tcPr>
            <w:tcW w:w="0" w:type="auto"/>
            <w:hideMark/>
          </w:tcPr>
          <w:p w14:paraId="68732A10" w14:textId="77777777" w:rsidR="006B6053" w:rsidRDefault="006B6053">
            <w:pPr>
              <w:pStyle w:val="Compact"/>
              <w:jc w:val="right"/>
            </w:pPr>
            <w:r>
              <w:t>16</w:t>
            </w:r>
          </w:p>
        </w:tc>
        <w:tc>
          <w:tcPr>
            <w:tcW w:w="0" w:type="auto"/>
            <w:hideMark/>
          </w:tcPr>
          <w:p w14:paraId="2521A46C" w14:textId="77777777" w:rsidR="006B6053" w:rsidRDefault="006B6053">
            <w:pPr>
              <w:pStyle w:val="Compact"/>
              <w:jc w:val="right"/>
            </w:pPr>
            <w:r>
              <w:t>31</w:t>
            </w:r>
          </w:p>
        </w:tc>
        <w:tc>
          <w:tcPr>
            <w:tcW w:w="0" w:type="auto"/>
            <w:hideMark/>
          </w:tcPr>
          <w:p w14:paraId="16AD7956" w14:textId="77777777" w:rsidR="006B6053" w:rsidRDefault="006B6053">
            <w:pPr>
              <w:pStyle w:val="Compact"/>
              <w:jc w:val="right"/>
            </w:pPr>
            <w:r>
              <w:t>47</w:t>
            </w:r>
          </w:p>
        </w:tc>
        <w:tc>
          <w:tcPr>
            <w:tcW w:w="0" w:type="auto"/>
            <w:hideMark/>
          </w:tcPr>
          <w:p w14:paraId="18149144" w14:textId="77777777" w:rsidR="006B6053" w:rsidRDefault="006B6053">
            <w:pPr>
              <w:pStyle w:val="Compact"/>
              <w:jc w:val="right"/>
            </w:pPr>
            <w:r>
              <w:t>0.67</w:t>
            </w:r>
          </w:p>
        </w:tc>
        <w:tc>
          <w:tcPr>
            <w:tcW w:w="0" w:type="auto"/>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(mrt) of 2.75 years in the top 30 cm of the profile when averaged across treatments and years (2010 and 2011).  Maize roots turned over twice as fast as prairie roots when averaged across treatments and years (</w:t>
      </w:r>
      <w:commentRangeStart w:id="2"/>
      <w:r w:rsidRPr="00532388">
        <w:rPr>
          <w:szCs w:val="20"/>
        </w:rPr>
        <w:t xml:space="preserve">Table </w:t>
      </w:r>
      <w:commentRangeEnd w:id="2"/>
      <w:r w:rsidRPr="00532388">
        <w:rPr>
          <w:rStyle w:val="CommentReference"/>
          <w:sz w:val="20"/>
          <w:szCs w:val="20"/>
        </w:rPr>
        <w:commentReference w:id="2"/>
      </w:r>
      <w:r w:rsidRPr="00532388">
        <w:rPr>
          <w:szCs w:val="20"/>
        </w:rPr>
        <w:t xml:space="preserve">3).  </w:t>
      </w:r>
    </w:p>
    <w:p w14:paraId="303549F7" w14:textId="3F03335F" w:rsidR="00532388" w:rsidRPr="00532388" w:rsidRDefault="0017132B" w:rsidP="00532388">
      <w:pPr>
        <w:rPr>
          <w:szCs w:val="20"/>
        </w:rPr>
      </w:pPr>
      <w:r w:rsidRPr="0017132B">
        <w:rPr>
          <w:noProof/>
          <w:lang w:val="en-US" w:eastAsia="en-US"/>
        </w:rPr>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C:N ratios with depth over time. Grey shading represents one standard error of the mean. </w:t>
      </w:r>
    </w:p>
    <w:p w14:paraId="074B54EF" w14:textId="77777777" w:rsidR="00532388" w:rsidRPr="00532388" w:rsidRDefault="00532388" w:rsidP="00532388">
      <w:pPr>
        <w:rPr>
          <w:szCs w:val="20"/>
        </w:rPr>
      </w:pPr>
      <w:r w:rsidRPr="00532388">
        <w:rPr>
          <w:szCs w:val="20"/>
        </w:rPr>
        <w:lastRenderedPageBreak/>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(Cortrufo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The increase in C:N ratio with depth may have been due to difference in root age, even in maize. The deepest roots were the oldest roots (York, personal communication).  The effect of time on increase of root C:N ratio was most obvious in prairie, which may have been a function of both maturing roots and the inclusion of dead roots in the root C pool measurements.</w:t>
      </w:r>
    </w:p>
    <w:p w14:paraId="338082D5" w14:textId="77777777"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77777777"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w:t>
      </w:r>
      <w:r w:rsidRPr="00532388">
        <w:rPr>
          <w:szCs w:val="20"/>
        </w:rPr>
        <w:lastRenderedPageBreak/>
        <w:t xml:space="preserve">tillage, and decreased belowground organic matter inputs.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  </w:t>
      </w:r>
    </w:p>
    <w:p w14:paraId="07074224" w14:textId="77777777" w:rsidR="00532388" w:rsidRDefault="00532388" w:rsidP="00532388">
      <w:pPr>
        <w:rPr>
          <w:szCs w:val="20"/>
        </w:rPr>
      </w:pPr>
    </w:p>
    <w:p w14:paraId="3C8113C1" w14:textId="77777777" w:rsidR="00532388" w:rsidRPr="00532388" w:rsidRDefault="00532388" w:rsidP="00532388">
      <w:pPr>
        <w:rPr>
          <w:szCs w:val="20"/>
        </w:rPr>
      </w:pPr>
      <w:r w:rsidRPr="00532388">
        <w:rPr>
          <w:szCs w:val="20"/>
        </w:rPr>
        <w:t xml:space="preserve">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C:N ratio have not been taken into consideration.  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lastRenderedPageBreak/>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lastRenderedPageBreak/>
        <w:t>Blackmer et al. 1997</w:t>
      </w:r>
    </w:p>
    <w:p w14:paraId="39E826FA" w14:textId="77777777" w:rsidR="002858A7" w:rsidRDefault="002858A7" w:rsidP="00532388">
      <w:r>
        <w:t>Cerrato and Blackmer 1990</w:t>
      </w:r>
    </w:p>
    <w:p w14:paraId="1A2C142C" w14:textId="77777777" w:rsidR="00341834" w:rsidRDefault="00341834" w:rsidP="00532388">
      <w:r>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r w:rsidR="008C4E85">
        <w:fldChar w:fldCharType="begin"/>
      </w:r>
      <w:r w:rsidR="008C4E85">
        <w:instrText xml:space="preserve"> SEQ Figure \* ARABIC </w:instrText>
      </w:r>
      <w:r w:rsidR="008C4E85">
        <w:fldChar w:fldCharType="separate"/>
      </w:r>
      <w:r w:rsidR="003118C8">
        <w:rPr>
          <w:noProof/>
        </w:rPr>
        <w:t>1</w:t>
      </w:r>
      <w:r w:rsidR="008C4E85">
        <w:rPr>
          <w:noProof/>
        </w:rPr>
        <w:fldChar w:fldCharType="end"/>
      </w:r>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2"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equations/maths,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54C54" w14:textId="77777777" w:rsidR="00752935" w:rsidRDefault="00752935" w:rsidP="006D0C96">
      <w:pPr>
        <w:spacing w:line="240" w:lineRule="auto"/>
      </w:pPr>
      <w:r>
        <w:separator/>
      </w:r>
    </w:p>
  </w:endnote>
  <w:endnote w:type="continuationSeparator" w:id="0">
    <w:p w14:paraId="1950C011" w14:textId="77777777" w:rsidR="00752935" w:rsidRDefault="00752935"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6CB98319" w:rsidR="00A4321F" w:rsidRDefault="00A4321F">
        <w:pPr>
          <w:pStyle w:val="Footer"/>
          <w:jc w:val="center"/>
        </w:pPr>
        <w:r>
          <w:fldChar w:fldCharType="begin"/>
        </w:r>
        <w:r>
          <w:instrText xml:space="preserve"> PAGE   \* MERGEFORMAT </w:instrText>
        </w:r>
        <w:r>
          <w:fldChar w:fldCharType="separate"/>
        </w:r>
        <w:r w:rsidR="006B6053">
          <w:rPr>
            <w:noProof/>
          </w:rPr>
          <w:t>22</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7D09E" w14:textId="77777777" w:rsidR="00752935" w:rsidRDefault="00752935" w:rsidP="006D0C96">
      <w:pPr>
        <w:spacing w:line="240" w:lineRule="auto"/>
      </w:pPr>
      <w:r>
        <w:separator/>
      </w:r>
    </w:p>
  </w:footnote>
  <w:footnote w:type="continuationSeparator" w:id="0">
    <w:p w14:paraId="4073D560" w14:textId="77777777" w:rsidR="00752935" w:rsidRDefault="00752935"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A53AC"/>
    <w:rsid w:val="000C3A9F"/>
    <w:rsid w:val="00106F11"/>
    <w:rsid w:val="001070FF"/>
    <w:rsid w:val="0017132B"/>
    <w:rsid w:val="001C5EB9"/>
    <w:rsid w:val="00203F92"/>
    <w:rsid w:val="002858A7"/>
    <w:rsid w:val="003118C8"/>
    <w:rsid w:val="00341834"/>
    <w:rsid w:val="003A4FB4"/>
    <w:rsid w:val="003D5288"/>
    <w:rsid w:val="003E6D6D"/>
    <w:rsid w:val="00450DB9"/>
    <w:rsid w:val="00463568"/>
    <w:rsid w:val="004D0F1A"/>
    <w:rsid w:val="00532388"/>
    <w:rsid w:val="0055217B"/>
    <w:rsid w:val="00564213"/>
    <w:rsid w:val="005A4F32"/>
    <w:rsid w:val="006233A4"/>
    <w:rsid w:val="006326D7"/>
    <w:rsid w:val="00670F05"/>
    <w:rsid w:val="0067549D"/>
    <w:rsid w:val="006A0C9A"/>
    <w:rsid w:val="006A2BD8"/>
    <w:rsid w:val="006B6053"/>
    <w:rsid w:val="006D0C96"/>
    <w:rsid w:val="0070537F"/>
    <w:rsid w:val="00751A44"/>
    <w:rsid w:val="00752935"/>
    <w:rsid w:val="00796A7F"/>
    <w:rsid w:val="0084540A"/>
    <w:rsid w:val="00855006"/>
    <w:rsid w:val="008B719F"/>
    <w:rsid w:val="008C4E85"/>
    <w:rsid w:val="008E213F"/>
    <w:rsid w:val="008E3110"/>
    <w:rsid w:val="009150E4"/>
    <w:rsid w:val="0091791F"/>
    <w:rsid w:val="00932F15"/>
    <w:rsid w:val="00943440"/>
    <w:rsid w:val="009A4D11"/>
    <w:rsid w:val="009D38E2"/>
    <w:rsid w:val="009F2C0A"/>
    <w:rsid w:val="00A4321F"/>
    <w:rsid w:val="00AE4157"/>
    <w:rsid w:val="00B4015F"/>
    <w:rsid w:val="00B5719D"/>
    <w:rsid w:val="00B57DB5"/>
    <w:rsid w:val="00B75342"/>
    <w:rsid w:val="00B94A58"/>
    <w:rsid w:val="00BD0523"/>
    <w:rsid w:val="00C1589F"/>
    <w:rsid w:val="00C26311"/>
    <w:rsid w:val="00C35812"/>
    <w:rsid w:val="00C82F79"/>
    <w:rsid w:val="00CC51D0"/>
    <w:rsid w:val="00D40CE0"/>
    <w:rsid w:val="00D5213F"/>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B933F-2C2E-4EDD-9E62-F8B39771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16875</TotalTime>
  <Pages>22</Pages>
  <Words>5228</Words>
  <Characters>29806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8</cp:revision>
  <cp:lastPrinted>2016-02-01T07:21:00Z</cp:lastPrinted>
  <dcterms:created xsi:type="dcterms:W3CDTF">2016-11-08T22:05:00Z</dcterms:created>
  <dcterms:modified xsi:type="dcterms:W3CDTF">2016-12-02T17:49:00Z</dcterms:modified>
</cp:coreProperties>
</file>