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079E5D8" w:rsidR="00B4015F" w:rsidRPr="00C26311" w:rsidRDefault="00DC393C" w:rsidP="00450DB9">
      <w:pPr>
        <w:pStyle w:val="Authors"/>
      </w:pPr>
      <w:r>
        <w:t>Ranae Dietzel</w:t>
      </w:r>
      <w:r w:rsidR="000D6CF0" w:rsidRPr="000D6CF0">
        <w:rPr>
          <w:vertAlign w:val="superscript"/>
        </w:rPr>
        <w:t>1</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6A11D0C5"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261B39">
        <w:t>50011</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2DD65D4" w14:textId="430393EF" w:rsidR="00EF5314" w:rsidRDefault="000D6CF0" w:rsidP="00B57DB5">
      <w:pPr>
        <w:pStyle w:val="Heading1"/>
        <w:spacing w:line="360" w:lineRule="auto"/>
        <w:rPr>
          <w:szCs w:val="20"/>
        </w:rPr>
      </w:pPr>
      <w:r w:rsidRPr="000D6CF0">
        <w:t>Abstract.</w:t>
      </w:r>
      <w:r>
        <w:rPr>
          <w:b w:val="0"/>
        </w:rPr>
        <w:t xml:space="preserve"> </w:t>
      </w:r>
      <w:bookmarkStart w:id="0" w:name="_GoBack"/>
      <w:bookmarkEnd w:id="0"/>
      <w:r w:rsidR="00CA02A2">
        <w:rPr>
          <w:b w:val="0"/>
        </w:rPr>
        <w:t xml:space="preserve">Plant root material makes a substantial contribution to the soil </w:t>
      </w:r>
      <w:r w:rsidR="009F2E05">
        <w:rPr>
          <w:b w:val="0"/>
        </w:rPr>
        <w:t xml:space="preserve">organic </w:t>
      </w:r>
      <w:r w:rsidR="00CA02A2">
        <w:rPr>
          <w:b w:val="0"/>
        </w:rPr>
        <w:t>carbon</w:t>
      </w:r>
      <w:r w:rsidR="000C5BFF">
        <w:rPr>
          <w:b w:val="0"/>
        </w:rPr>
        <w:t xml:space="preserve"> (C)</w:t>
      </w:r>
      <w:r w:rsidR="00CA02A2">
        <w:rPr>
          <w:b w:val="0"/>
        </w:rPr>
        <w:t xml:space="preserve"> pool, but this contribution is disproportionate below 20 cm, where 30% of root mass and 50% of soil organic C is found.</w:t>
      </w:r>
      <w:r w:rsidR="009F2E05">
        <w:rPr>
          <w:b w:val="0"/>
        </w:rPr>
        <w:t xml:space="preserve"> Root carbon inputs changed drastically when native perennial plant systems </w:t>
      </w:r>
      <w:r w:rsidR="00144C5F">
        <w:rPr>
          <w:b w:val="0"/>
        </w:rPr>
        <w:t xml:space="preserve">were </w:t>
      </w:r>
      <w:r w:rsidR="009F2E05">
        <w:rPr>
          <w:b w:val="0"/>
        </w:rPr>
        <w:t xml:space="preserve">shifted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C:N ratios increased with depth</w:t>
      </w:r>
      <w:r w:rsidR="00BA0123">
        <w:rPr>
          <w:b w:val="0"/>
        </w:rPr>
        <w:t xml:space="preserve"> and this plays a role in </w:t>
      </w:r>
      <w:r w:rsidR="00DD5451">
        <w:rPr>
          <w:b w:val="0"/>
        </w:rPr>
        <w:t xml:space="preserve">why an unexpectedly large proportion of soil organic C is found below 20 cm. </w:t>
      </w:r>
      <w:r w:rsidR="00CB4D76">
        <w:rPr>
          <w:b w:val="0"/>
        </w:rPr>
        <w:t xml:space="preserve"> </w:t>
      </w:r>
      <w:r w:rsidR="00DD5451">
        <w:rPr>
          <w:b w:val="0"/>
        </w:rPr>
        <w:t xml:space="preserve">Measured </w:t>
      </w:r>
      <w:r w:rsidR="006C3CB2">
        <w:rPr>
          <w:b w:val="0"/>
        </w:rPr>
        <w:t xml:space="preserve">root </w:t>
      </w:r>
      <w:r w:rsidR="00DD5451">
        <w:rPr>
          <w:b w:val="0"/>
        </w:rPr>
        <w:t xml:space="preserve">C:N ratios and turnover times along with modelled root turnover dynamics showed </w:t>
      </w:r>
      <w:r w:rsidR="00AD1FA1">
        <w:rPr>
          <w:b w:val="0"/>
        </w:rPr>
        <w:t xml:space="preserve">that in </w:t>
      </w:r>
      <w:r w:rsidR="00DA6086">
        <w:rPr>
          <w:b w:val="0"/>
        </w:rPr>
        <w:t xml:space="preserve">the historical shift </w:t>
      </w:r>
      <w:r w:rsidR="00AD1FA1">
        <w:rPr>
          <w:b w:val="0"/>
        </w:rPr>
        <w:t xml:space="preserve">from prairie to maize, </w:t>
      </w:r>
      <w:r w:rsidR="00DD5451">
        <w:rPr>
          <w:b w:val="0"/>
        </w:rPr>
        <w:t>a</w:t>
      </w:r>
      <w:r w:rsidR="00CB4D76" w:rsidRPr="00EF5314">
        <w:rPr>
          <w:b w:val="0"/>
          <w:szCs w:val="20"/>
        </w:rPr>
        <w:t xml:space="preserve"> large, structural-tissue dominated root C pool with slow turnover, concentrated at shallow depths was replaced by a small, non-structural-tissue dominated root</w:t>
      </w:r>
      <w:r w:rsidR="00EF5314">
        <w:rPr>
          <w:b w:val="0"/>
          <w:szCs w:val="20"/>
        </w:rPr>
        <w:t xml:space="preserve"> C</w:t>
      </w:r>
      <w:r w:rsidR="00CB4D76" w:rsidRPr="00EF5314">
        <w:rPr>
          <w:b w:val="0"/>
          <w:szCs w:val="20"/>
        </w:rPr>
        <w:t xml:space="preserve"> pool with fast turnover evenly distributed in the soil profile.</w:t>
      </w:r>
      <w:r w:rsidR="006C3CB2">
        <w:rPr>
          <w:b w:val="0"/>
          <w:szCs w:val="20"/>
        </w:rPr>
        <w:t xml:space="preserve"> These differences in rooting systems</w:t>
      </w:r>
      <w:r w:rsidR="000C5BFF">
        <w:rPr>
          <w:b w:val="0"/>
          <w:szCs w:val="20"/>
        </w:rPr>
        <w:t xml:space="preserve"> suggest that while prairie roots contribute more C to the soil than maize at shallow depths, maize may contribute more C to soil</w:t>
      </w:r>
      <w:r w:rsidR="00DA6086">
        <w:rPr>
          <w:b w:val="0"/>
          <w:szCs w:val="20"/>
        </w:rPr>
        <w:t xml:space="preserve"> C stocks</w:t>
      </w:r>
      <w:r w:rsidR="000C5BFF">
        <w:rPr>
          <w:b w:val="0"/>
          <w:szCs w:val="20"/>
        </w:rPr>
        <w:t xml:space="preserve"> than prairies at deeper depths.  </w:t>
      </w:r>
    </w:p>
    <w:p w14:paraId="3B69E57B" w14:textId="72E629C5" w:rsidR="00C82F79" w:rsidRDefault="00C82F79" w:rsidP="00B57DB5">
      <w:pPr>
        <w:pStyle w:val="Heading1"/>
        <w:spacing w:line="360" w:lineRule="auto"/>
      </w:pPr>
      <w:r>
        <w:t xml:space="preserve">1 </w:t>
      </w:r>
      <w:r w:rsidR="00DC393C">
        <w:t>Introduction</w:t>
      </w:r>
    </w:p>
    <w:p w14:paraId="68957447" w14:textId="7B4F0BBE"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Guo and Gifford, 2002)</w:t>
      </w:r>
      <w:r w:rsidRPr="00DC393C">
        <w:rPr>
          <w:rFonts w:cs="Times New Roman"/>
          <w:b w:val="0"/>
          <w:bCs w:val="0"/>
          <w:iCs w:val="0"/>
          <w:szCs w:val="24"/>
        </w:rPr>
        <w:t xml:space="preserve">. The effects of changes in </w:t>
      </w:r>
      <w:r w:rsidR="00DA6086">
        <w:rPr>
          <w:rFonts w:cs="Times New Roman"/>
          <w:b w:val="0"/>
          <w:bCs w:val="0"/>
          <w:iCs w:val="0"/>
          <w:szCs w:val="24"/>
        </w:rPr>
        <w:t>soil management</w:t>
      </w:r>
      <w:r w:rsidRPr="00DC393C">
        <w:rPr>
          <w:rFonts w:cs="Times New Roman"/>
          <w:b w:val="0"/>
          <w:bCs w:val="0"/>
          <w:iCs w:val="0"/>
          <w:szCs w:val="24"/>
        </w:rPr>
        <w:t xml:space="preserve"> such as increased soil disturbance and aeration, addition of fertilizers, and changes in residue amount and </w:t>
      </w:r>
      <w:r w:rsidR="00AC74AC">
        <w:rPr>
          <w:rFonts w:cs="Times New Roman"/>
          <w:b w:val="0"/>
          <w:bCs w:val="0"/>
          <w:iCs w:val="0"/>
          <w:szCs w:val="24"/>
        </w:rPr>
        <w:t xml:space="preserve">quality have often been </w:t>
      </w:r>
      <w:r w:rsidR="00D14064">
        <w:rPr>
          <w:rFonts w:cs="Times New Roman"/>
          <w:b w:val="0"/>
          <w:bCs w:val="0"/>
          <w:iCs w:val="0"/>
          <w:szCs w:val="24"/>
        </w:rPr>
        <w:t>cited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r w:rsidR="00D14064">
        <w:rPr>
          <w:rFonts w:cs="Times New Roman"/>
          <w:b w:val="0"/>
          <w:bCs w:val="0"/>
          <w:iCs w:val="0"/>
          <w:szCs w:val="24"/>
        </w:rPr>
        <w:t xml:space="preserve">Buyanovsky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w:t>
      </w:r>
      <w:r w:rsidR="00A57A1B">
        <w:rPr>
          <w:rFonts w:cs="Times New Roman"/>
          <w:b w:val="0"/>
          <w:bCs w:val="0"/>
          <w:iCs w:val="0"/>
          <w:szCs w:val="24"/>
        </w:rPr>
        <w:t xml:space="preserve"> Rasse et al. 2005,</w:t>
      </w:r>
      <w:r w:rsidRPr="00DC393C">
        <w:rPr>
          <w:rFonts w:cs="Times New Roman"/>
          <w:b w:val="0"/>
          <w:bCs w:val="0"/>
          <w:iCs w:val="0"/>
          <w:szCs w:val="24"/>
        </w:rPr>
        <w:t xml:space="preserve"> Kong and Six 2010).  This would mean that a change in root inputs, such as that engendered by switching from annual to perennial systems, </w:t>
      </w:r>
      <w:r w:rsidRPr="00DC393C">
        <w:rPr>
          <w:rFonts w:cs="Times New Roman"/>
          <w:b w:val="0"/>
          <w:bCs w:val="0"/>
          <w:iCs w:val="0"/>
          <w:szCs w:val="24"/>
        </w:rPr>
        <w:lastRenderedPageBreak/>
        <w:t xml:space="preserve">would have a direct impact on soil organic matter even deep into the soil profile. However, few direct 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78E11460"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Many factors interact to determine how much C is transferred between pools and how much C remains in a particular pool.  Soil temperature, moisture, O</w:t>
      </w:r>
      <w:r w:rsidRPr="00046168">
        <w:rPr>
          <w:rFonts w:cs="Times New Roman"/>
          <w:b w:val="0"/>
          <w:bCs w:val="0"/>
          <w:iCs w:val="0"/>
          <w:szCs w:val="24"/>
          <w:vertAlign w:val="subscript"/>
        </w:rPr>
        <w:t>2</w:t>
      </w:r>
      <w:r w:rsidRPr="00DC393C">
        <w:rPr>
          <w:rFonts w:cs="Times New Roman"/>
          <w:b w:val="0"/>
          <w:bCs w:val="0"/>
          <w:iCs w:val="0"/>
          <w:szCs w:val="24"/>
        </w:rPr>
        <w:t xml:space="preserve"> availability</w:t>
      </w:r>
      <w:r w:rsidR="00AB4B4F">
        <w:rPr>
          <w:rFonts w:cs="Times New Roman"/>
          <w:b w:val="0"/>
          <w:bCs w:val="0"/>
          <w:iCs w:val="0"/>
          <w:szCs w:val="24"/>
        </w:rPr>
        <w:t xml:space="preserve"> </w:t>
      </w:r>
      <w:r w:rsidR="00AB4B4F" w:rsidRPr="00DC393C">
        <w:rPr>
          <w:rFonts w:cs="Times New Roman"/>
          <w:b w:val="0"/>
          <w:bCs w:val="0"/>
          <w:iCs w:val="0"/>
          <w:szCs w:val="24"/>
        </w:rPr>
        <w:t>(Gill and Burke, 2002)</w:t>
      </w:r>
      <w:r w:rsidR="00AB4B4F">
        <w:rPr>
          <w:rFonts w:cs="Times New Roman"/>
          <w:b w:val="0"/>
          <w:bCs w:val="0"/>
          <w:iCs w:val="0"/>
          <w:szCs w:val="24"/>
        </w:rPr>
        <w:t>, and energy availability (Fontaine 2007)</w:t>
      </w:r>
      <w:r w:rsidRPr="00DC393C">
        <w:rPr>
          <w:rFonts w:cs="Times New Roman"/>
          <w:b w:val="0"/>
          <w:bCs w:val="0"/>
          <w:iCs w:val="0"/>
          <w:szCs w:val="24"/>
        </w:rPr>
        <w:t xml:space="preserve"> are important environmental variables controlling the rate of decomposition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 xml:space="preserve">2002; </w:t>
      </w:r>
      <w:r w:rsidR="00540BD4">
        <w:rPr>
          <w:rFonts w:cs="Times New Roman"/>
          <w:b w:val="0"/>
          <w:bCs w:val="0"/>
          <w:iCs w:val="0"/>
          <w:szCs w:val="24"/>
        </w:rPr>
        <w:t>Rasse et al. 2005</w:t>
      </w:r>
      <w:r w:rsidRPr="00DC393C">
        <w:rPr>
          <w:rFonts w:cs="Times New Roman"/>
          <w:b w:val="0"/>
          <w:bCs w:val="0"/>
          <w:iCs w:val="0"/>
          <w:szCs w:val="24"/>
        </w:rPr>
        <w:t xml:space="preserve">).  The C:N ratio of the organic matter being decomposed also plays a key role in both the rate of decomposition and the fate of the decomposed organic matter, with higher C:N ratios leading to slower decomposition (Silver and Miya 2001) and </w:t>
      </w:r>
      <w:r w:rsidR="00A3597B">
        <w:rPr>
          <w:rFonts w:cs="Times New Roman"/>
          <w:b w:val="0"/>
          <w:bCs w:val="0"/>
          <w:iCs w:val="0"/>
          <w:szCs w:val="24"/>
        </w:rPr>
        <w:t>fewer microbial by-products (Co</w:t>
      </w:r>
      <w:r w:rsidRPr="00DC393C">
        <w:rPr>
          <w:rFonts w:cs="Times New Roman"/>
          <w:b w:val="0"/>
          <w:bCs w:val="0"/>
          <w:iCs w:val="0"/>
          <w:szCs w:val="24"/>
        </w:rPr>
        <w:t>trufo 2015).  Temperature, moisture, O</w:t>
      </w:r>
      <w:r w:rsidRPr="00046168">
        <w:rPr>
          <w:rFonts w:cs="Times New Roman"/>
          <w:b w:val="0"/>
          <w:bCs w:val="0"/>
          <w:iCs w:val="0"/>
          <w:szCs w:val="24"/>
          <w:vertAlign w:val="subscript"/>
        </w:rPr>
        <w:t>2</w:t>
      </w:r>
      <w:r w:rsidRPr="00DC393C">
        <w:rPr>
          <w:rFonts w:cs="Times New Roman"/>
          <w:b w:val="0"/>
          <w:bCs w:val="0"/>
          <w:iCs w:val="0"/>
          <w:szCs w:val="24"/>
        </w:rPr>
        <w:t xml:space="preserve">,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120E5C8F"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w:t>
      </w:r>
      <w:r w:rsidR="00A66BC2">
        <w:rPr>
          <w:rFonts w:cs="Times New Roman"/>
          <w:b w:val="0"/>
          <w:bCs w:val="0"/>
          <w:iCs w:val="0"/>
          <w:szCs w:val="24"/>
        </w:rPr>
        <w:t xml:space="preserve">over six years </w:t>
      </w:r>
      <w:r w:rsidRPr="00DC393C">
        <w:rPr>
          <w:rFonts w:cs="Times New Roman"/>
          <w:b w:val="0"/>
          <w:bCs w:val="0"/>
          <w:iCs w:val="0"/>
          <w:szCs w:val="24"/>
        </w:rPr>
        <w:t xml:space="preserve">of native vegetation on a Mollisol after &gt;100 years of annual cropping to gain a </w:t>
      </w:r>
      <w:r w:rsidR="00A66BC2">
        <w:rPr>
          <w:rFonts w:cs="Times New Roman"/>
          <w:b w:val="0"/>
          <w:bCs w:val="0"/>
          <w:iCs w:val="0"/>
          <w:szCs w:val="24"/>
        </w:rPr>
        <w:t>new</w:t>
      </w:r>
      <w:r w:rsidRPr="00DC393C">
        <w:rPr>
          <w:rFonts w:cs="Times New Roman"/>
          <w:b w:val="0"/>
          <w:bCs w:val="0"/>
          <w:iCs w:val="0"/>
          <w:szCs w:val="24"/>
        </w:rPr>
        <w:t xml:space="preserv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w:t>
      </w:r>
      <w:r w:rsidR="007227BD">
        <w:rPr>
          <w:rFonts w:cs="Times New Roman"/>
          <w:b w:val="0"/>
          <w:bCs w:val="0"/>
          <w:iCs w:val="0"/>
          <w:szCs w:val="24"/>
        </w:rPr>
        <w:t xml:space="preserve"> based on root </w:t>
      </w:r>
      <w:r w:rsidR="00330B7C">
        <w:rPr>
          <w:rFonts w:cs="Times New Roman"/>
          <w:b w:val="0"/>
          <w:bCs w:val="0"/>
          <w:iCs w:val="0"/>
          <w:szCs w:val="24"/>
        </w:rPr>
        <w:t>distribution</w:t>
      </w:r>
      <w:r w:rsidRPr="00DC393C">
        <w:rPr>
          <w:rFonts w:cs="Times New Roman"/>
          <w:b w:val="0"/>
          <w:bCs w:val="0"/>
          <w:iCs w:val="0"/>
          <w:szCs w:val="24"/>
        </w:rPr>
        <w:t xml:space="preserve">.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differences in inputs tell us about the </w:t>
      </w:r>
      <w:r w:rsidR="00007608">
        <w:rPr>
          <w:rFonts w:cs="Times New Roman"/>
          <w:b w:val="0"/>
          <w:bCs w:val="0"/>
          <w:iCs w:val="0"/>
          <w:szCs w:val="24"/>
        </w:rPr>
        <w:t xml:space="preserve">differing effects of the </w:t>
      </w:r>
      <w:r w:rsidR="00A66BC2">
        <w:rPr>
          <w:rFonts w:cs="Times New Roman"/>
          <w:b w:val="0"/>
          <w:bCs w:val="0"/>
          <w:iCs w:val="0"/>
          <w:szCs w:val="24"/>
        </w:rPr>
        <w:t>perennial prairie</w:t>
      </w:r>
      <w:r w:rsidRPr="00DC393C">
        <w:rPr>
          <w:rFonts w:cs="Times New Roman"/>
          <w:b w:val="0"/>
          <w:bCs w:val="0"/>
          <w:iCs w:val="0"/>
          <w:szCs w:val="24"/>
        </w:rPr>
        <w:t xml:space="preserve"> ecosystem under which these soils developed and the </w:t>
      </w:r>
      <w:r w:rsidR="00A66BC2">
        <w:rPr>
          <w:rFonts w:cs="Times New Roman"/>
          <w:b w:val="0"/>
          <w:bCs w:val="0"/>
          <w:iCs w:val="0"/>
          <w:szCs w:val="24"/>
        </w:rPr>
        <w:t xml:space="preserve">annual cropping </w:t>
      </w:r>
      <w:r w:rsidRPr="00DC393C">
        <w:rPr>
          <w:rFonts w:cs="Times New Roman"/>
          <w:b w:val="0"/>
          <w:bCs w:val="0"/>
          <w:iCs w:val="0"/>
          <w:szCs w:val="24"/>
        </w:rPr>
        <w:t>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w:t>
      </w:r>
      <w:r w:rsidRPr="00B57DB5">
        <w:rPr>
          <w:rFonts w:cs="Times New Roman"/>
          <w:b w:val="0"/>
          <w:bCs w:val="0"/>
          <w:szCs w:val="24"/>
        </w:rPr>
        <w:lastRenderedPageBreak/>
        <w:t>soybean production and was planted with soybean in 2007. Soil sampling to 15 cm in November 2007 indicated mean soil pH was 6.7, mean soil C concentration (via dry combustion analysis) was 30 g kg</w:t>
      </w:r>
      <w:r w:rsidRPr="00CC65A8">
        <w:rPr>
          <w:rFonts w:cs="Times New Roman"/>
          <w:b w:val="0"/>
          <w:bCs w:val="0"/>
          <w:szCs w:val="24"/>
          <w:vertAlign w:val="superscript"/>
        </w:rPr>
        <w:t>-1</w:t>
      </w:r>
      <w:r w:rsidRPr="00B57DB5">
        <w:rPr>
          <w:rFonts w:cs="Times New Roman"/>
          <w:b w:val="0"/>
          <w:bCs w:val="0"/>
          <w:szCs w:val="24"/>
        </w:rPr>
        <w:t>, mean extractable phosphorus concentration (via Bray-1 procedure) was 11 mg kg</w:t>
      </w:r>
      <w:r w:rsidRPr="000071EB">
        <w:rPr>
          <w:rFonts w:cs="Times New Roman"/>
          <w:b w:val="0"/>
          <w:bCs w:val="0"/>
          <w:szCs w:val="24"/>
          <w:vertAlign w:val="superscript"/>
        </w:rPr>
        <w:t>-1</w:t>
      </w:r>
      <w:r w:rsidRPr="00B57DB5">
        <w:rPr>
          <w:rFonts w:cs="Times New Roman"/>
          <w:b w:val="0"/>
          <w:bCs w:val="0"/>
          <w:szCs w:val="24"/>
        </w:rPr>
        <w:t>, and mean extractable potassium (via Mehlich-3 procedure) was 141 mg kg</w:t>
      </w:r>
      <w:r w:rsidRPr="00CC65A8">
        <w:rPr>
          <w:rFonts w:cs="Times New Roman"/>
          <w:b w:val="0"/>
          <w:bCs w:val="0"/>
          <w:szCs w:val="24"/>
          <w:vertAlign w:val="superscript"/>
        </w:rPr>
        <w:t>-1</w:t>
      </w:r>
      <w:r w:rsidRPr="00B57DB5">
        <w:rPr>
          <w:rFonts w:cs="Times New Roman"/>
          <w:b w:val="0"/>
          <w:bCs w:val="0"/>
          <w:szCs w:val="24"/>
        </w:rPr>
        <w:t xml:space="preserve">. </w:t>
      </w:r>
    </w:p>
    <w:p w14:paraId="30061A97" w14:textId="6590932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Experimental plots were 27 m x 61 m</w:t>
      </w:r>
      <w:r w:rsidR="00A66BC2">
        <w:rPr>
          <w:rFonts w:cs="Times New Roman"/>
          <w:b w:val="0"/>
          <w:bCs w:val="0"/>
          <w:szCs w:val="24"/>
        </w:rPr>
        <w:t>, replicated 4 times,</w:t>
      </w:r>
      <w:r w:rsidRPr="00B57DB5">
        <w:rPr>
          <w:rFonts w:cs="Times New Roman"/>
          <w:b w:val="0"/>
          <w:bCs w:val="0"/>
          <w:szCs w:val="24"/>
        </w:rPr>
        <w:t xml:space="preserve">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r w:rsidRPr="00CC65A8">
        <w:rPr>
          <w:rFonts w:cs="Times New Roman"/>
          <w:b w:val="0"/>
          <w:bCs w:val="0"/>
          <w:i/>
          <w:szCs w:val="24"/>
        </w:rPr>
        <w:t>Circium canadense</w:t>
      </w:r>
      <w:r w:rsidRPr="00B57DB5">
        <w:rPr>
          <w:rFonts w:cs="Times New Roman"/>
          <w:b w:val="0"/>
          <w:bCs w:val="0"/>
          <w:szCs w:val="24"/>
        </w:rPr>
        <w:t xml:space="preserve">) control, and the timing and frequency of herbicide use in the annual cropping systems varied among treatments.  </w:t>
      </w:r>
    </w:p>
    <w:p w14:paraId="53FB7EAD" w14:textId="2DBEA9BB"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w:t>
      </w:r>
      <w:r w:rsidR="00A756DA">
        <w:rPr>
          <w:rFonts w:cs="Times New Roman"/>
          <w:b w:val="0"/>
          <w:bCs w:val="0"/>
          <w:szCs w:val="24"/>
        </w:rPr>
        <w:t xml:space="preserve">The </w:t>
      </w:r>
      <w:r w:rsidRPr="00B57DB5">
        <w:rPr>
          <w:rFonts w:cs="Times New Roman"/>
          <w:b w:val="0"/>
          <w:bCs w:val="0"/>
          <w:szCs w:val="24"/>
        </w:rPr>
        <w:t>fertilized prairie treatment received no fertilizer in 2008 (the establishment year), but was fertilized at a rate of 84 kg N ha</w:t>
      </w:r>
      <w:r w:rsidRPr="00A756DA">
        <w:rPr>
          <w:rFonts w:cs="Times New Roman"/>
          <w:b w:val="0"/>
          <w:bCs w:val="0"/>
          <w:szCs w:val="24"/>
          <w:vertAlign w:val="superscript"/>
        </w:rPr>
        <w:t>-1</w:t>
      </w:r>
      <w:r w:rsidRPr="00B57DB5">
        <w:rPr>
          <w:rFonts w:cs="Times New Roman"/>
          <w:b w:val="0"/>
          <w:bCs w:val="0"/>
          <w:szCs w:val="24"/>
        </w:rPr>
        <w:t xml:space="preserve"> year</w:t>
      </w:r>
      <w:r w:rsidRPr="00A756DA">
        <w:rPr>
          <w:rFonts w:cs="Times New Roman"/>
          <w:b w:val="0"/>
          <w:bCs w:val="0"/>
          <w:szCs w:val="24"/>
          <w:vertAlign w:val="superscript"/>
        </w:rPr>
        <w:t>-1</w:t>
      </w:r>
      <w:r w:rsidRPr="00B57DB5">
        <w:rPr>
          <w:rFonts w:cs="Times New Roman"/>
          <w:b w:val="0"/>
          <w:bCs w:val="0"/>
          <w:szCs w:val="24"/>
        </w:rPr>
        <w:t xml:space="preserve"> in all subsequent years.  This fertilizer rate was chosen because it was similar to the maximum rate of pre-planting N fertilization recommended for maize (Blackmer et al., 1997) and the expected N removal in the harvested biomass of perennial grasses grown in the area (Heggenstaller et al., 2009).  </w:t>
      </w:r>
    </w:p>
    <w:p w14:paraId="7237936D" w14:textId="13F7CC62" w:rsidR="00B57DB5" w:rsidRPr="00641571" w:rsidRDefault="00B57DB5" w:rsidP="00B57DB5">
      <w:pPr>
        <w:pStyle w:val="Heading3"/>
        <w:spacing w:line="360" w:lineRule="auto"/>
        <w:rPr>
          <w:rFonts w:cs="Times New Roman"/>
          <w:b w:val="0"/>
          <w:bCs w:val="0"/>
          <w:szCs w:val="24"/>
        </w:rPr>
      </w:pPr>
      <w:r w:rsidRPr="00641571">
        <w:rPr>
          <w:rFonts w:cs="Times New Roman"/>
          <w:b w:val="0"/>
          <w:bCs w:val="0"/>
          <w:szCs w:val="24"/>
        </w:rPr>
        <w:t xml:space="preserve">The maize used was a 104-day relative maturity hybrid </w:t>
      </w:r>
      <w:r w:rsidR="005B4236" w:rsidRPr="00641571">
        <w:rPr>
          <w:rFonts w:cs="Times New Roman"/>
          <w:b w:val="0"/>
          <w:bCs w:val="0"/>
          <w:szCs w:val="24"/>
        </w:rPr>
        <w:t>(Agrigold 6325 VT3</w:t>
      </w:r>
      <w:r w:rsidR="005B4236">
        <w:rPr>
          <w:rFonts w:cs="Times New Roman"/>
          <w:b w:val="0"/>
          <w:bCs w:val="0"/>
          <w:szCs w:val="24"/>
        </w:rPr>
        <w:t xml:space="preserve">) </w:t>
      </w:r>
      <w:r w:rsidRPr="00641571">
        <w:rPr>
          <w:rFonts w:cs="Times New Roman"/>
          <w:b w:val="0"/>
          <w:bCs w:val="0"/>
          <w:szCs w:val="24"/>
        </w:rPr>
        <w:t>with transgenes for glyphosate resistance, corn borer (</w:t>
      </w:r>
      <w:r w:rsidRPr="00CC65A8">
        <w:rPr>
          <w:rFonts w:cs="Times New Roman"/>
          <w:b w:val="0"/>
          <w:bCs w:val="0"/>
          <w:i/>
          <w:szCs w:val="24"/>
        </w:rPr>
        <w:t>Ostrinia nubilalis</w:t>
      </w:r>
      <w:r w:rsidRPr="00641571">
        <w:rPr>
          <w:rFonts w:cs="Times New Roman"/>
          <w:b w:val="0"/>
          <w:bCs w:val="0"/>
          <w:szCs w:val="24"/>
        </w:rPr>
        <w:t>) resistance, and corn rootworm (</w:t>
      </w:r>
      <w:r w:rsidRPr="00CC65A8">
        <w:rPr>
          <w:rFonts w:cs="Times New Roman"/>
          <w:b w:val="0"/>
          <w:bCs w:val="0"/>
          <w:i/>
          <w:szCs w:val="24"/>
        </w:rPr>
        <w:t>Diabrotica</w:t>
      </w:r>
      <w:r w:rsidRPr="00641571">
        <w:rPr>
          <w:rFonts w:cs="Times New Roman"/>
          <w:b w:val="0"/>
          <w:bCs w:val="0"/>
          <w:szCs w:val="24"/>
        </w:rPr>
        <w:t xml:space="preserve"> spp.) protection</w:t>
      </w:r>
      <w:r w:rsidR="0011126F" w:rsidRPr="00641571">
        <w:rPr>
          <w:rFonts w:cs="Times New Roman"/>
          <w:b w:val="0"/>
          <w:bCs w:val="0"/>
          <w:szCs w:val="24"/>
        </w:rPr>
        <w:t>.</w:t>
      </w:r>
      <w:r w:rsidRPr="00641571">
        <w:rPr>
          <w:rFonts w:cs="Times New Roman"/>
          <w:b w:val="0"/>
          <w:bCs w:val="0"/>
          <w:szCs w:val="24"/>
        </w:rPr>
        <w:t xml:space="preserve">  Maize was planted following standard practices (Abendroth et al., 2011) in rows spaced 76 cm apart at </w:t>
      </w:r>
      <w:r w:rsidR="0011126F" w:rsidRPr="00641571">
        <w:rPr>
          <w:rFonts w:cs="Times New Roman"/>
          <w:b w:val="0"/>
          <w:bCs w:val="0"/>
          <w:szCs w:val="24"/>
        </w:rPr>
        <w:t xml:space="preserve">a seeding rate between </w:t>
      </w:r>
      <w:r w:rsidRPr="00641571">
        <w:rPr>
          <w:rFonts w:cs="Times New Roman"/>
          <w:b w:val="0"/>
          <w:bCs w:val="0"/>
          <w:szCs w:val="24"/>
        </w:rPr>
        <w:t>79,500 seeds ha</w:t>
      </w:r>
      <w:r w:rsidRPr="00641571">
        <w:rPr>
          <w:rFonts w:cs="Times New Roman"/>
          <w:b w:val="0"/>
          <w:bCs w:val="0"/>
          <w:szCs w:val="24"/>
          <w:vertAlign w:val="superscript"/>
        </w:rPr>
        <w:t>-1</w:t>
      </w:r>
      <w:r w:rsidRPr="00641571">
        <w:rPr>
          <w:rFonts w:cs="Times New Roman"/>
          <w:b w:val="0"/>
          <w:bCs w:val="0"/>
          <w:szCs w:val="24"/>
        </w:rPr>
        <w:t xml:space="preserve"> and 82,500 seeds ha</w:t>
      </w:r>
      <w:r w:rsidRPr="00641571">
        <w:rPr>
          <w:rFonts w:cs="Times New Roman"/>
          <w:b w:val="0"/>
          <w:bCs w:val="0"/>
          <w:szCs w:val="24"/>
          <w:vertAlign w:val="superscript"/>
        </w:rPr>
        <w:t>-1</w:t>
      </w:r>
      <w:r w:rsidR="0011126F" w:rsidRPr="00641571">
        <w:rPr>
          <w:rFonts w:cs="Times New Roman"/>
          <w:b w:val="0"/>
          <w:bCs w:val="0"/>
          <w:szCs w:val="24"/>
        </w:rPr>
        <w:t>, depending on the year</w:t>
      </w:r>
      <w:r w:rsidRPr="00641571">
        <w:rPr>
          <w:rFonts w:cs="Times New Roman"/>
          <w:b w:val="0"/>
          <w:bCs w:val="0"/>
          <w:szCs w:val="24"/>
        </w:rPr>
        <w:t xml:space="preserve">.  Fertilizer </w:t>
      </w:r>
      <w:r w:rsidR="00641571" w:rsidRPr="00641571">
        <w:rPr>
          <w:rFonts w:cs="Times New Roman"/>
          <w:b w:val="0"/>
          <w:bCs w:val="0"/>
          <w:szCs w:val="24"/>
        </w:rPr>
        <w:t xml:space="preserve">rates </w:t>
      </w:r>
      <w:r w:rsidR="005B4236">
        <w:rPr>
          <w:rFonts w:cs="Times New Roman"/>
          <w:b w:val="0"/>
          <w:bCs w:val="0"/>
          <w:szCs w:val="24"/>
        </w:rPr>
        <w:t xml:space="preserve">for corn were based on soil testing results (Blackmer et al. 1997) and </w:t>
      </w:r>
      <w:r w:rsidR="00641571" w:rsidRPr="00641571">
        <w:rPr>
          <w:rFonts w:cs="Times New Roman"/>
          <w:b w:val="0"/>
          <w:bCs w:val="0"/>
          <w:szCs w:val="24"/>
        </w:rPr>
        <w:t>varied from 123 to 200 kg</w:t>
      </w:r>
      <w:r w:rsidR="00641571">
        <w:rPr>
          <w:rFonts w:cs="Times New Roman"/>
          <w:b w:val="0"/>
          <w:bCs w:val="0"/>
          <w:szCs w:val="24"/>
        </w:rPr>
        <w:t xml:space="preserve"> N</w:t>
      </w:r>
      <w:r w:rsidR="00641571" w:rsidRPr="00641571">
        <w:rPr>
          <w:rFonts w:cs="Times New Roman"/>
          <w:b w:val="0"/>
          <w:bCs w:val="0"/>
          <w:szCs w:val="24"/>
        </w:rPr>
        <w:t xml:space="preserve"> ha</w:t>
      </w:r>
      <w:r w:rsidR="00641571" w:rsidRPr="00CC65A8">
        <w:rPr>
          <w:rFonts w:cs="Times New Roman"/>
          <w:b w:val="0"/>
          <w:bCs w:val="0"/>
          <w:szCs w:val="24"/>
          <w:vertAlign w:val="superscript"/>
        </w:rPr>
        <w:t>-1</w:t>
      </w:r>
      <w:r w:rsidR="00641571" w:rsidRPr="00641571">
        <w:rPr>
          <w:rFonts w:cs="Times New Roman"/>
          <w:b w:val="0"/>
          <w:bCs w:val="0"/>
          <w:szCs w:val="24"/>
        </w:rPr>
        <w:t>, depending on the year</w:t>
      </w:r>
      <w:r w:rsidRPr="00641571">
        <w:rPr>
          <w:rFonts w:cs="Times New Roman"/>
          <w:b w:val="0"/>
          <w:bCs w:val="0"/>
          <w:szCs w:val="24"/>
        </w:rPr>
        <w:t xml:space="preserve">.  </w:t>
      </w: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0A744D6D"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w:t>
      </w:r>
      <w:r w:rsidR="007C62D8">
        <w:rPr>
          <w:rFonts w:cs="Times New Roman"/>
          <w:b w:val="0"/>
          <w:bCs w:val="0"/>
          <w:szCs w:val="24"/>
        </w:rPr>
        <w:t>November</w:t>
      </w:r>
      <w:r w:rsidRPr="00B57DB5">
        <w:rPr>
          <w:rFonts w:cs="Times New Roman"/>
          <w:b w:val="0"/>
          <w:bCs w:val="0"/>
          <w:szCs w:val="24"/>
        </w:rPr>
        <w:t xml:space="preserve"> 2013. </w:t>
      </w:r>
    </w:p>
    <w:p w14:paraId="124A5356" w14:textId="360F8AD5"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w:t>
      </w:r>
      <w:r w:rsidR="000834F6">
        <w:rPr>
          <w:rFonts w:cs="Times New Roman"/>
          <w:b w:val="0"/>
          <w:bCs w:val="0"/>
          <w:szCs w:val="24"/>
        </w:rPr>
        <w:t xml:space="preserve">  </w:t>
      </w:r>
      <w:r w:rsidRPr="00B57DB5">
        <w:rPr>
          <w:rFonts w:cs="Times New Roman"/>
          <w:b w:val="0"/>
          <w:bCs w:val="0"/>
          <w:szCs w:val="24"/>
        </w:rPr>
        <w:t xml:space="preserve">In 2009 and 2010, four cores were taken per plot.  The 0-30 cm fraction of the cores was taken with a 10.2 cm internal diameter soil probe; the 30-100 cm fractions </w:t>
      </w:r>
      <w:r w:rsidRPr="00B57DB5">
        <w:rPr>
          <w:rFonts w:cs="Times New Roman"/>
          <w:b w:val="0"/>
          <w:bCs w:val="0"/>
          <w:szCs w:val="24"/>
        </w:rPr>
        <w:lastRenderedPageBreak/>
        <w:t xml:space="preserve">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Each year, 60-100 g of root-free soil was removed from each depth increment, air-dried, and archived in airtight containers at room temperature. In 2008 and 2013, this soil was ground on a roller-mill and organic C content was determined by catalytic oxidation and CO</w:t>
      </w:r>
      <w:r w:rsidRPr="00CB4D76">
        <w:rPr>
          <w:rFonts w:cs="Times New Roman"/>
          <w:b w:val="0"/>
          <w:bCs w:val="0"/>
          <w:szCs w:val="24"/>
          <w:vertAlign w:val="subscript"/>
        </w:rPr>
        <w:t>2</w:t>
      </w:r>
      <w:r w:rsidRPr="00B57DB5">
        <w:rPr>
          <w:rFonts w:cs="Times New Roman"/>
          <w:b w:val="0"/>
          <w:bCs w:val="0"/>
          <w:szCs w:val="24"/>
        </w:rPr>
        <w:t xml:space="preserve">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2ACB06DF"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Two sets of root pool measurements were collected: a) end-of-season root </w:t>
      </w:r>
      <w:r w:rsidR="00794933">
        <w:rPr>
          <w:rFonts w:cs="Times New Roman"/>
          <w:b w:val="0"/>
          <w:bCs w:val="0"/>
          <w:szCs w:val="24"/>
        </w:rPr>
        <w:t>measurements</w:t>
      </w:r>
      <w:r w:rsidRPr="00B57DB5">
        <w:rPr>
          <w:rFonts w:cs="Times New Roman"/>
          <w:b w:val="0"/>
          <w:bCs w:val="0"/>
          <w:szCs w:val="24"/>
        </w:rPr>
        <w:t xml:space="preserve"> for each year (depth 0 to 100 cm) and b) in-season root measurements during 2010 and 2011 (depth 0-30 cm). The first, described in this section, was used to track changes in the root C pools over all six years and the second, described in section 2.2</w:t>
      </w:r>
      <w:r w:rsidR="00CB4D76">
        <w:rPr>
          <w:rFonts w:cs="Times New Roman"/>
          <w:b w:val="0"/>
          <w:bCs w:val="0"/>
          <w:szCs w:val="24"/>
        </w:rPr>
        <w:t>.3</w:t>
      </w:r>
      <w:r w:rsidRPr="00B57DB5">
        <w:rPr>
          <w:rFonts w:cs="Times New Roman"/>
          <w:b w:val="0"/>
          <w:bCs w:val="0"/>
          <w:szCs w:val="24"/>
        </w:rPr>
        <w:t>, was used to quantify annual root C contributions in 2010 and 2011.</w:t>
      </w:r>
    </w:p>
    <w:p w14:paraId="09067AEE" w14:textId="4E1C26F4" w:rsidR="00B57DB5" w:rsidRDefault="00B57DB5" w:rsidP="00B57DB5">
      <w:pPr>
        <w:pStyle w:val="Heading3"/>
        <w:spacing w:line="360" w:lineRule="auto"/>
        <w:rPr>
          <w:rFonts w:cs="Times New Roman"/>
          <w:b w:val="0"/>
          <w:bCs w:val="0"/>
          <w:szCs w:val="24"/>
        </w:rPr>
      </w:pPr>
      <w:r w:rsidRPr="00B57DB5">
        <w:rPr>
          <w:rFonts w:cs="Times New Roman"/>
          <w:b w:val="0"/>
          <w:bCs w:val="0"/>
          <w:szCs w:val="24"/>
        </w:rPr>
        <w:t>Root extraction from the soil began by washing the soil samples described in 2.2</w:t>
      </w:r>
      <w:r w:rsidR="00CB4D76">
        <w:rPr>
          <w:rFonts w:cs="Times New Roman"/>
          <w:b w:val="0"/>
          <w:bCs w:val="0"/>
          <w:szCs w:val="24"/>
        </w:rPr>
        <w:t>.1</w:t>
      </w:r>
      <w:r w:rsidRPr="00B57DB5">
        <w:rPr>
          <w:rFonts w:cs="Times New Roman"/>
          <w:b w:val="0"/>
          <w:bCs w:val="0"/>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1D8EF60E"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w:t>
      </w:r>
      <w:r w:rsidR="00CC65A8">
        <w:rPr>
          <w:rFonts w:cs="Times New Roman"/>
          <w:b w:val="0"/>
          <w:bCs w:val="0"/>
          <w:szCs w:val="24"/>
        </w:rPr>
        <w:t xml:space="preserve"> (intended to be used for an incubation experiment)</w:t>
      </w:r>
      <w:r w:rsidRPr="00B57DB5">
        <w:rPr>
          <w:rFonts w:cs="Times New Roman"/>
          <w:b w:val="0"/>
          <w:bCs w:val="0"/>
          <w:szCs w:val="24"/>
        </w:rPr>
        <w:t xml:space="preserve">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1A0DC0">
        <w:rPr>
          <w:rFonts w:cs="Times New Roman"/>
          <w:b w:val="0"/>
          <w:bCs w:val="0"/>
          <w:szCs w:val="24"/>
          <w:vertAlign w:val="superscript"/>
        </w:rPr>
        <w:t>-3</w:t>
      </w:r>
      <w:r w:rsidRPr="00B57DB5">
        <w:rPr>
          <w:rFonts w:cs="Times New Roman"/>
          <w:b w:val="0"/>
          <w:bCs w:val="0"/>
          <w:szCs w:val="24"/>
        </w:rPr>
        <w:t xml:space="preserve">.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w:t>
      </w:r>
      <w:r w:rsidRPr="00B57DB5">
        <w:rPr>
          <w:rFonts w:cs="Times New Roman"/>
          <w:b w:val="0"/>
          <w:bCs w:val="0"/>
          <w:szCs w:val="24"/>
        </w:rPr>
        <w:lastRenderedPageBreak/>
        <w:t xml:space="preserve">depth at each root sampling date.  Bulk soil was washed from the roots with water 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3F6D83AF"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w:t>
      </w:r>
      <w:r w:rsidR="00545D37">
        <w:rPr>
          <w:rFonts w:cs="Times New Roman"/>
          <w:b w:val="0"/>
          <w:bCs w:val="0"/>
          <w:szCs w:val="24"/>
        </w:rPr>
        <w:t xml:space="preserve"> Block x treatment and block x trt x core interactions were treated as random effects</w:t>
      </w:r>
      <w:r w:rsidRPr="00B57DB5">
        <w:rPr>
          <w:rFonts w:cs="Times New Roman"/>
          <w:b w:val="0"/>
          <w:bCs w:val="0"/>
          <w:szCs w:val="24"/>
        </w:rPr>
        <w:t xml:space="preserve">.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6EBD5E9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Root mass measured at the end of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Model fits and comparisons were done using the R package nlme (Pinheiro et al. 2013)</w:t>
      </w:r>
      <w:r w:rsidR="00A66BC2">
        <w:rPr>
          <w:rFonts w:cs="Times New Roman"/>
          <w:b w:val="0"/>
          <w:bCs w:val="0"/>
          <w:szCs w:val="24"/>
        </w:rPr>
        <w:t xml:space="preserve"> and methods are explained in more detail by Pinheiro and Bates (2000)</w:t>
      </w:r>
      <w:r w:rsidRPr="00B57DB5">
        <w:rPr>
          <w:rFonts w:cs="Times New Roman"/>
          <w:b w:val="0"/>
          <w:bCs w:val="0"/>
          <w:szCs w:val="24"/>
        </w:rPr>
        <w:t>.</w:t>
      </w:r>
      <w:r w:rsidR="00A66BC2">
        <w:rPr>
          <w:rFonts w:cs="Times New Roman"/>
          <w:b w:val="0"/>
          <w:bCs w:val="0"/>
          <w:szCs w:val="24"/>
        </w:rPr>
        <w:t xml:space="preserve"> </w:t>
      </w:r>
      <w:r w:rsidRPr="00B57DB5">
        <w:rPr>
          <w:rFonts w:cs="Times New Roman"/>
          <w:b w:val="0"/>
          <w:bCs w:val="0"/>
          <w:szCs w:val="24"/>
        </w:rPr>
        <w:t xml:space="preserve">  </w:t>
      </w:r>
    </w:p>
    <w:p w14:paraId="46ECDD53" w14:textId="5ACE49FC"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w:t>
      </w:r>
      <w:r w:rsidR="00A66BC2">
        <w:rPr>
          <w:rFonts w:cs="Times New Roman"/>
          <w:b w:val="0"/>
          <w:bCs w:val="0"/>
          <w:szCs w:val="24"/>
        </w:rPr>
        <w:t>, or the net gain of root mass each day</w:t>
      </w:r>
      <w:r w:rsidRPr="00B57DB5">
        <w:rPr>
          <w:rFonts w:cs="Times New Roman"/>
          <w:b w:val="0"/>
          <w:bCs w:val="0"/>
          <w:szCs w:val="24"/>
        </w:rPr>
        <w:t>.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11D1716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00CC65A8">
        <w:rPr>
          <w:rFonts w:cs="Times New Roman"/>
          <w:b w:val="0"/>
          <w:bCs w:val="0"/>
          <w:szCs w:val="24"/>
        </w:rPr>
        <w:t xml:space="preserve">relative </w:t>
      </w:r>
      <w:r w:rsidRPr="00B57DB5">
        <w:rPr>
          <w:rFonts w:cs="Times New Roman"/>
          <w:b w:val="0"/>
          <w:bCs w:val="0"/>
          <w:szCs w:val="24"/>
        </w:rPr>
        <w:t>accumulation rates among treatments and soil depths. An average daily root mass accumulation rate was calculated by considering the period of possible root growth and decomposition to be between April 1st and November 30</w:t>
      </w:r>
      <w:r w:rsidRPr="000071EB">
        <w:rPr>
          <w:rFonts w:cs="Times New Roman"/>
          <w:b w:val="0"/>
          <w:bCs w:val="0"/>
          <w:szCs w:val="24"/>
          <w:vertAlign w:val="superscript"/>
        </w:rPr>
        <w:t>th</w:t>
      </w:r>
      <w:r w:rsidR="00794933">
        <w:rPr>
          <w:rFonts w:cs="Times New Roman"/>
          <w:b w:val="0"/>
          <w:bCs w:val="0"/>
          <w:szCs w:val="24"/>
        </w:rPr>
        <w:t xml:space="preserve"> (the approximate growing season)</w:t>
      </w:r>
      <w:r w:rsidRPr="00B57DB5">
        <w:rPr>
          <w:rFonts w:cs="Times New Roman"/>
          <w:b w:val="0"/>
          <w:bCs w:val="0"/>
          <w:szCs w:val="24"/>
        </w:rPr>
        <w:t xml:space="preserve"> of each year.    </w:t>
      </w:r>
    </w:p>
    <w:p w14:paraId="258BF542" w14:textId="32802AF3"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In-situ root measurements in 2010 and 2011 combined with differences in root pool masses at 30 cm over these years were used to calculate a root turnover constant (k) and root mean residence time (mrt) using the equations k = </w:t>
      </w:r>
      <w:r w:rsidR="00A70798">
        <w:rPr>
          <w:rFonts w:cs="Times New Roman"/>
          <w:b w:val="0"/>
          <w:bCs w:val="0"/>
          <w:szCs w:val="24"/>
        </w:rPr>
        <w:t>input</w:t>
      </w:r>
      <w:r w:rsidRPr="00B57DB5">
        <w:rPr>
          <w:rFonts w:cs="Times New Roman"/>
          <w:b w:val="0"/>
          <w:bCs w:val="0"/>
          <w:szCs w:val="24"/>
        </w:rPr>
        <w:t xml:space="preserve">/pool and mrt = 1/k.  Root </w:t>
      </w:r>
      <w:r w:rsidR="00A70798">
        <w:rPr>
          <w:rFonts w:cs="Times New Roman"/>
          <w:b w:val="0"/>
          <w:bCs w:val="0"/>
          <w:szCs w:val="24"/>
        </w:rPr>
        <w:t xml:space="preserve">input </w:t>
      </w:r>
      <w:r w:rsidR="00A70798">
        <w:rPr>
          <w:rFonts w:cs="Times New Roman"/>
          <w:b w:val="0"/>
          <w:bCs w:val="0"/>
          <w:szCs w:val="24"/>
        </w:rPr>
        <w:lastRenderedPageBreak/>
        <w:t>values were calculated from the in-situ growth cores and functional growth analysis described by Dietzel and Liebman (2015).</w:t>
      </w:r>
      <w:r w:rsidRPr="00B57DB5">
        <w:rPr>
          <w:rFonts w:cs="Times New Roman"/>
          <w:b w:val="0"/>
          <w:bCs w:val="0"/>
          <w:szCs w:val="24"/>
        </w:rPr>
        <w:t xml:space="preserve"> The root mass measured at the end of each year was the pool value.</w:t>
      </w:r>
    </w:p>
    <w:p w14:paraId="054CB42E" w14:textId="76636B6E" w:rsidR="00532388" w:rsidRDefault="00451A08" w:rsidP="00B57DB5">
      <w:pPr>
        <w:pStyle w:val="Heading3"/>
        <w:spacing w:line="360" w:lineRule="auto"/>
        <w:rPr>
          <w:rFonts w:cs="Times New Roman"/>
          <w:b w:val="0"/>
          <w:bCs w:val="0"/>
          <w:szCs w:val="24"/>
        </w:rPr>
      </w:pPr>
      <w:r>
        <w:rPr>
          <w:rFonts w:cs="Times New Roman"/>
          <w:b w:val="0"/>
          <w:bCs w:val="0"/>
          <w:szCs w:val="24"/>
        </w:rPr>
        <w:t>The height and volume of r</w:t>
      </w:r>
      <w:r w:rsidRPr="00B57DB5">
        <w:rPr>
          <w:rFonts w:cs="Times New Roman"/>
          <w:b w:val="0"/>
          <w:bCs w:val="0"/>
          <w:szCs w:val="24"/>
        </w:rPr>
        <w:t xml:space="preserve">oot </w:t>
      </w:r>
      <w:r w:rsidR="00B57DB5" w:rsidRPr="00B57DB5">
        <w:rPr>
          <w:rFonts w:cs="Times New Roman"/>
          <w:b w:val="0"/>
          <w:bCs w:val="0"/>
          <w:szCs w:val="24"/>
        </w:rPr>
        <w:t xml:space="preserve">samples </w:t>
      </w:r>
      <w:r>
        <w:rPr>
          <w:rFonts w:cs="Times New Roman"/>
          <w:b w:val="0"/>
          <w:bCs w:val="0"/>
          <w:szCs w:val="24"/>
        </w:rPr>
        <w:t xml:space="preserve">varied among </w:t>
      </w:r>
      <w:r w:rsidR="00B57DB5" w:rsidRPr="00B57DB5">
        <w:rPr>
          <w:rFonts w:cs="Times New Roman"/>
          <w:b w:val="0"/>
          <w:bCs w:val="0"/>
          <w:szCs w:val="24"/>
        </w:rPr>
        <w:t>depth increments, making visual comparisons among depths, such as 0-5 cm and 60-100 cm, difficult. Thus</w:t>
      </w:r>
      <w:r>
        <w:rPr>
          <w:rFonts w:cs="Times New Roman"/>
          <w:b w:val="0"/>
          <w:bCs w:val="0"/>
          <w:szCs w:val="24"/>
        </w:rPr>
        <w:t>,</w:t>
      </w:r>
      <w:r w:rsidR="00B57DB5" w:rsidRPr="00B57DB5">
        <w:rPr>
          <w:rFonts w:cs="Times New Roman"/>
          <w:b w:val="0"/>
          <w:bCs w:val="0"/>
          <w:szCs w:val="24"/>
        </w:rPr>
        <w:t xml:space="preserve"> splines were fit to the data and integrated by 5 cm depths to </w:t>
      </w:r>
      <w:r>
        <w:rPr>
          <w:rFonts w:cs="Times New Roman"/>
          <w:b w:val="0"/>
          <w:bCs w:val="0"/>
          <w:szCs w:val="24"/>
        </w:rPr>
        <w:t>facilitate</w:t>
      </w:r>
      <w:r w:rsidR="00B57DB5" w:rsidRPr="00B57DB5">
        <w:rPr>
          <w:rFonts w:cs="Times New Roman"/>
          <w:b w:val="0"/>
          <w:bCs w:val="0"/>
          <w:szCs w:val="24"/>
        </w:rPr>
        <w:t xml:space="preserv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3755F15D" w:rsidR="00532388" w:rsidRDefault="00554D80" w:rsidP="00554D80">
      <w:pPr>
        <w:ind w:left="1440"/>
        <w:jc w:val="left"/>
        <w:rPr>
          <w:szCs w:val="20"/>
        </w:rPr>
      </w:pPr>
      <w:r>
        <w:rPr>
          <w:szCs w:val="20"/>
        </w:rPr>
        <w:t xml:space="preserve">        </w:t>
      </w:r>
      <w:r w:rsidR="006C6BC4">
        <w:rPr>
          <w:szCs w:val="20"/>
        </w:rPr>
        <w:t xml:space="preserve">Table </w:t>
      </w:r>
      <w:r w:rsidR="008E35D4">
        <w:rPr>
          <w:szCs w:val="20"/>
        </w:rPr>
        <w:t>1</w:t>
      </w:r>
      <w:r w:rsidR="00532388" w:rsidRPr="00532388">
        <w:rPr>
          <w:szCs w:val="20"/>
        </w:rPr>
        <w:t>. Soil characteristics</w:t>
      </w:r>
      <w:r w:rsidR="0067549D">
        <w:rPr>
          <w:szCs w:val="20"/>
        </w:rPr>
        <w:t xml:space="preserve"> measured at the establishment of the experiment.</w:t>
      </w:r>
    </w:p>
    <w:tbl>
      <w:tblPr>
        <w:tblW w:w="0" w:type="pct"/>
        <w:jc w:val="center"/>
        <w:tblLook w:val="07E0" w:firstRow="1" w:lastRow="1" w:firstColumn="1" w:lastColumn="1" w:noHBand="1" w:noVBand="1"/>
      </w:tblPr>
      <w:tblGrid>
        <w:gridCol w:w="783"/>
        <w:gridCol w:w="1278"/>
        <w:gridCol w:w="566"/>
        <w:gridCol w:w="822"/>
        <w:gridCol w:w="833"/>
        <w:gridCol w:w="966"/>
        <w:gridCol w:w="844"/>
        <w:gridCol w:w="944"/>
      </w:tblGrid>
      <w:tr w:rsidR="001070FF" w14:paraId="24A9C74B" w14:textId="77777777" w:rsidTr="00554D80">
        <w:trPr>
          <w:jc w:val="center"/>
        </w:trPr>
        <w:tc>
          <w:tcPr>
            <w:tcW w:w="0" w:type="auto"/>
            <w:tcBorders>
              <w:top w:val="nil"/>
              <w:left w:val="nil"/>
              <w:bottom w:val="single" w:sz="4" w:space="0" w:color="auto"/>
              <w:right w:val="nil"/>
            </w:tcBorders>
            <w:vAlign w:val="center"/>
            <w:hideMark/>
          </w:tcPr>
          <w:p w14:paraId="5B65F948" w14:textId="77777777" w:rsidR="001070FF" w:rsidRPr="00B901D7" w:rsidRDefault="001070FF">
            <w:pPr>
              <w:pStyle w:val="Compact"/>
              <w:rPr>
                <w:sz w:val="20"/>
                <w:szCs w:val="20"/>
              </w:rPr>
            </w:pPr>
            <w:r w:rsidRPr="00B901D7">
              <w:rPr>
                <w:sz w:val="20"/>
                <w:szCs w:val="20"/>
              </w:rPr>
              <w:t>Depth</w:t>
            </w:r>
          </w:p>
        </w:tc>
        <w:tc>
          <w:tcPr>
            <w:tcW w:w="0" w:type="auto"/>
            <w:tcBorders>
              <w:top w:val="nil"/>
              <w:left w:val="nil"/>
              <w:bottom w:val="single" w:sz="4" w:space="0" w:color="auto"/>
              <w:right w:val="nil"/>
            </w:tcBorders>
            <w:vAlign w:val="center"/>
            <w:hideMark/>
          </w:tcPr>
          <w:p w14:paraId="1287DEBF" w14:textId="77777777" w:rsidR="001070FF" w:rsidRPr="00B901D7" w:rsidRDefault="008E35D4" w:rsidP="008E35D4">
            <w:pPr>
              <w:pStyle w:val="Compact"/>
              <w:jc w:val="center"/>
              <w:rPr>
                <w:sz w:val="20"/>
                <w:szCs w:val="20"/>
              </w:rPr>
            </w:pPr>
            <w:r w:rsidRPr="00B901D7">
              <w:rPr>
                <w:sz w:val="20"/>
                <w:szCs w:val="20"/>
              </w:rPr>
              <w:t>Bulk Density</w:t>
            </w:r>
          </w:p>
          <w:p w14:paraId="72191EB0" w14:textId="7858C16F" w:rsidR="008E35D4" w:rsidRPr="00B901D7" w:rsidRDefault="008E35D4" w:rsidP="008E35D4">
            <w:pPr>
              <w:pStyle w:val="Compact"/>
              <w:jc w:val="center"/>
              <w:rPr>
                <w:sz w:val="20"/>
                <w:szCs w:val="20"/>
              </w:rPr>
            </w:pPr>
            <w:r w:rsidRPr="00B901D7">
              <w:rPr>
                <w:sz w:val="20"/>
                <w:szCs w:val="20"/>
              </w:rPr>
              <w:t>(g cm</w:t>
            </w:r>
            <w:r w:rsidRPr="00B901D7">
              <w:rPr>
                <w:sz w:val="20"/>
                <w:szCs w:val="20"/>
                <w:vertAlign w:val="superscript"/>
              </w:rPr>
              <w:t>-3</w:t>
            </w:r>
            <w:r w:rsidRPr="00B901D7">
              <w:rPr>
                <w:sz w:val="20"/>
                <w:szCs w:val="20"/>
              </w:rPr>
              <w:t>)</w:t>
            </w:r>
          </w:p>
        </w:tc>
        <w:tc>
          <w:tcPr>
            <w:tcW w:w="0" w:type="auto"/>
            <w:tcBorders>
              <w:top w:val="nil"/>
              <w:left w:val="nil"/>
              <w:bottom w:val="single" w:sz="4" w:space="0" w:color="auto"/>
              <w:right w:val="nil"/>
            </w:tcBorders>
            <w:vAlign w:val="center"/>
            <w:hideMark/>
          </w:tcPr>
          <w:p w14:paraId="48BB367B" w14:textId="77777777" w:rsidR="001070FF" w:rsidRPr="00B901D7" w:rsidRDefault="001070FF" w:rsidP="008E35D4">
            <w:pPr>
              <w:pStyle w:val="Compact"/>
              <w:jc w:val="center"/>
              <w:rPr>
                <w:sz w:val="20"/>
                <w:szCs w:val="20"/>
              </w:rPr>
            </w:pPr>
            <w:r w:rsidRPr="00B901D7">
              <w:rPr>
                <w:sz w:val="20"/>
                <w:szCs w:val="20"/>
              </w:rPr>
              <w:t>pH</w:t>
            </w:r>
          </w:p>
        </w:tc>
        <w:tc>
          <w:tcPr>
            <w:tcW w:w="0" w:type="auto"/>
            <w:tcBorders>
              <w:top w:val="nil"/>
              <w:left w:val="nil"/>
              <w:bottom w:val="single" w:sz="4" w:space="0" w:color="auto"/>
              <w:right w:val="nil"/>
            </w:tcBorders>
            <w:vAlign w:val="center"/>
            <w:hideMark/>
          </w:tcPr>
          <w:p w14:paraId="1C0217C3" w14:textId="77777777" w:rsidR="001070FF" w:rsidRPr="00B901D7" w:rsidRDefault="008E35D4" w:rsidP="008E35D4">
            <w:pPr>
              <w:pStyle w:val="Compact"/>
              <w:jc w:val="center"/>
              <w:rPr>
                <w:sz w:val="20"/>
                <w:szCs w:val="20"/>
              </w:rPr>
            </w:pPr>
            <w:r w:rsidRPr="00B901D7">
              <w:rPr>
                <w:sz w:val="20"/>
                <w:szCs w:val="20"/>
              </w:rPr>
              <w:t>Total C</w:t>
            </w:r>
          </w:p>
          <w:p w14:paraId="5125DFEE" w14:textId="63C8AD08"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07AC4590" w14:textId="77777777" w:rsidR="001070FF" w:rsidRPr="00B901D7" w:rsidRDefault="001070FF" w:rsidP="008E35D4">
            <w:pPr>
              <w:pStyle w:val="Compact"/>
              <w:jc w:val="center"/>
              <w:rPr>
                <w:sz w:val="20"/>
                <w:szCs w:val="20"/>
              </w:rPr>
            </w:pPr>
            <w:r w:rsidRPr="00B901D7">
              <w:rPr>
                <w:sz w:val="20"/>
                <w:szCs w:val="20"/>
              </w:rPr>
              <w:t>T</w:t>
            </w:r>
            <w:r w:rsidR="008E35D4" w:rsidRPr="00B901D7">
              <w:rPr>
                <w:sz w:val="20"/>
                <w:szCs w:val="20"/>
              </w:rPr>
              <w:t>otal N</w:t>
            </w:r>
          </w:p>
          <w:p w14:paraId="350C7FBC" w14:textId="169CE25B"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3B8D13B5" w14:textId="4E80E400" w:rsidR="001070FF" w:rsidRPr="00B901D7" w:rsidRDefault="008E35D4" w:rsidP="008E35D4">
            <w:pPr>
              <w:pStyle w:val="Compact"/>
              <w:jc w:val="center"/>
              <w:rPr>
                <w:sz w:val="20"/>
                <w:szCs w:val="20"/>
              </w:rPr>
            </w:pPr>
            <w:r w:rsidRPr="00B901D7">
              <w:rPr>
                <w:sz w:val="20"/>
                <w:szCs w:val="20"/>
              </w:rPr>
              <w:t>Sand (%)</w:t>
            </w:r>
          </w:p>
        </w:tc>
        <w:tc>
          <w:tcPr>
            <w:tcW w:w="0" w:type="auto"/>
            <w:tcBorders>
              <w:top w:val="nil"/>
              <w:left w:val="nil"/>
              <w:bottom w:val="single" w:sz="4" w:space="0" w:color="auto"/>
              <w:right w:val="nil"/>
            </w:tcBorders>
            <w:vAlign w:val="center"/>
            <w:hideMark/>
          </w:tcPr>
          <w:p w14:paraId="2E39DA60" w14:textId="54121E9D" w:rsidR="001070FF" w:rsidRPr="00B901D7" w:rsidRDefault="008E35D4" w:rsidP="008E35D4">
            <w:pPr>
              <w:pStyle w:val="Compact"/>
              <w:jc w:val="center"/>
              <w:rPr>
                <w:sz w:val="20"/>
                <w:szCs w:val="20"/>
              </w:rPr>
            </w:pPr>
            <w:r w:rsidRPr="00B901D7">
              <w:rPr>
                <w:sz w:val="20"/>
                <w:szCs w:val="20"/>
              </w:rPr>
              <w:t>Silt (%)</w:t>
            </w:r>
          </w:p>
        </w:tc>
        <w:tc>
          <w:tcPr>
            <w:tcW w:w="0" w:type="auto"/>
            <w:tcBorders>
              <w:top w:val="nil"/>
              <w:left w:val="nil"/>
              <w:bottom w:val="single" w:sz="4" w:space="0" w:color="auto"/>
              <w:right w:val="nil"/>
            </w:tcBorders>
            <w:vAlign w:val="center"/>
            <w:hideMark/>
          </w:tcPr>
          <w:p w14:paraId="7C7B639F" w14:textId="68B69B9B" w:rsidR="001070FF" w:rsidRPr="00B901D7" w:rsidRDefault="008E35D4" w:rsidP="008E35D4">
            <w:pPr>
              <w:pStyle w:val="Compact"/>
              <w:jc w:val="center"/>
              <w:rPr>
                <w:sz w:val="20"/>
                <w:szCs w:val="20"/>
              </w:rPr>
            </w:pPr>
            <w:r w:rsidRPr="00B901D7">
              <w:rPr>
                <w:sz w:val="20"/>
                <w:szCs w:val="20"/>
              </w:rPr>
              <w:t>Clay (%)</w:t>
            </w:r>
          </w:p>
        </w:tc>
      </w:tr>
      <w:tr w:rsidR="001070FF" w14:paraId="2A109F74" w14:textId="77777777" w:rsidTr="00554D80">
        <w:trPr>
          <w:jc w:val="center"/>
        </w:trPr>
        <w:tc>
          <w:tcPr>
            <w:tcW w:w="0" w:type="auto"/>
            <w:tcBorders>
              <w:top w:val="single" w:sz="4" w:space="0" w:color="auto"/>
            </w:tcBorders>
            <w:hideMark/>
          </w:tcPr>
          <w:p w14:paraId="204F5DE4" w14:textId="77777777" w:rsidR="001070FF" w:rsidRPr="00B901D7" w:rsidRDefault="001070FF">
            <w:pPr>
              <w:pStyle w:val="Compact"/>
              <w:rPr>
                <w:sz w:val="20"/>
                <w:szCs w:val="20"/>
              </w:rPr>
            </w:pPr>
            <w:r w:rsidRPr="00B901D7">
              <w:rPr>
                <w:sz w:val="20"/>
                <w:szCs w:val="20"/>
              </w:rPr>
              <w:t>0-5</w:t>
            </w:r>
          </w:p>
        </w:tc>
        <w:tc>
          <w:tcPr>
            <w:tcW w:w="0" w:type="auto"/>
            <w:tcBorders>
              <w:top w:val="single" w:sz="4" w:space="0" w:color="auto"/>
            </w:tcBorders>
            <w:hideMark/>
          </w:tcPr>
          <w:p w14:paraId="1FD1BEE9" w14:textId="77777777" w:rsidR="001070FF" w:rsidRPr="00B901D7" w:rsidRDefault="001070FF" w:rsidP="008E35D4">
            <w:pPr>
              <w:pStyle w:val="Compact"/>
              <w:jc w:val="center"/>
              <w:rPr>
                <w:sz w:val="20"/>
                <w:szCs w:val="20"/>
              </w:rPr>
            </w:pPr>
            <w:r w:rsidRPr="00B901D7">
              <w:rPr>
                <w:sz w:val="20"/>
                <w:szCs w:val="20"/>
              </w:rPr>
              <w:t>1.28</w:t>
            </w:r>
          </w:p>
        </w:tc>
        <w:tc>
          <w:tcPr>
            <w:tcW w:w="0" w:type="auto"/>
            <w:tcBorders>
              <w:top w:val="single" w:sz="4" w:space="0" w:color="auto"/>
            </w:tcBorders>
            <w:hideMark/>
          </w:tcPr>
          <w:p w14:paraId="4C95A445" w14:textId="77777777" w:rsidR="001070FF" w:rsidRPr="00B901D7" w:rsidRDefault="001070FF">
            <w:pPr>
              <w:pStyle w:val="Compact"/>
              <w:jc w:val="right"/>
              <w:rPr>
                <w:sz w:val="20"/>
                <w:szCs w:val="20"/>
              </w:rPr>
            </w:pPr>
            <w:r w:rsidRPr="00B901D7">
              <w:rPr>
                <w:sz w:val="20"/>
                <w:szCs w:val="20"/>
              </w:rPr>
              <w:t>6.36</w:t>
            </w:r>
          </w:p>
        </w:tc>
        <w:tc>
          <w:tcPr>
            <w:tcW w:w="0" w:type="auto"/>
            <w:tcBorders>
              <w:top w:val="single" w:sz="4" w:space="0" w:color="auto"/>
            </w:tcBorders>
            <w:hideMark/>
          </w:tcPr>
          <w:p w14:paraId="23CBCAAD" w14:textId="77777777" w:rsidR="001070FF" w:rsidRPr="00B901D7" w:rsidRDefault="001070FF">
            <w:pPr>
              <w:pStyle w:val="Compact"/>
              <w:jc w:val="right"/>
              <w:rPr>
                <w:sz w:val="20"/>
                <w:szCs w:val="20"/>
              </w:rPr>
            </w:pPr>
            <w:r w:rsidRPr="00B901D7">
              <w:rPr>
                <w:sz w:val="20"/>
                <w:szCs w:val="20"/>
              </w:rPr>
              <w:t>2.81</w:t>
            </w:r>
          </w:p>
        </w:tc>
        <w:tc>
          <w:tcPr>
            <w:tcW w:w="0" w:type="auto"/>
            <w:tcBorders>
              <w:top w:val="single" w:sz="4" w:space="0" w:color="auto"/>
            </w:tcBorders>
            <w:hideMark/>
          </w:tcPr>
          <w:p w14:paraId="5C2B1FFE" w14:textId="77777777" w:rsidR="001070FF" w:rsidRPr="00B901D7" w:rsidRDefault="001070FF">
            <w:pPr>
              <w:pStyle w:val="Compact"/>
              <w:jc w:val="right"/>
              <w:rPr>
                <w:sz w:val="20"/>
                <w:szCs w:val="20"/>
              </w:rPr>
            </w:pPr>
            <w:r w:rsidRPr="00B901D7">
              <w:rPr>
                <w:sz w:val="20"/>
                <w:szCs w:val="20"/>
              </w:rPr>
              <w:t>0.24</w:t>
            </w:r>
          </w:p>
        </w:tc>
        <w:tc>
          <w:tcPr>
            <w:tcW w:w="0" w:type="auto"/>
            <w:tcBorders>
              <w:top w:val="single" w:sz="4" w:space="0" w:color="auto"/>
            </w:tcBorders>
            <w:hideMark/>
          </w:tcPr>
          <w:p w14:paraId="7D77489C" w14:textId="77777777" w:rsidR="001070FF" w:rsidRPr="00B901D7" w:rsidRDefault="001070FF">
            <w:pPr>
              <w:pStyle w:val="Compact"/>
              <w:jc w:val="right"/>
              <w:rPr>
                <w:sz w:val="20"/>
                <w:szCs w:val="20"/>
              </w:rPr>
            </w:pPr>
            <w:r w:rsidRPr="00B901D7">
              <w:rPr>
                <w:sz w:val="20"/>
                <w:szCs w:val="20"/>
              </w:rPr>
              <w:t>37.5</w:t>
            </w:r>
          </w:p>
        </w:tc>
        <w:tc>
          <w:tcPr>
            <w:tcW w:w="0" w:type="auto"/>
            <w:tcBorders>
              <w:top w:val="single" w:sz="4" w:space="0" w:color="auto"/>
            </w:tcBorders>
            <w:hideMark/>
          </w:tcPr>
          <w:p w14:paraId="642973BE" w14:textId="77777777" w:rsidR="001070FF" w:rsidRPr="00B901D7" w:rsidRDefault="001070FF">
            <w:pPr>
              <w:pStyle w:val="Compact"/>
              <w:jc w:val="right"/>
              <w:rPr>
                <w:sz w:val="20"/>
                <w:szCs w:val="20"/>
              </w:rPr>
            </w:pPr>
            <w:r w:rsidRPr="00B901D7">
              <w:rPr>
                <w:sz w:val="20"/>
                <w:szCs w:val="20"/>
              </w:rPr>
              <w:t>36.8</w:t>
            </w:r>
          </w:p>
        </w:tc>
        <w:tc>
          <w:tcPr>
            <w:tcW w:w="0" w:type="auto"/>
            <w:tcBorders>
              <w:top w:val="single" w:sz="4" w:space="0" w:color="auto"/>
            </w:tcBorders>
            <w:hideMark/>
          </w:tcPr>
          <w:p w14:paraId="254A2F98" w14:textId="77777777" w:rsidR="001070FF" w:rsidRPr="00B901D7" w:rsidRDefault="001070FF">
            <w:pPr>
              <w:pStyle w:val="Compact"/>
              <w:jc w:val="right"/>
              <w:rPr>
                <w:sz w:val="20"/>
                <w:szCs w:val="20"/>
              </w:rPr>
            </w:pPr>
            <w:r w:rsidRPr="00B901D7">
              <w:rPr>
                <w:sz w:val="20"/>
                <w:szCs w:val="20"/>
              </w:rPr>
              <w:t>25.8</w:t>
            </w:r>
          </w:p>
        </w:tc>
      </w:tr>
      <w:tr w:rsidR="001070FF" w14:paraId="69AEE796" w14:textId="77777777" w:rsidTr="00554D80">
        <w:trPr>
          <w:jc w:val="center"/>
        </w:trPr>
        <w:tc>
          <w:tcPr>
            <w:tcW w:w="0" w:type="auto"/>
            <w:hideMark/>
          </w:tcPr>
          <w:p w14:paraId="5AC1F8AF" w14:textId="77777777" w:rsidR="001070FF" w:rsidRPr="00B901D7" w:rsidRDefault="001070FF">
            <w:pPr>
              <w:pStyle w:val="Compact"/>
              <w:rPr>
                <w:sz w:val="20"/>
                <w:szCs w:val="20"/>
              </w:rPr>
            </w:pPr>
            <w:r w:rsidRPr="00B901D7">
              <w:rPr>
                <w:sz w:val="20"/>
                <w:szCs w:val="20"/>
              </w:rPr>
              <w:t>5-15</w:t>
            </w:r>
          </w:p>
        </w:tc>
        <w:tc>
          <w:tcPr>
            <w:tcW w:w="0" w:type="auto"/>
            <w:hideMark/>
          </w:tcPr>
          <w:p w14:paraId="5E6E3FB8" w14:textId="77777777" w:rsidR="001070FF" w:rsidRPr="00B901D7" w:rsidRDefault="001070FF" w:rsidP="008E35D4">
            <w:pPr>
              <w:pStyle w:val="Compact"/>
              <w:jc w:val="center"/>
              <w:rPr>
                <w:sz w:val="20"/>
                <w:szCs w:val="20"/>
              </w:rPr>
            </w:pPr>
            <w:r w:rsidRPr="00B901D7">
              <w:rPr>
                <w:sz w:val="20"/>
                <w:szCs w:val="20"/>
              </w:rPr>
              <w:t>1.41</w:t>
            </w:r>
          </w:p>
        </w:tc>
        <w:tc>
          <w:tcPr>
            <w:tcW w:w="0" w:type="auto"/>
            <w:hideMark/>
          </w:tcPr>
          <w:p w14:paraId="468F5022" w14:textId="77777777" w:rsidR="001070FF" w:rsidRPr="00B901D7" w:rsidRDefault="001070FF">
            <w:pPr>
              <w:pStyle w:val="Compact"/>
              <w:jc w:val="right"/>
              <w:rPr>
                <w:sz w:val="20"/>
                <w:szCs w:val="20"/>
              </w:rPr>
            </w:pPr>
            <w:r w:rsidRPr="00B901D7">
              <w:rPr>
                <w:sz w:val="20"/>
                <w:szCs w:val="20"/>
              </w:rPr>
              <w:t>5.85</w:t>
            </w:r>
          </w:p>
        </w:tc>
        <w:tc>
          <w:tcPr>
            <w:tcW w:w="0" w:type="auto"/>
            <w:hideMark/>
          </w:tcPr>
          <w:p w14:paraId="0301FD79" w14:textId="77777777" w:rsidR="001070FF" w:rsidRPr="00B901D7" w:rsidRDefault="001070FF">
            <w:pPr>
              <w:pStyle w:val="Compact"/>
              <w:jc w:val="right"/>
              <w:rPr>
                <w:sz w:val="20"/>
                <w:szCs w:val="20"/>
              </w:rPr>
            </w:pPr>
            <w:r w:rsidRPr="00B901D7">
              <w:rPr>
                <w:sz w:val="20"/>
                <w:szCs w:val="20"/>
              </w:rPr>
              <w:t>2.55</w:t>
            </w:r>
          </w:p>
        </w:tc>
        <w:tc>
          <w:tcPr>
            <w:tcW w:w="0" w:type="auto"/>
            <w:hideMark/>
          </w:tcPr>
          <w:p w14:paraId="7E65CB9E" w14:textId="77777777" w:rsidR="001070FF" w:rsidRPr="00B901D7" w:rsidRDefault="001070FF">
            <w:pPr>
              <w:pStyle w:val="Compact"/>
              <w:jc w:val="right"/>
              <w:rPr>
                <w:sz w:val="20"/>
                <w:szCs w:val="20"/>
              </w:rPr>
            </w:pPr>
            <w:r w:rsidRPr="00B901D7">
              <w:rPr>
                <w:sz w:val="20"/>
                <w:szCs w:val="20"/>
              </w:rPr>
              <w:t>0.22</w:t>
            </w:r>
          </w:p>
        </w:tc>
        <w:tc>
          <w:tcPr>
            <w:tcW w:w="0" w:type="auto"/>
            <w:hideMark/>
          </w:tcPr>
          <w:p w14:paraId="2241633D" w14:textId="77777777" w:rsidR="001070FF" w:rsidRPr="00B901D7" w:rsidRDefault="001070FF">
            <w:pPr>
              <w:pStyle w:val="Compact"/>
              <w:jc w:val="right"/>
              <w:rPr>
                <w:sz w:val="20"/>
                <w:szCs w:val="20"/>
              </w:rPr>
            </w:pPr>
            <w:r w:rsidRPr="00B901D7">
              <w:rPr>
                <w:sz w:val="20"/>
                <w:szCs w:val="20"/>
              </w:rPr>
              <w:t>37.5</w:t>
            </w:r>
          </w:p>
        </w:tc>
        <w:tc>
          <w:tcPr>
            <w:tcW w:w="0" w:type="auto"/>
            <w:hideMark/>
          </w:tcPr>
          <w:p w14:paraId="4188E8DC" w14:textId="77777777" w:rsidR="001070FF" w:rsidRPr="00B901D7" w:rsidRDefault="001070FF">
            <w:pPr>
              <w:pStyle w:val="Compact"/>
              <w:jc w:val="right"/>
              <w:rPr>
                <w:sz w:val="20"/>
                <w:szCs w:val="20"/>
              </w:rPr>
            </w:pPr>
            <w:r w:rsidRPr="00B901D7">
              <w:rPr>
                <w:sz w:val="20"/>
                <w:szCs w:val="20"/>
              </w:rPr>
              <w:t>36.0</w:t>
            </w:r>
          </w:p>
        </w:tc>
        <w:tc>
          <w:tcPr>
            <w:tcW w:w="0" w:type="auto"/>
            <w:hideMark/>
          </w:tcPr>
          <w:p w14:paraId="3C5A27A0" w14:textId="77777777" w:rsidR="001070FF" w:rsidRPr="00B901D7" w:rsidRDefault="001070FF">
            <w:pPr>
              <w:pStyle w:val="Compact"/>
              <w:jc w:val="right"/>
              <w:rPr>
                <w:sz w:val="20"/>
                <w:szCs w:val="20"/>
              </w:rPr>
            </w:pPr>
            <w:r w:rsidRPr="00B901D7">
              <w:rPr>
                <w:sz w:val="20"/>
                <w:szCs w:val="20"/>
              </w:rPr>
              <w:t>26.6</w:t>
            </w:r>
          </w:p>
        </w:tc>
      </w:tr>
      <w:tr w:rsidR="001070FF" w14:paraId="0093BAC4" w14:textId="77777777" w:rsidTr="00554D80">
        <w:trPr>
          <w:jc w:val="center"/>
        </w:trPr>
        <w:tc>
          <w:tcPr>
            <w:tcW w:w="0" w:type="auto"/>
            <w:hideMark/>
          </w:tcPr>
          <w:p w14:paraId="75F743C0" w14:textId="77777777" w:rsidR="001070FF" w:rsidRPr="00B901D7" w:rsidRDefault="001070FF">
            <w:pPr>
              <w:pStyle w:val="Compact"/>
              <w:rPr>
                <w:sz w:val="20"/>
                <w:szCs w:val="20"/>
              </w:rPr>
            </w:pPr>
            <w:r w:rsidRPr="00B901D7">
              <w:rPr>
                <w:sz w:val="20"/>
                <w:szCs w:val="20"/>
              </w:rPr>
              <w:t>15-30</w:t>
            </w:r>
          </w:p>
        </w:tc>
        <w:tc>
          <w:tcPr>
            <w:tcW w:w="0" w:type="auto"/>
            <w:hideMark/>
          </w:tcPr>
          <w:p w14:paraId="29EF09EC" w14:textId="77777777" w:rsidR="001070FF" w:rsidRPr="00B901D7" w:rsidRDefault="001070FF" w:rsidP="008E35D4">
            <w:pPr>
              <w:pStyle w:val="Compact"/>
              <w:jc w:val="center"/>
              <w:rPr>
                <w:sz w:val="20"/>
                <w:szCs w:val="20"/>
              </w:rPr>
            </w:pPr>
            <w:r w:rsidRPr="00B901D7">
              <w:rPr>
                <w:sz w:val="20"/>
                <w:szCs w:val="20"/>
              </w:rPr>
              <w:t>1.50</w:t>
            </w:r>
          </w:p>
        </w:tc>
        <w:tc>
          <w:tcPr>
            <w:tcW w:w="0" w:type="auto"/>
            <w:hideMark/>
          </w:tcPr>
          <w:p w14:paraId="525C6F3C" w14:textId="77777777" w:rsidR="001070FF" w:rsidRPr="00B901D7" w:rsidRDefault="001070FF">
            <w:pPr>
              <w:pStyle w:val="Compact"/>
              <w:jc w:val="right"/>
              <w:rPr>
                <w:sz w:val="20"/>
                <w:szCs w:val="20"/>
              </w:rPr>
            </w:pPr>
            <w:r w:rsidRPr="00B901D7">
              <w:rPr>
                <w:sz w:val="20"/>
                <w:szCs w:val="20"/>
              </w:rPr>
              <w:t>5.94</w:t>
            </w:r>
          </w:p>
        </w:tc>
        <w:tc>
          <w:tcPr>
            <w:tcW w:w="0" w:type="auto"/>
            <w:hideMark/>
          </w:tcPr>
          <w:p w14:paraId="3F243C18" w14:textId="77777777" w:rsidR="001070FF" w:rsidRPr="00B901D7" w:rsidRDefault="001070FF">
            <w:pPr>
              <w:pStyle w:val="Compact"/>
              <w:jc w:val="right"/>
              <w:rPr>
                <w:sz w:val="20"/>
                <w:szCs w:val="20"/>
              </w:rPr>
            </w:pPr>
            <w:r w:rsidRPr="00B901D7">
              <w:rPr>
                <w:sz w:val="20"/>
                <w:szCs w:val="20"/>
              </w:rPr>
              <w:t>2.14</w:t>
            </w:r>
          </w:p>
        </w:tc>
        <w:tc>
          <w:tcPr>
            <w:tcW w:w="0" w:type="auto"/>
            <w:hideMark/>
          </w:tcPr>
          <w:p w14:paraId="6C2242C0" w14:textId="77777777" w:rsidR="001070FF" w:rsidRPr="00B901D7" w:rsidRDefault="001070FF">
            <w:pPr>
              <w:pStyle w:val="Compact"/>
              <w:jc w:val="right"/>
              <w:rPr>
                <w:sz w:val="20"/>
                <w:szCs w:val="20"/>
              </w:rPr>
            </w:pPr>
            <w:r w:rsidRPr="00B901D7">
              <w:rPr>
                <w:sz w:val="20"/>
                <w:szCs w:val="20"/>
              </w:rPr>
              <w:t>0.18</w:t>
            </w:r>
          </w:p>
        </w:tc>
        <w:tc>
          <w:tcPr>
            <w:tcW w:w="0" w:type="auto"/>
            <w:hideMark/>
          </w:tcPr>
          <w:p w14:paraId="7967BE60" w14:textId="77777777" w:rsidR="001070FF" w:rsidRPr="00B901D7" w:rsidRDefault="001070FF">
            <w:pPr>
              <w:pStyle w:val="Compact"/>
              <w:jc w:val="right"/>
              <w:rPr>
                <w:sz w:val="20"/>
                <w:szCs w:val="20"/>
              </w:rPr>
            </w:pPr>
            <w:r w:rsidRPr="00B901D7">
              <w:rPr>
                <w:sz w:val="20"/>
                <w:szCs w:val="20"/>
              </w:rPr>
              <w:t>35.4</w:t>
            </w:r>
          </w:p>
        </w:tc>
        <w:tc>
          <w:tcPr>
            <w:tcW w:w="0" w:type="auto"/>
            <w:hideMark/>
          </w:tcPr>
          <w:p w14:paraId="1BFF682E" w14:textId="77777777" w:rsidR="001070FF" w:rsidRPr="00B901D7" w:rsidRDefault="001070FF">
            <w:pPr>
              <w:pStyle w:val="Compact"/>
              <w:jc w:val="right"/>
              <w:rPr>
                <w:sz w:val="20"/>
                <w:szCs w:val="20"/>
              </w:rPr>
            </w:pPr>
            <w:r w:rsidRPr="00B901D7">
              <w:rPr>
                <w:sz w:val="20"/>
                <w:szCs w:val="20"/>
              </w:rPr>
              <w:t>35.8</w:t>
            </w:r>
          </w:p>
        </w:tc>
        <w:tc>
          <w:tcPr>
            <w:tcW w:w="0" w:type="auto"/>
            <w:hideMark/>
          </w:tcPr>
          <w:p w14:paraId="304C7791" w14:textId="77777777" w:rsidR="001070FF" w:rsidRPr="00B901D7" w:rsidRDefault="001070FF">
            <w:pPr>
              <w:pStyle w:val="Compact"/>
              <w:jc w:val="right"/>
              <w:rPr>
                <w:sz w:val="20"/>
                <w:szCs w:val="20"/>
              </w:rPr>
            </w:pPr>
            <w:r w:rsidRPr="00B901D7">
              <w:rPr>
                <w:sz w:val="20"/>
                <w:szCs w:val="20"/>
              </w:rPr>
              <w:t>28.9</w:t>
            </w:r>
          </w:p>
        </w:tc>
      </w:tr>
      <w:tr w:rsidR="001070FF" w14:paraId="77ACC7A4" w14:textId="77777777" w:rsidTr="00554D80">
        <w:trPr>
          <w:jc w:val="center"/>
        </w:trPr>
        <w:tc>
          <w:tcPr>
            <w:tcW w:w="0" w:type="auto"/>
            <w:hideMark/>
          </w:tcPr>
          <w:p w14:paraId="3E709073" w14:textId="77777777" w:rsidR="001070FF" w:rsidRPr="00B901D7" w:rsidRDefault="001070FF">
            <w:pPr>
              <w:pStyle w:val="Compact"/>
              <w:rPr>
                <w:sz w:val="20"/>
                <w:szCs w:val="20"/>
              </w:rPr>
            </w:pPr>
            <w:r w:rsidRPr="00B901D7">
              <w:rPr>
                <w:sz w:val="20"/>
                <w:szCs w:val="20"/>
              </w:rPr>
              <w:t>30-60</w:t>
            </w:r>
          </w:p>
        </w:tc>
        <w:tc>
          <w:tcPr>
            <w:tcW w:w="0" w:type="auto"/>
            <w:hideMark/>
          </w:tcPr>
          <w:p w14:paraId="7F625BCC" w14:textId="77777777" w:rsidR="001070FF" w:rsidRPr="00B901D7" w:rsidRDefault="001070FF" w:rsidP="008E35D4">
            <w:pPr>
              <w:pStyle w:val="Compact"/>
              <w:jc w:val="center"/>
              <w:rPr>
                <w:sz w:val="20"/>
                <w:szCs w:val="20"/>
              </w:rPr>
            </w:pPr>
            <w:r w:rsidRPr="00B901D7">
              <w:rPr>
                <w:sz w:val="20"/>
                <w:szCs w:val="20"/>
              </w:rPr>
              <w:t>1.45</w:t>
            </w:r>
          </w:p>
        </w:tc>
        <w:tc>
          <w:tcPr>
            <w:tcW w:w="0" w:type="auto"/>
            <w:hideMark/>
          </w:tcPr>
          <w:p w14:paraId="7B68AC79"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9AD9876" w14:textId="77777777" w:rsidR="001070FF" w:rsidRPr="00B901D7" w:rsidRDefault="001070FF">
            <w:pPr>
              <w:pStyle w:val="Compact"/>
              <w:jc w:val="right"/>
              <w:rPr>
                <w:sz w:val="20"/>
                <w:szCs w:val="20"/>
              </w:rPr>
            </w:pPr>
            <w:r w:rsidRPr="00B901D7">
              <w:rPr>
                <w:sz w:val="20"/>
                <w:szCs w:val="20"/>
              </w:rPr>
              <w:t>1.23</w:t>
            </w:r>
          </w:p>
        </w:tc>
        <w:tc>
          <w:tcPr>
            <w:tcW w:w="0" w:type="auto"/>
            <w:hideMark/>
          </w:tcPr>
          <w:p w14:paraId="13BEE679" w14:textId="77777777" w:rsidR="001070FF" w:rsidRPr="00B901D7" w:rsidRDefault="001070FF">
            <w:pPr>
              <w:pStyle w:val="Compact"/>
              <w:jc w:val="right"/>
              <w:rPr>
                <w:sz w:val="20"/>
                <w:szCs w:val="20"/>
              </w:rPr>
            </w:pPr>
            <w:r w:rsidRPr="00B901D7">
              <w:rPr>
                <w:sz w:val="20"/>
                <w:szCs w:val="20"/>
              </w:rPr>
              <w:t>0.11</w:t>
            </w:r>
          </w:p>
        </w:tc>
        <w:tc>
          <w:tcPr>
            <w:tcW w:w="0" w:type="auto"/>
            <w:hideMark/>
          </w:tcPr>
          <w:p w14:paraId="1D9C7053" w14:textId="77777777" w:rsidR="001070FF" w:rsidRPr="00B901D7" w:rsidRDefault="001070FF">
            <w:pPr>
              <w:pStyle w:val="Compact"/>
              <w:jc w:val="right"/>
              <w:rPr>
                <w:sz w:val="20"/>
                <w:szCs w:val="20"/>
              </w:rPr>
            </w:pPr>
            <w:r w:rsidRPr="00B901D7">
              <w:rPr>
                <w:sz w:val="20"/>
                <w:szCs w:val="20"/>
              </w:rPr>
              <w:t>NA</w:t>
            </w:r>
          </w:p>
        </w:tc>
        <w:tc>
          <w:tcPr>
            <w:tcW w:w="0" w:type="auto"/>
            <w:hideMark/>
          </w:tcPr>
          <w:p w14:paraId="158DD4C1"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D27B738" w14:textId="77777777" w:rsidR="001070FF" w:rsidRPr="00B901D7" w:rsidRDefault="001070FF">
            <w:pPr>
              <w:pStyle w:val="Compact"/>
              <w:jc w:val="right"/>
              <w:rPr>
                <w:sz w:val="20"/>
                <w:szCs w:val="20"/>
              </w:rPr>
            </w:pPr>
            <w:r w:rsidRPr="00B901D7">
              <w:rPr>
                <w:sz w:val="20"/>
                <w:szCs w:val="20"/>
              </w:rPr>
              <w:t>NA</w:t>
            </w:r>
          </w:p>
        </w:tc>
      </w:tr>
      <w:tr w:rsidR="001070FF" w14:paraId="551354AC" w14:textId="77777777" w:rsidTr="00554D80">
        <w:trPr>
          <w:jc w:val="center"/>
        </w:trPr>
        <w:tc>
          <w:tcPr>
            <w:tcW w:w="0" w:type="auto"/>
            <w:tcBorders>
              <w:bottom w:val="single" w:sz="4" w:space="0" w:color="auto"/>
            </w:tcBorders>
            <w:hideMark/>
          </w:tcPr>
          <w:p w14:paraId="3A73D8C9" w14:textId="77777777" w:rsidR="001070FF" w:rsidRPr="00B901D7" w:rsidRDefault="001070FF">
            <w:pPr>
              <w:pStyle w:val="Compact"/>
              <w:rPr>
                <w:sz w:val="20"/>
                <w:szCs w:val="20"/>
              </w:rPr>
            </w:pPr>
            <w:r w:rsidRPr="00B901D7">
              <w:rPr>
                <w:sz w:val="20"/>
                <w:szCs w:val="20"/>
              </w:rPr>
              <w:t>60-100</w:t>
            </w:r>
          </w:p>
        </w:tc>
        <w:tc>
          <w:tcPr>
            <w:tcW w:w="0" w:type="auto"/>
            <w:tcBorders>
              <w:bottom w:val="single" w:sz="4" w:space="0" w:color="auto"/>
            </w:tcBorders>
            <w:hideMark/>
          </w:tcPr>
          <w:p w14:paraId="09507AC1" w14:textId="77777777" w:rsidR="001070FF" w:rsidRPr="00B901D7" w:rsidRDefault="001070FF" w:rsidP="008E35D4">
            <w:pPr>
              <w:pStyle w:val="Compact"/>
              <w:jc w:val="center"/>
              <w:rPr>
                <w:sz w:val="20"/>
                <w:szCs w:val="20"/>
              </w:rPr>
            </w:pPr>
            <w:r w:rsidRPr="00B901D7">
              <w:rPr>
                <w:sz w:val="20"/>
                <w:szCs w:val="20"/>
              </w:rPr>
              <w:t>1.60</w:t>
            </w:r>
          </w:p>
        </w:tc>
        <w:tc>
          <w:tcPr>
            <w:tcW w:w="0" w:type="auto"/>
            <w:tcBorders>
              <w:bottom w:val="single" w:sz="4" w:space="0" w:color="auto"/>
            </w:tcBorders>
            <w:hideMark/>
          </w:tcPr>
          <w:p w14:paraId="6F81E885"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5C22F2C" w14:textId="77777777" w:rsidR="001070FF" w:rsidRPr="00B901D7" w:rsidRDefault="001070FF">
            <w:pPr>
              <w:pStyle w:val="Compact"/>
              <w:jc w:val="right"/>
              <w:rPr>
                <w:sz w:val="20"/>
                <w:szCs w:val="20"/>
              </w:rPr>
            </w:pPr>
            <w:r w:rsidRPr="00B901D7">
              <w:rPr>
                <w:sz w:val="20"/>
                <w:szCs w:val="20"/>
              </w:rPr>
              <w:t>0.95</w:t>
            </w:r>
          </w:p>
        </w:tc>
        <w:tc>
          <w:tcPr>
            <w:tcW w:w="0" w:type="auto"/>
            <w:tcBorders>
              <w:bottom w:val="single" w:sz="4" w:space="0" w:color="auto"/>
            </w:tcBorders>
            <w:hideMark/>
          </w:tcPr>
          <w:p w14:paraId="6598AABC" w14:textId="77777777" w:rsidR="001070FF" w:rsidRPr="00B901D7" w:rsidRDefault="001070FF">
            <w:pPr>
              <w:pStyle w:val="Compact"/>
              <w:jc w:val="right"/>
              <w:rPr>
                <w:sz w:val="20"/>
                <w:szCs w:val="20"/>
              </w:rPr>
            </w:pPr>
            <w:r w:rsidRPr="00B901D7">
              <w:rPr>
                <w:sz w:val="20"/>
                <w:szCs w:val="20"/>
              </w:rPr>
              <w:t>0.05</w:t>
            </w:r>
          </w:p>
        </w:tc>
        <w:tc>
          <w:tcPr>
            <w:tcW w:w="0" w:type="auto"/>
            <w:tcBorders>
              <w:bottom w:val="single" w:sz="4" w:space="0" w:color="auto"/>
            </w:tcBorders>
            <w:hideMark/>
          </w:tcPr>
          <w:p w14:paraId="2CDAE2E3"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43EEA37"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5CAC3252" w14:textId="77777777" w:rsidR="001070FF" w:rsidRPr="00B901D7" w:rsidRDefault="001070FF">
            <w:pPr>
              <w:pStyle w:val="Compact"/>
              <w:jc w:val="right"/>
              <w:rPr>
                <w:sz w:val="20"/>
                <w:szCs w:val="20"/>
              </w:rPr>
            </w:pPr>
            <w:r w:rsidRPr="00B901D7">
              <w:rPr>
                <w:sz w:val="20"/>
                <w:szCs w:val="20"/>
              </w:rPr>
              <w:t>NA</w:t>
            </w:r>
          </w:p>
        </w:tc>
      </w:tr>
    </w:tbl>
    <w:p w14:paraId="4DB886ED" w14:textId="0E0072DB" w:rsidR="0067549D" w:rsidRPr="00532388" w:rsidRDefault="00CE1D36" w:rsidP="00532388">
      <w:pPr>
        <w:rPr>
          <w:szCs w:val="20"/>
        </w:rPr>
      </w:pPr>
      <w:r>
        <w:rPr>
          <w:szCs w:val="20"/>
        </w:rPr>
        <w:t>Our study site had soil characteristics typical for a Webster silty clay loam. Both total C and total N decreased with depth, but maintained a relatively constant relationship (mean C:N ratio = 11.6) until 60-100 cm, where the C:N ratio was 19 (Table 1).</w:t>
      </w:r>
    </w:p>
    <w:p w14:paraId="022AB815" w14:textId="30A98975" w:rsidR="00532388" w:rsidRPr="00532388" w:rsidRDefault="00BF164E" w:rsidP="00532388">
      <w:pPr>
        <w:jc w:val="center"/>
        <w:rPr>
          <w:szCs w:val="20"/>
        </w:rPr>
      </w:pPr>
      <w:r w:rsidRPr="00BF164E">
        <w:rPr>
          <w:noProof/>
          <w:lang w:val="en-US" w:eastAsia="en-US"/>
        </w:rPr>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1C34912F" w:rsidR="00532388" w:rsidRDefault="009130B4" w:rsidP="00532388">
      <w:pPr>
        <w:rPr>
          <w:szCs w:val="20"/>
        </w:rPr>
      </w:pPr>
      <w:r>
        <w:rPr>
          <w:szCs w:val="20"/>
        </w:rPr>
        <w:t>Figure 1. a</w:t>
      </w:r>
      <w:r w:rsidR="00532388" w:rsidRPr="00532388">
        <w:rPr>
          <w:szCs w:val="20"/>
        </w:rPr>
        <w:t xml:space="preserve">)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08E856DD" w:rsidR="00532388" w:rsidRPr="00532388" w:rsidRDefault="00532388" w:rsidP="00532388">
      <w:pPr>
        <w:rPr>
          <w:szCs w:val="20"/>
        </w:rPr>
      </w:pPr>
      <w:r w:rsidRPr="00532388">
        <w:rPr>
          <w:szCs w:val="20"/>
        </w:rPr>
        <w:t xml:space="preserve">The </w:t>
      </w:r>
      <w:r w:rsidR="00562308" w:rsidRPr="00532388">
        <w:rPr>
          <w:szCs w:val="20"/>
        </w:rPr>
        <w:t xml:space="preserve">total </w:t>
      </w:r>
      <w:r w:rsidRPr="00532388">
        <w:rPr>
          <w:szCs w:val="20"/>
        </w:rPr>
        <w:t xml:space="preserve">amount of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AD161F">
      <w:pPr>
        <w:jc w:val="center"/>
        <w:rPr>
          <w:szCs w:val="20"/>
        </w:rPr>
      </w:pPr>
      <w:r w:rsidRPr="00BF164E">
        <w:rPr>
          <w:noProof/>
          <w:lang w:val="en-US" w:eastAsia="en-US"/>
        </w:rPr>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Figure 2. Absolute difference in root C pools six years after prairie establishment.</w:t>
      </w:r>
    </w:p>
    <w:p w14:paraId="6945E036" w14:textId="77777777" w:rsidR="001A0DC0" w:rsidRDefault="001A0DC0" w:rsidP="00532388">
      <w:pPr>
        <w:rPr>
          <w:szCs w:val="20"/>
        </w:rPr>
      </w:pPr>
    </w:p>
    <w:p w14:paraId="3A0323B9" w14:textId="3CFA6237" w:rsidR="00532388" w:rsidRP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r w:rsidR="001A0DC0">
        <w:rPr>
          <w:szCs w:val="20"/>
        </w:rPr>
        <w:t xml:space="preserve">  </w:t>
      </w:r>
      <w:r w:rsidRPr="00532388">
        <w:rPr>
          <w:szCs w:val="20"/>
        </w:rPr>
        <w:t xml:space="preserve">Twenty-eight percent of the unfertilized prairie root C pool, 37% of the fertilized prairie root C pool and 62% of the maize root C pool was found below 20 cm (Fig 2, Table 2).  </w:t>
      </w:r>
    </w:p>
    <w:p w14:paraId="5EA4A768" w14:textId="77777777" w:rsidR="0030714C" w:rsidRDefault="0030714C" w:rsidP="00532388">
      <w:pPr>
        <w:rPr>
          <w:szCs w:val="20"/>
        </w:rPr>
      </w:pPr>
    </w:p>
    <w:p w14:paraId="72B8BD79" w14:textId="14FFA770" w:rsidR="0030714C" w:rsidRDefault="0030714C" w:rsidP="00532388">
      <w:pPr>
        <w:rPr>
          <w:szCs w:val="20"/>
        </w:rPr>
      </w:pPr>
    </w:p>
    <w:p w14:paraId="2EC73DF1" w14:textId="77777777" w:rsidR="00554D80" w:rsidRDefault="00554D80" w:rsidP="00532388">
      <w:pPr>
        <w:rPr>
          <w:szCs w:val="20"/>
        </w:rPr>
      </w:pPr>
    </w:p>
    <w:p w14:paraId="50259B0A" w14:textId="77777777" w:rsidR="001A0DC0" w:rsidRDefault="001A0DC0" w:rsidP="00532388">
      <w:pPr>
        <w:rPr>
          <w:szCs w:val="20"/>
        </w:rPr>
      </w:pPr>
    </w:p>
    <w:p w14:paraId="76DD77B2" w14:textId="0C215801" w:rsidR="00532388" w:rsidRDefault="00554D80" w:rsidP="00554D80">
      <w:pPr>
        <w:ind w:firstLine="720"/>
        <w:rPr>
          <w:szCs w:val="20"/>
        </w:rPr>
      </w:pPr>
      <w:r>
        <w:rPr>
          <w:szCs w:val="20"/>
        </w:rPr>
        <w:t xml:space="preserve">       </w:t>
      </w:r>
      <w:r w:rsidR="006C6BC4">
        <w:rPr>
          <w:szCs w:val="20"/>
        </w:rPr>
        <w:t xml:space="preserve">Table </w:t>
      </w:r>
      <w:r w:rsidR="0030714C">
        <w:rPr>
          <w:szCs w:val="20"/>
        </w:rPr>
        <w:t>2</w:t>
      </w:r>
      <w:r w:rsidR="00532388" w:rsidRPr="00532388">
        <w:rPr>
          <w:szCs w:val="20"/>
        </w:rPr>
        <w:t>. Root pool and soil organic C found above and below 20 cm.</w:t>
      </w:r>
    </w:p>
    <w:tbl>
      <w:tblPr>
        <w:tblW w:w="3219" w:type="pct"/>
        <w:jc w:val="center"/>
        <w:tblLook w:val="07E0" w:firstRow="1" w:lastRow="1" w:firstColumn="1" w:lastColumn="1" w:noHBand="1" w:noVBand="1"/>
        <w:tblCaption w:val="Above vs below 20 cm"/>
      </w:tblPr>
      <w:tblGrid>
        <w:gridCol w:w="1788"/>
        <w:gridCol w:w="1161"/>
        <w:gridCol w:w="813"/>
        <w:gridCol w:w="803"/>
        <w:gridCol w:w="1194"/>
        <w:gridCol w:w="1194"/>
      </w:tblGrid>
      <w:tr w:rsidR="00225F3A" w14:paraId="40CFC809" w14:textId="77777777" w:rsidTr="00225F3A">
        <w:trPr>
          <w:jc w:val="center"/>
        </w:trPr>
        <w:tc>
          <w:tcPr>
            <w:tcW w:w="1287" w:type="pct"/>
            <w:tcBorders>
              <w:top w:val="nil"/>
              <w:left w:val="nil"/>
              <w:bottom w:val="single" w:sz="4" w:space="0" w:color="auto"/>
              <w:right w:val="nil"/>
            </w:tcBorders>
            <w:vAlign w:val="bottom"/>
            <w:hideMark/>
          </w:tcPr>
          <w:p w14:paraId="6853A144" w14:textId="2D6DCA6F" w:rsidR="003F27F8" w:rsidRPr="00B901D7" w:rsidRDefault="003F27F8" w:rsidP="003F27F8">
            <w:pPr>
              <w:pStyle w:val="Compact"/>
              <w:rPr>
                <w:sz w:val="20"/>
                <w:szCs w:val="20"/>
              </w:rPr>
            </w:pPr>
            <w:r w:rsidRPr="00B901D7">
              <w:rPr>
                <w:sz w:val="20"/>
                <w:szCs w:val="20"/>
              </w:rPr>
              <w:t>Treatment</w:t>
            </w:r>
          </w:p>
        </w:tc>
        <w:tc>
          <w:tcPr>
            <w:tcW w:w="836" w:type="pct"/>
            <w:tcBorders>
              <w:top w:val="nil"/>
              <w:left w:val="nil"/>
              <w:bottom w:val="single" w:sz="4" w:space="0" w:color="auto"/>
              <w:right w:val="nil"/>
            </w:tcBorders>
            <w:vAlign w:val="bottom"/>
            <w:hideMark/>
          </w:tcPr>
          <w:p w14:paraId="6B5EAF2D" w14:textId="4EA8FEE4" w:rsidR="003F27F8" w:rsidRPr="00B901D7" w:rsidRDefault="003F27F8" w:rsidP="003F27F8">
            <w:pPr>
              <w:pStyle w:val="Compact"/>
              <w:jc w:val="center"/>
              <w:rPr>
                <w:sz w:val="20"/>
                <w:szCs w:val="20"/>
              </w:rPr>
            </w:pPr>
            <w:r w:rsidRPr="00B901D7">
              <w:rPr>
                <w:sz w:val="20"/>
                <w:szCs w:val="20"/>
              </w:rPr>
              <w:t>Depth (cm)</w:t>
            </w:r>
          </w:p>
        </w:tc>
        <w:tc>
          <w:tcPr>
            <w:tcW w:w="585" w:type="pct"/>
            <w:tcBorders>
              <w:top w:val="nil"/>
              <w:left w:val="nil"/>
              <w:bottom w:val="single" w:sz="4" w:space="0" w:color="auto"/>
              <w:right w:val="nil"/>
            </w:tcBorders>
            <w:vAlign w:val="bottom"/>
          </w:tcPr>
          <w:p w14:paraId="5B615039" w14:textId="6A1A8898" w:rsidR="003F27F8" w:rsidRPr="00B901D7" w:rsidRDefault="003F27F8" w:rsidP="003F27F8">
            <w:pPr>
              <w:pStyle w:val="Compact"/>
              <w:jc w:val="center"/>
              <w:rPr>
                <w:sz w:val="20"/>
                <w:szCs w:val="20"/>
              </w:rPr>
            </w:pPr>
            <w:r w:rsidRPr="00B901D7">
              <w:rPr>
                <w:sz w:val="20"/>
                <w:szCs w:val="20"/>
              </w:rPr>
              <w:t>Root C (Mg)</w:t>
            </w:r>
          </w:p>
        </w:tc>
        <w:tc>
          <w:tcPr>
            <w:tcW w:w="578" w:type="pct"/>
            <w:tcBorders>
              <w:top w:val="nil"/>
              <w:left w:val="nil"/>
              <w:bottom w:val="single" w:sz="4" w:space="0" w:color="auto"/>
              <w:right w:val="nil"/>
            </w:tcBorders>
            <w:vAlign w:val="bottom"/>
          </w:tcPr>
          <w:p w14:paraId="6467E29C" w14:textId="1D30A906" w:rsidR="003F27F8" w:rsidRPr="00B901D7" w:rsidRDefault="003F27F8" w:rsidP="003F27F8">
            <w:pPr>
              <w:pStyle w:val="Compact"/>
              <w:jc w:val="center"/>
              <w:rPr>
                <w:sz w:val="20"/>
                <w:szCs w:val="20"/>
              </w:rPr>
            </w:pPr>
            <w:r w:rsidRPr="00B901D7">
              <w:rPr>
                <w:sz w:val="20"/>
                <w:szCs w:val="20"/>
              </w:rPr>
              <w:t>Soil C (Mg)</w:t>
            </w:r>
          </w:p>
        </w:tc>
        <w:tc>
          <w:tcPr>
            <w:tcW w:w="858" w:type="pct"/>
            <w:tcBorders>
              <w:top w:val="nil"/>
              <w:left w:val="nil"/>
              <w:bottom w:val="single" w:sz="4" w:space="0" w:color="auto"/>
              <w:right w:val="nil"/>
            </w:tcBorders>
            <w:vAlign w:val="bottom"/>
            <w:hideMark/>
          </w:tcPr>
          <w:p w14:paraId="39801666" w14:textId="763EDB16" w:rsidR="003F27F8" w:rsidRPr="00B901D7" w:rsidRDefault="003F27F8" w:rsidP="003F27F8">
            <w:pPr>
              <w:pStyle w:val="Compact"/>
              <w:jc w:val="center"/>
              <w:rPr>
                <w:sz w:val="20"/>
                <w:szCs w:val="20"/>
              </w:rPr>
            </w:pPr>
            <w:r w:rsidRPr="00B901D7">
              <w:rPr>
                <w:sz w:val="20"/>
                <w:szCs w:val="20"/>
              </w:rPr>
              <w:t>Root C (proportion)</w:t>
            </w:r>
          </w:p>
        </w:tc>
        <w:tc>
          <w:tcPr>
            <w:tcW w:w="855" w:type="pct"/>
            <w:tcBorders>
              <w:top w:val="nil"/>
              <w:left w:val="nil"/>
              <w:bottom w:val="single" w:sz="4" w:space="0" w:color="auto"/>
              <w:right w:val="nil"/>
            </w:tcBorders>
            <w:vAlign w:val="bottom"/>
            <w:hideMark/>
          </w:tcPr>
          <w:p w14:paraId="01E81DE7" w14:textId="4932BED3" w:rsidR="003F27F8" w:rsidRPr="00B901D7" w:rsidRDefault="003F27F8" w:rsidP="003F27F8">
            <w:pPr>
              <w:pStyle w:val="Compact"/>
              <w:jc w:val="center"/>
              <w:rPr>
                <w:sz w:val="20"/>
                <w:szCs w:val="20"/>
              </w:rPr>
            </w:pPr>
            <w:r w:rsidRPr="00B901D7">
              <w:rPr>
                <w:sz w:val="20"/>
                <w:szCs w:val="20"/>
              </w:rPr>
              <w:t>Soil C (proportion)</w:t>
            </w:r>
          </w:p>
        </w:tc>
      </w:tr>
      <w:tr w:rsidR="00225F3A" w14:paraId="15E83EF0" w14:textId="77777777" w:rsidTr="00225F3A">
        <w:trPr>
          <w:jc w:val="center"/>
        </w:trPr>
        <w:tc>
          <w:tcPr>
            <w:tcW w:w="1287" w:type="pct"/>
            <w:vMerge w:val="restart"/>
            <w:tcBorders>
              <w:top w:val="single" w:sz="4" w:space="0" w:color="auto"/>
            </w:tcBorders>
            <w:vAlign w:val="center"/>
            <w:hideMark/>
          </w:tcPr>
          <w:p w14:paraId="7E39E60C" w14:textId="2316AAE4" w:rsidR="003F27F8" w:rsidRPr="00B901D7" w:rsidRDefault="003F27F8" w:rsidP="003F27F8">
            <w:pPr>
              <w:pStyle w:val="Compact"/>
              <w:rPr>
                <w:sz w:val="20"/>
                <w:szCs w:val="20"/>
              </w:rPr>
            </w:pPr>
            <w:r w:rsidRPr="00B901D7">
              <w:rPr>
                <w:sz w:val="20"/>
                <w:szCs w:val="20"/>
              </w:rPr>
              <w:t>Maize</w:t>
            </w:r>
          </w:p>
        </w:tc>
        <w:tc>
          <w:tcPr>
            <w:tcW w:w="836" w:type="pct"/>
            <w:tcBorders>
              <w:top w:val="single" w:sz="4" w:space="0" w:color="auto"/>
            </w:tcBorders>
          </w:tcPr>
          <w:p w14:paraId="0E3B56F8" w14:textId="7F75ADD6" w:rsidR="003F27F8" w:rsidRPr="00B901D7" w:rsidRDefault="003F27F8" w:rsidP="003F27F8">
            <w:pPr>
              <w:pStyle w:val="Compact"/>
              <w:jc w:val="center"/>
              <w:rPr>
                <w:sz w:val="20"/>
                <w:szCs w:val="20"/>
              </w:rPr>
            </w:pPr>
            <w:r w:rsidRPr="00B901D7">
              <w:rPr>
                <w:sz w:val="20"/>
                <w:szCs w:val="20"/>
              </w:rPr>
              <w:t>0-20</w:t>
            </w:r>
          </w:p>
        </w:tc>
        <w:tc>
          <w:tcPr>
            <w:tcW w:w="585" w:type="pct"/>
            <w:tcBorders>
              <w:top w:val="single" w:sz="4" w:space="0" w:color="auto"/>
            </w:tcBorders>
          </w:tcPr>
          <w:p w14:paraId="662B710C" w14:textId="16F7277B" w:rsidR="003F27F8" w:rsidRPr="00B901D7" w:rsidRDefault="003F27F8" w:rsidP="003F27F8">
            <w:pPr>
              <w:pStyle w:val="Compact"/>
              <w:jc w:val="center"/>
              <w:rPr>
                <w:sz w:val="20"/>
                <w:szCs w:val="20"/>
              </w:rPr>
            </w:pPr>
            <w:r w:rsidRPr="00B901D7">
              <w:rPr>
                <w:sz w:val="20"/>
                <w:szCs w:val="20"/>
              </w:rPr>
              <w:t>0.27</w:t>
            </w:r>
          </w:p>
        </w:tc>
        <w:tc>
          <w:tcPr>
            <w:tcW w:w="578" w:type="pct"/>
            <w:tcBorders>
              <w:top w:val="single" w:sz="4" w:space="0" w:color="auto"/>
            </w:tcBorders>
          </w:tcPr>
          <w:p w14:paraId="01C2440E" w14:textId="6ED1003A" w:rsidR="003F27F8" w:rsidRPr="00B901D7" w:rsidRDefault="003F27F8" w:rsidP="003F27F8">
            <w:pPr>
              <w:pStyle w:val="Compact"/>
              <w:jc w:val="center"/>
              <w:rPr>
                <w:sz w:val="20"/>
                <w:szCs w:val="20"/>
              </w:rPr>
            </w:pPr>
            <w:r w:rsidRPr="00B901D7">
              <w:rPr>
                <w:sz w:val="20"/>
                <w:szCs w:val="20"/>
              </w:rPr>
              <w:t>71.17</w:t>
            </w:r>
          </w:p>
        </w:tc>
        <w:tc>
          <w:tcPr>
            <w:tcW w:w="858" w:type="pct"/>
            <w:tcBorders>
              <w:top w:val="single" w:sz="4" w:space="0" w:color="auto"/>
            </w:tcBorders>
          </w:tcPr>
          <w:p w14:paraId="3224D82E" w14:textId="006D7230" w:rsidR="003F27F8" w:rsidRPr="00B901D7" w:rsidRDefault="003F27F8" w:rsidP="003F27F8">
            <w:pPr>
              <w:pStyle w:val="Compact"/>
              <w:jc w:val="center"/>
              <w:rPr>
                <w:sz w:val="20"/>
                <w:szCs w:val="20"/>
              </w:rPr>
            </w:pPr>
            <w:r w:rsidRPr="00B901D7">
              <w:rPr>
                <w:sz w:val="20"/>
                <w:szCs w:val="20"/>
              </w:rPr>
              <w:t>0.38</w:t>
            </w:r>
          </w:p>
        </w:tc>
        <w:tc>
          <w:tcPr>
            <w:tcW w:w="855" w:type="pct"/>
            <w:tcBorders>
              <w:top w:val="single" w:sz="4" w:space="0" w:color="auto"/>
            </w:tcBorders>
          </w:tcPr>
          <w:p w14:paraId="4A861BE0" w14:textId="0874DBC8" w:rsidR="003F27F8" w:rsidRPr="00B901D7" w:rsidRDefault="003F27F8" w:rsidP="003F27F8">
            <w:pPr>
              <w:pStyle w:val="Compact"/>
              <w:jc w:val="center"/>
              <w:rPr>
                <w:sz w:val="20"/>
                <w:szCs w:val="20"/>
              </w:rPr>
            </w:pPr>
            <w:r w:rsidRPr="00B901D7">
              <w:rPr>
                <w:sz w:val="20"/>
                <w:szCs w:val="20"/>
              </w:rPr>
              <w:t>0.44</w:t>
            </w:r>
          </w:p>
        </w:tc>
      </w:tr>
      <w:tr w:rsidR="00225F3A" w14:paraId="7EC7BB7B" w14:textId="77777777" w:rsidTr="00225F3A">
        <w:trPr>
          <w:jc w:val="center"/>
        </w:trPr>
        <w:tc>
          <w:tcPr>
            <w:tcW w:w="1287" w:type="pct"/>
            <w:vMerge/>
            <w:vAlign w:val="center"/>
            <w:hideMark/>
          </w:tcPr>
          <w:p w14:paraId="09C33982" w14:textId="388293DD" w:rsidR="003F27F8" w:rsidRPr="00B901D7" w:rsidRDefault="003F27F8" w:rsidP="003F27F8">
            <w:pPr>
              <w:pStyle w:val="Compact"/>
              <w:rPr>
                <w:sz w:val="20"/>
                <w:szCs w:val="20"/>
              </w:rPr>
            </w:pPr>
          </w:p>
        </w:tc>
        <w:tc>
          <w:tcPr>
            <w:tcW w:w="836" w:type="pct"/>
          </w:tcPr>
          <w:p w14:paraId="2181EC2C" w14:textId="3BCE8806" w:rsidR="003F27F8" w:rsidRPr="00B901D7" w:rsidRDefault="003F27F8" w:rsidP="003F27F8">
            <w:pPr>
              <w:pStyle w:val="Compact"/>
              <w:jc w:val="center"/>
              <w:rPr>
                <w:sz w:val="20"/>
                <w:szCs w:val="20"/>
              </w:rPr>
            </w:pPr>
            <w:r w:rsidRPr="00B901D7">
              <w:rPr>
                <w:sz w:val="20"/>
                <w:szCs w:val="20"/>
              </w:rPr>
              <w:t>20-100</w:t>
            </w:r>
          </w:p>
        </w:tc>
        <w:tc>
          <w:tcPr>
            <w:tcW w:w="585" w:type="pct"/>
          </w:tcPr>
          <w:p w14:paraId="37FAA186" w14:textId="22B2619E" w:rsidR="003F27F8" w:rsidRPr="00B901D7" w:rsidRDefault="003F27F8" w:rsidP="003F27F8">
            <w:pPr>
              <w:pStyle w:val="Compact"/>
              <w:jc w:val="center"/>
              <w:rPr>
                <w:sz w:val="20"/>
                <w:szCs w:val="20"/>
              </w:rPr>
            </w:pPr>
            <w:r w:rsidRPr="00B901D7">
              <w:rPr>
                <w:sz w:val="20"/>
                <w:szCs w:val="20"/>
              </w:rPr>
              <w:t>0.43</w:t>
            </w:r>
          </w:p>
        </w:tc>
        <w:tc>
          <w:tcPr>
            <w:tcW w:w="578" w:type="pct"/>
          </w:tcPr>
          <w:p w14:paraId="285B55F5" w14:textId="6302A1FC" w:rsidR="003F27F8" w:rsidRPr="00B901D7" w:rsidRDefault="003F27F8" w:rsidP="003F27F8">
            <w:pPr>
              <w:pStyle w:val="Compact"/>
              <w:jc w:val="center"/>
              <w:rPr>
                <w:sz w:val="20"/>
                <w:szCs w:val="20"/>
              </w:rPr>
            </w:pPr>
            <w:r w:rsidRPr="00B901D7">
              <w:rPr>
                <w:sz w:val="20"/>
                <w:szCs w:val="20"/>
              </w:rPr>
              <w:t>89.97</w:t>
            </w:r>
          </w:p>
        </w:tc>
        <w:tc>
          <w:tcPr>
            <w:tcW w:w="858" w:type="pct"/>
          </w:tcPr>
          <w:p w14:paraId="334F7B13" w14:textId="14B96B70" w:rsidR="003F27F8" w:rsidRPr="00B901D7" w:rsidRDefault="003F27F8" w:rsidP="003F27F8">
            <w:pPr>
              <w:pStyle w:val="Compact"/>
              <w:jc w:val="center"/>
              <w:rPr>
                <w:sz w:val="20"/>
                <w:szCs w:val="20"/>
              </w:rPr>
            </w:pPr>
            <w:r w:rsidRPr="00B901D7">
              <w:rPr>
                <w:sz w:val="20"/>
                <w:szCs w:val="20"/>
              </w:rPr>
              <w:t>0.62</w:t>
            </w:r>
          </w:p>
        </w:tc>
        <w:tc>
          <w:tcPr>
            <w:tcW w:w="855" w:type="pct"/>
          </w:tcPr>
          <w:p w14:paraId="0B315648" w14:textId="2C1AD8D5" w:rsidR="003F27F8" w:rsidRPr="00B901D7" w:rsidRDefault="003F27F8" w:rsidP="003F27F8">
            <w:pPr>
              <w:pStyle w:val="Compact"/>
              <w:jc w:val="center"/>
              <w:rPr>
                <w:sz w:val="20"/>
                <w:szCs w:val="20"/>
              </w:rPr>
            </w:pPr>
            <w:r w:rsidRPr="00B901D7">
              <w:rPr>
                <w:sz w:val="20"/>
                <w:szCs w:val="20"/>
              </w:rPr>
              <w:t>0.56</w:t>
            </w:r>
          </w:p>
        </w:tc>
      </w:tr>
      <w:tr w:rsidR="00225F3A" w14:paraId="40D14991" w14:textId="77777777" w:rsidTr="00225F3A">
        <w:trPr>
          <w:jc w:val="center"/>
        </w:trPr>
        <w:tc>
          <w:tcPr>
            <w:tcW w:w="1287" w:type="pct"/>
            <w:vMerge w:val="restart"/>
            <w:vAlign w:val="center"/>
            <w:hideMark/>
          </w:tcPr>
          <w:p w14:paraId="4F7047C8" w14:textId="5F15150C" w:rsidR="003F27F8" w:rsidRPr="00B901D7" w:rsidRDefault="003F27F8" w:rsidP="003F27F8">
            <w:pPr>
              <w:pStyle w:val="Compact"/>
              <w:rPr>
                <w:sz w:val="20"/>
                <w:szCs w:val="20"/>
              </w:rPr>
            </w:pPr>
            <w:r w:rsidRPr="00B901D7">
              <w:rPr>
                <w:sz w:val="20"/>
                <w:szCs w:val="20"/>
              </w:rPr>
              <w:t>Unfertilized Prairie</w:t>
            </w:r>
          </w:p>
        </w:tc>
        <w:tc>
          <w:tcPr>
            <w:tcW w:w="836" w:type="pct"/>
          </w:tcPr>
          <w:p w14:paraId="217EA54A" w14:textId="283AF29A" w:rsidR="003F27F8" w:rsidRPr="00B901D7" w:rsidRDefault="003F27F8" w:rsidP="003F27F8">
            <w:pPr>
              <w:pStyle w:val="Compact"/>
              <w:jc w:val="center"/>
              <w:rPr>
                <w:sz w:val="20"/>
                <w:szCs w:val="20"/>
              </w:rPr>
            </w:pPr>
            <w:r w:rsidRPr="00B901D7">
              <w:rPr>
                <w:sz w:val="20"/>
                <w:szCs w:val="20"/>
              </w:rPr>
              <w:t>0-20</w:t>
            </w:r>
          </w:p>
        </w:tc>
        <w:tc>
          <w:tcPr>
            <w:tcW w:w="585" w:type="pct"/>
          </w:tcPr>
          <w:p w14:paraId="75109EFC" w14:textId="3057AC43" w:rsidR="003F27F8" w:rsidRPr="00B901D7" w:rsidRDefault="003F27F8" w:rsidP="003F27F8">
            <w:pPr>
              <w:pStyle w:val="Compact"/>
              <w:jc w:val="center"/>
              <w:rPr>
                <w:sz w:val="20"/>
                <w:szCs w:val="20"/>
              </w:rPr>
            </w:pPr>
            <w:r w:rsidRPr="00B901D7">
              <w:rPr>
                <w:sz w:val="20"/>
                <w:szCs w:val="20"/>
              </w:rPr>
              <w:t>3.16</w:t>
            </w:r>
          </w:p>
        </w:tc>
        <w:tc>
          <w:tcPr>
            <w:tcW w:w="578" w:type="pct"/>
          </w:tcPr>
          <w:p w14:paraId="5AA2EB27" w14:textId="770D368E" w:rsidR="003F27F8" w:rsidRPr="00B901D7" w:rsidRDefault="003F27F8" w:rsidP="003F27F8">
            <w:pPr>
              <w:pStyle w:val="Compact"/>
              <w:jc w:val="center"/>
              <w:rPr>
                <w:sz w:val="20"/>
                <w:szCs w:val="20"/>
              </w:rPr>
            </w:pPr>
            <w:r w:rsidRPr="00B901D7">
              <w:rPr>
                <w:sz w:val="20"/>
                <w:szCs w:val="20"/>
              </w:rPr>
              <w:t>79.14</w:t>
            </w:r>
          </w:p>
        </w:tc>
        <w:tc>
          <w:tcPr>
            <w:tcW w:w="858" w:type="pct"/>
          </w:tcPr>
          <w:p w14:paraId="101A35DA" w14:textId="52FD4DEA" w:rsidR="003F27F8" w:rsidRPr="00B901D7" w:rsidRDefault="003F27F8" w:rsidP="003F27F8">
            <w:pPr>
              <w:pStyle w:val="Compact"/>
              <w:jc w:val="center"/>
              <w:rPr>
                <w:sz w:val="20"/>
                <w:szCs w:val="20"/>
              </w:rPr>
            </w:pPr>
            <w:r w:rsidRPr="00B901D7">
              <w:rPr>
                <w:sz w:val="20"/>
                <w:szCs w:val="20"/>
              </w:rPr>
              <w:t>0.72</w:t>
            </w:r>
          </w:p>
        </w:tc>
        <w:tc>
          <w:tcPr>
            <w:tcW w:w="855" w:type="pct"/>
          </w:tcPr>
          <w:p w14:paraId="5890A9DC" w14:textId="0CC99EB4" w:rsidR="003F27F8" w:rsidRPr="00B901D7" w:rsidRDefault="003F27F8" w:rsidP="003F27F8">
            <w:pPr>
              <w:pStyle w:val="Compact"/>
              <w:jc w:val="center"/>
              <w:rPr>
                <w:sz w:val="20"/>
                <w:szCs w:val="20"/>
              </w:rPr>
            </w:pPr>
            <w:r w:rsidRPr="00B901D7">
              <w:rPr>
                <w:sz w:val="20"/>
                <w:szCs w:val="20"/>
              </w:rPr>
              <w:t>0.48</w:t>
            </w:r>
          </w:p>
        </w:tc>
      </w:tr>
      <w:tr w:rsidR="00225F3A" w14:paraId="55529833" w14:textId="77777777" w:rsidTr="00225F3A">
        <w:trPr>
          <w:jc w:val="center"/>
        </w:trPr>
        <w:tc>
          <w:tcPr>
            <w:tcW w:w="1287" w:type="pct"/>
            <w:vMerge/>
            <w:vAlign w:val="center"/>
            <w:hideMark/>
          </w:tcPr>
          <w:p w14:paraId="3800280D" w14:textId="683E90A4" w:rsidR="003F27F8" w:rsidRPr="00B901D7" w:rsidRDefault="003F27F8" w:rsidP="003F27F8">
            <w:pPr>
              <w:pStyle w:val="Compact"/>
              <w:rPr>
                <w:sz w:val="20"/>
                <w:szCs w:val="20"/>
              </w:rPr>
            </w:pPr>
          </w:p>
        </w:tc>
        <w:tc>
          <w:tcPr>
            <w:tcW w:w="836" w:type="pct"/>
          </w:tcPr>
          <w:p w14:paraId="790D5588" w14:textId="731365D0" w:rsidR="003F27F8" w:rsidRPr="00B901D7" w:rsidRDefault="003F27F8" w:rsidP="003F27F8">
            <w:pPr>
              <w:pStyle w:val="Compact"/>
              <w:jc w:val="center"/>
              <w:rPr>
                <w:sz w:val="20"/>
                <w:szCs w:val="20"/>
              </w:rPr>
            </w:pPr>
            <w:r w:rsidRPr="00B901D7">
              <w:rPr>
                <w:sz w:val="20"/>
                <w:szCs w:val="20"/>
              </w:rPr>
              <w:t>20-100</w:t>
            </w:r>
          </w:p>
        </w:tc>
        <w:tc>
          <w:tcPr>
            <w:tcW w:w="585" w:type="pct"/>
          </w:tcPr>
          <w:p w14:paraId="162D3D47" w14:textId="2E785338" w:rsidR="003F27F8" w:rsidRPr="00B901D7" w:rsidRDefault="003F27F8" w:rsidP="003F27F8">
            <w:pPr>
              <w:pStyle w:val="Compact"/>
              <w:jc w:val="center"/>
              <w:rPr>
                <w:sz w:val="20"/>
                <w:szCs w:val="20"/>
              </w:rPr>
            </w:pPr>
            <w:r w:rsidRPr="00B901D7">
              <w:rPr>
                <w:sz w:val="20"/>
                <w:szCs w:val="20"/>
              </w:rPr>
              <w:t>1.26</w:t>
            </w:r>
          </w:p>
        </w:tc>
        <w:tc>
          <w:tcPr>
            <w:tcW w:w="578" w:type="pct"/>
          </w:tcPr>
          <w:p w14:paraId="7DAA6B86" w14:textId="50F2E902" w:rsidR="003F27F8" w:rsidRPr="00B901D7" w:rsidRDefault="003F27F8" w:rsidP="003F27F8">
            <w:pPr>
              <w:pStyle w:val="Compact"/>
              <w:jc w:val="center"/>
              <w:rPr>
                <w:sz w:val="20"/>
                <w:szCs w:val="20"/>
              </w:rPr>
            </w:pPr>
            <w:r w:rsidRPr="00B901D7">
              <w:rPr>
                <w:sz w:val="20"/>
                <w:szCs w:val="20"/>
              </w:rPr>
              <w:t>85.00</w:t>
            </w:r>
          </w:p>
        </w:tc>
        <w:tc>
          <w:tcPr>
            <w:tcW w:w="858" w:type="pct"/>
          </w:tcPr>
          <w:p w14:paraId="732AB44D" w14:textId="372410EF" w:rsidR="003F27F8" w:rsidRPr="00B901D7" w:rsidRDefault="003F27F8" w:rsidP="003F27F8">
            <w:pPr>
              <w:pStyle w:val="Compact"/>
              <w:jc w:val="center"/>
              <w:rPr>
                <w:sz w:val="20"/>
                <w:szCs w:val="20"/>
              </w:rPr>
            </w:pPr>
            <w:r w:rsidRPr="00B901D7">
              <w:rPr>
                <w:sz w:val="20"/>
                <w:szCs w:val="20"/>
              </w:rPr>
              <w:t>0.28</w:t>
            </w:r>
          </w:p>
        </w:tc>
        <w:tc>
          <w:tcPr>
            <w:tcW w:w="855" w:type="pct"/>
          </w:tcPr>
          <w:p w14:paraId="4853E3AF" w14:textId="399CF6AD" w:rsidR="003F27F8" w:rsidRPr="00B901D7" w:rsidRDefault="003F27F8" w:rsidP="003F27F8">
            <w:pPr>
              <w:pStyle w:val="Compact"/>
              <w:jc w:val="center"/>
              <w:rPr>
                <w:sz w:val="20"/>
                <w:szCs w:val="20"/>
              </w:rPr>
            </w:pPr>
            <w:r w:rsidRPr="00B901D7">
              <w:rPr>
                <w:sz w:val="20"/>
                <w:szCs w:val="20"/>
              </w:rPr>
              <w:t>0.52</w:t>
            </w:r>
          </w:p>
        </w:tc>
      </w:tr>
      <w:tr w:rsidR="00225F3A" w14:paraId="69EA3BCC" w14:textId="77777777" w:rsidTr="00225F3A">
        <w:trPr>
          <w:jc w:val="center"/>
        </w:trPr>
        <w:tc>
          <w:tcPr>
            <w:tcW w:w="1287" w:type="pct"/>
            <w:vMerge w:val="restart"/>
            <w:vAlign w:val="center"/>
            <w:hideMark/>
          </w:tcPr>
          <w:p w14:paraId="5CA5BE62" w14:textId="4154FFA8" w:rsidR="003F27F8" w:rsidRPr="00B901D7" w:rsidRDefault="003F27F8" w:rsidP="003F27F8">
            <w:pPr>
              <w:pStyle w:val="Compact"/>
              <w:rPr>
                <w:sz w:val="20"/>
                <w:szCs w:val="20"/>
              </w:rPr>
            </w:pPr>
            <w:r w:rsidRPr="00B901D7">
              <w:rPr>
                <w:sz w:val="20"/>
                <w:szCs w:val="20"/>
              </w:rPr>
              <w:t>Fertilized Prairie</w:t>
            </w:r>
          </w:p>
        </w:tc>
        <w:tc>
          <w:tcPr>
            <w:tcW w:w="836" w:type="pct"/>
          </w:tcPr>
          <w:p w14:paraId="5D8597FB" w14:textId="5EE0D52D" w:rsidR="003F27F8" w:rsidRPr="00B901D7" w:rsidRDefault="003F27F8" w:rsidP="003F27F8">
            <w:pPr>
              <w:pStyle w:val="Compact"/>
              <w:jc w:val="center"/>
              <w:rPr>
                <w:sz w:val="20"/>
                <w:szCs w:val="20"/>
              </w:rPr>
            </w:pPr>
            <w:r w:rsidRPr="00B901D7">
              <w:rPr>
                <w:sz w:val="20"/>
                <w:szCs w:val="20"/>
              </w:rPr>
              <w:t>0-20</w:t>
            </w:r>
          </w:p>
        </w:tc>
        <w:tc>
          <w:tcPr>
            <w:tcW w:w="585" w:type="pct"/>
          </w:tcPr>
          <w:p w14:paraId="3AF89506" w14:textId="591D4CC1" w:rsidR="003F27F8" w:rsidRPr="00B901D7" w:rsidRDefault="003F27F8" w:rsidP="003F27F8">
            <w:pPr>
              <w:pStyle w:val="Compact"/>
              <w:jc w:val="center"/>
              <w:rPr>
                <w:sz w:val="20"/>
                <w:szCs w:val="20"/>
              </w:rPr>
            </w:pPr>
            <w:r w:rsidRPr="00B901D7">
              <w:rPr>
                <w:sz w:val="20"/>
                <w:szCs w:val="20"/>
              </w:rPr>
              <w:t>1.47</w:t>
            </w:r>
          </w:p>
        </w:tc>
        <w:tc>
          <w:tcPr>
            <w:tcW w:w="578" w:type="pct"/>
          </w:tcPr>
          <w:p w14:paraId="3084D070" w14:textId="11E1E2A6" w:rsidR="003F27F8" w:rsidRPr="00B901D7" w:rsidRDefault="003F27F8" w:rsidP="003F27F8">
            <w:pPr>
              <w:pStyle w:val="Compact"/>
              <w:jc w:val="center"/>
              <w:rPr>
                <w:sz w:val="20"/>
                <w:szCs w:val="20"/>
              </w:rPr>
            </w:pPr>
            <w:r w:rsidRPr="00B901D7">
              <w:rPr>
                <w:sz w:val="20"/>
                <w:szCs w:val="20"/>
              </w:rPr>
              <w:t>76.66</w:t>
            </w:r>
          </w:p>
        </w:tc>
        <w:tc>
          <w:tcPr>
            <w:tcW w:w="858" w:type="pct"/>
          </w:tcPr>
          <w:p w14:paraId="74B08806" w14:textId="0DEBF78F" w:rsidR="003F27F8" w:rsidRPr="00B901D7" w:rsidRDefault="003F27F8" w:rsidP="003F27F8">
            <w:pPr>
              <w:pStyle w:val="Compact"/>
              <w:jc w:val="center"/>
              <w:rPr>
                <w:sz w:val="20"/>
                <w:szCs w:val="20"/>
              </w:rPr>
            </w:pPr>
            <w:r w:rsidRPr="00B901D7">
              <w:rPr>
                <w:sz w:val="20"/>
                <w:szCs w:val="20"/>
              </w:rPr>
              <w:t>0.63</w:t>
            </w:r>
          </w:p>
        </w:tc>
        <w:tc>
          <w:tcPr>
            <w:tcW w:w="855" w:type="pct"/>
          </w:tcPr>
          <w:p w14:paraId="335F4BC3" w14:textId="3B652F48" w:rsidR="003F27F8" w:rsidRPr="00B901D7" w:rsidRDefault="003F27F8" w:rsidP="003F27F8">
            <w:pPr>
              <w:pStyle w:val="Compact"/>
              <w:jc w:val="center"/>
              <w:rPr>
                <w:sz w:val="20"/>
                <w:szCs w:val="20"/>
              </w:rPr>
            </w:pPr>
            <w:r w:rsidRPr="00B901D7">
              <w:rPr>
                <w:sz w:val="20"/>
                <w:szCs w:val="20"/>
              </w:rPr>
              <w:t>0.50</w:t>
            </w:r>
          </w:p>
        </w:tc>
      </w:tr>
      <w:tr w:rsidR="00225F3A" w14:paraId="224C4BE5" w14:textId="77777777" w:rsidTr="00225F3A">
        <w:trPr>
          <w:jc w:val="center"/>
        </w:trPr>
        <w:tc>
          <w:tcPr>
            <w:tcW w:w="1287" w:type="pct"/>
            <w:vMerge/>
            <w:tcBorders>
              <w:bottom w:val="single" w:sz="4" w:space="0" w:color="auto"/>
            </w:tcBorders>
            <w:hideMark/>
          </w:tcPr>
          <w:p w14:paraId="5A04F7A5" w14:textId="03E80AEE" w:rsidR="003F27F8" w:rsidRPr="00B901D7" w:rsidRDefault="003F27F8" w:rsidP="003F27F8">
            <w:pPr>
              <w:pStyle w:val="Compact"/>
              <w:rPr>
                <w:sz w:val="20"/>
                <w:szCs w:val="20"/>
              </w:rPr>
            </w:pPr>
          </w:p>
        </w:tc>
        <w:tc>
          <w:tcPr>
            <w:tcW w:w="836" w:type="pct"/>
            <w:tcBorders>
              <w:bottom w:val="single" w:sz="4" w:space="0" w:color="auto"/>
            </w:tcBorders>
          </w:tcPr>
          <w:p w14:paraId="0B9D5C6C" w14:textId="4458EC45" w:rsidR="003F27F8" w:rsidRPr="00B901D7" w:rsidRDefault="003F27F8" w:rsidP="003F27F8">
            <w:pPr>
              <w:pStyle w:val="Compact"/>
              <w:jc w:val="center"/>
              <w:rPr>
                <w:sz w:val="20"/>
                <w:szCs w:val="20"/>
              </w:rPr>
            </w:pPr>
            <w:r w:rsidRPr="00B901D7">
              <w:rPr>
                <w:sz w:val="20"/>
                <w:szCs w:val="20"/>
              </w:rPr>
              <w:t>20-100</w:t>
            </w:r>
          </w:p>
        </w:tc>
        <w:tc>
          <w:tcPr>
            <w:tcW w:w="585" w:type="pct"/>
            <w:tcBorders>
              <w:bottom w:val="single" w:sz="4" w:space="0" w:color="auto"/>
            </w:tcBorders>
          </w:tcPr>
          <w:p w14:paraId="78D6E1AF" w14:textId="541677E8" w:rsidR="003F27F8" w:rsidRPr="00B901D7" w:rsidRDefault="003F27F8" w:rsidP="003F27F8">
            <w:pPr>
              <w:pStyle w:val="Compact"/>
              <w:jc w:val="center"/>
              <w:rPr>
                <w:sz w:val="20"/>
                <w:szCs w:val="20"/>
              </w:rPr>
            </w:pPr>
            <w:r w:rsidRPr="00B901D7">
              <w:rPr>
                <w:sz w:val="20"/>
                <w:szCs w:val="20"/>
              </w:rPr>
              <w:t>0.85</w:t>
            </w:r>
          </w:p>
        </w:tc>
        <w:tc>
          <w:tcPr>
            <w:tcW w:w="578" w:type="pct"/>
            <w:tcBorders>
              <w:bottom w:val="single" w:sz="4" w:space="0" w:color="auto"/>
            </w:tcBorders>
          </w:tcPr>
          <w:p w14:paraId="2F32E8F3" w14:textId="21C0A384" w:rsidR="003F27F8" w:rsidRPr="00B901D7" w:rsidRDefault="003F27F8" w:rsidP="003F27F8">
            <w:pPr>
              <w:pStyle w:val="Compact"/>
              <w:jc w:val="center"/>
              <w:rPr>
                <w:sz w:val="20"/>
                <w:szCs w:val="20"/>
              </w:rPr>
            </w:pPr>
            <w:r w:rsidRPr="00B901D7">
              <w:rPr>
                <w:sz w:val="20"/>
                <w:szCs w:val="20"/>
              </w:rPr>
              <w:t>76.54</w:t>
            </w:r>
          </w:p>
        </w:tc>
        <w:tc>
          <w:tcPr>
            <w:tcW w:w="858" w:type="pct"/>
            <w:tcBorders>
              <w:bottom w:val="single" w:sz="4" w:space="0" w:color="auto"/>
            </w:tcBorders>
          </w:tcPr>
          <w:p w14:paraId="707C5521" w14:textId="723D27F5" w:rsidR="003F27F8" w:rsidRPr="00B901D7" w:rsidRDefault="003F27F8" w:rsidP="003F27F8">
            <w:pPr>
              <w:pStyle w:val="Compact"/>
              <w:jc w:val="center"/>
              <w:rPr>
                <w:sz w:val="20"/>
                <w:szCs w:val="20"/>
              </w:rPr>
            </w:pPr>
            <w:r w:rsidRPr="00B901D7">
              <w:rPr>
                <w:sz w:val="20"/>
                <w:szCs w:val="20"/>
              </w:rPr>
              <w:t>0.37</w:t>
            </w:r>
          </w:p>
        </w:tc>
        <w:tc>
          <w:tcPr>
            <w:tcW w:w="855" w:type="pct"/>
            <w:tcBorders>
              <w:bottom w:val="single" w:sz="4" w:space="0" w:color="auto"/>
            </w:tcBorders>
          </w:tcPr>
          <w:p w14:paraId="6CDAD5E3" w14:textId="1E81BA44" w:rsidR="003F27F8" w:rsidRPr="00B901D7" w:rsidRDefault="003F27F8" w:rsidP="003F27F8">
            <w:pPr>
              <w:pStyle w:val="Compact"/>
              <w:jc w:val="center"/>
              <w:rPr>
                <w:sz w:val="20"/>
                <w:szCs w:val="20"/>
              </w:rPr>
            </w:pPr>
            <w:r w:rsidRPr="00B901D7">
              <w:rPr>
                <w:sz w:val="20"/>
                <w:szCs w:val="20"/>
              </w:rPr>
              <w:t>0.50</w:t>
            </w:r>
          </w:p>
        </w:tc>
      </w:tr>
    </w:tbl>
    <w:p w14:paraId="205FE432" w14:textId="77777777" w:rsidR="00305A19" w:rsidRPr="00532388" w:rsidRDefault="00305A19" w:rsidP="00532388">
      <w:pPr>
        <w:rPr>
          <w:szCs w:val="20"/>
        </w:rPr>
      </w:pPr>
    </w:p>
    <w:p w14:paraId="2945DA4E" w14:textId="77777777" w:rsidR="00532388" w:rsidRPr="00532388" w:rsidRDefault="00532388" w:rsidP="00532388">
      <w:pPr>
        <w:rPr>
          <w:szCs w:val="20"/>
        </w:rPr>
      </w:pPr>
    </w:p>
    <w:p w14:paraId="77D4B8E0" w14:textId="79FC7CD2" w:rsidR="00532388" w:rsidRPr="00532388" w:rsidRDefault="00973372" w:rsidP="00554D80">
      <w:pPr>
        <w:jc w:val="center"/>
        <w:rPr>
          <w:szCs w:val="20"/>
        </w:rPr>
      </w:pPr>
      <w:r w:rsidRPr="00973372">
        <w:rPr>
          <w:noProof/>
          <w:lang w:val="en-US" w:eastAsia="en-US"/>
        </w:rPr>
        <w:drawing>
          <wp:inline distT="0" distB="0" distL="0" distR="0" wp14:anchorId="607A5572" wp14:editId="24415C3F">
            <wp:extent cx="6858000" cy="5480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480050"/>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Figure 3. Modeled accumulation of root pool mass over six years at 0-5 cm, 5-15 cm, 15-30 cm, 30-60 cm, and 60-100 cm. Grey shading represents one standard error of the mean. Seasonal effects are smoothed.</w:t>
      </w:r>
    </w:p>
    <w:p w14:paraId="4D42522B" w14:textId="7C3D7E80" w:rsidR="00532388" w:rsidRPr="00532388" w:rsidRDefault="000071EB" w:rsidP="00554D80">
      <w:pPr>
        <w:jc w:val="center"/>
        <w:rPr>
          <w:szCs w:val="20"/>
        </w:rPr>
      </w:pPr>
      <w:r w:rsidRPr="000071EB">
        <w:lastRenderedPageBreak/>
        <w:drawing>
          <wp:inline distT="0" distB="0" distL="0" distR="0" wp14:anchorId="5E2AF7EC" wp14:editId="25371014">
            <wp:extent cx="4176214" cy="6267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5703" cy="6327063"/>
                    </a:xfrm>
                    <a:prstGeom prst="rect">
                      <a:avLst/>
                    </a:prstGeom>
                  </pic:spPr>
                </pic:pic>
              </a:graphicData>
            </a:graphic>
          </wp:inline>
        </w:drawing>
      </w:r>
    </w:p>
    <w:p w14:paraId="0457074D" w14:textId="18DC51A0" w:rsidR="00532388" w:rsidRPr="00532388" w:rsidRDefault="00532388" w:rsidP="00532388">
      <w:pPr>
        <w:rPr>
          <w:szCs w:val="20"/>
        </w:rPr>
      </w:pPr>
      <w:r w:rsidRPr="00532388">
        <w:rPr>
          <w:szCs w:val="20"/>
        </w:rPr>
        <w:t xml:space="preserve">Figure 4. Modeled rates of root pool mass accumulation over 6 years in a) continuous </w:t>
      </w:r>
      <w:r w:rsidR="00CF32F3">
        <w:rPr>
          <w:szCs w:val="20"/>
        </w:rPr>
        <w:t>maize</w:t>
      </w:r>
      <w:r w:rsidRPr="00532388">
        <w:rPr>
          <w:szCs w:val="20"/>
        </w:rPr>
        <w:t xml:space="preserve">,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4F773DBC" w14:textId="77777777" w:rsidR="00513FDC" w:rsidRDefault="00513FDC" w:rsidP="00532388">
      <w:pPr>
        <w:rPr>
          <w:szCs w:val="20"/>
        </w:rPr>
      </w:pPr>
    </w:p>
    <w:p w14:paraId="4A104D5E" w14:textId="3DF60BDE" w:rsidR="00532388" w:rsidRPr="00532388" w:rsidRDefault="00532388" w:rsidP="00532388">
      <w:pPr>
        <w:rPr>
          <w:szCs w:val="20"/>
        </w:rPr>
      </w:pPr>
      <w:r w:rsidRPr="00532388">
        <w:rPr>
          <w:szCs w:val="20"/>
        </w:rPr>
        <w:t>Prairie rooting systems were established sequentially in the soil profile from the top down</w:t>
      </w:r>
      <w:r w:rsidR="00777D08">
        <w:rPr>
          <w:szCs w:val="20"/>
        </w:rPr>
        <w:t xml:space="preserve"> (Fig 4)</w:t>
      </w:r>
      <w:r w:rsidRPr="00532388">
        <w:rPr>
          <w:szCs w:val="20"/>
        </w:rPr>
        <w:t>.  The top five cm of the root pool peaked in the first full year of growth and then reached an equilibrium during the second full year of growth with large year-to-year variability given the sensitivity of this thin surface layer to</w:t>
      </w:r>
      <w:r w:rsidR="00D73EC2">
        <w:rPr>
          <w:szCs w:val="20"/>
        </w:rPr>
        <w:t xml:space="preserve"> environmental conditions (Fig A</w:t>
      </w:r>
      <w:r w:rsidRPr="00532388">
        <w:rPr>
          <w:szCs w:val="20"/>
        </w:rPr>
        <w:t>1</w:t>
      </w:r>
      <w:r w:rsidR="00F03621">
        <w:rPr>
          <w:szCs w:val="20"/>
        </w:rPr>
        <w:t>-A3</w:t>
      </w:r>
      <w:r w:rsidRPr="00532388">
        <w:rPr>
          <w:szCs w:val="20"/>
        </w:rPr>
        <w:t xml:space="preserve">).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w:t>
      </w:r>
      <w:r w:rsidRPr="00532388">
        <w:rPr>
          <w:szCs w:val="20"/>
        </w:rPr>
        <w:lastRenderedPageBreak/>
        <w:t>greater than all other depths with no sign of slowing down.  Fertilized prairie also had a high rate of root pool accumulation at 60-100 cm in the sixth year with no sign of decreasing</w:t>
      </w:r>
      <w:r w:rsidR="00777D08">
        <w:rPr>
          <w:szCs w:val="20"/>
        </w:rPr>
        <w:t xml:space="preserve"> (Fig 4)</w:t>
      </w:r>
      <w:r w:rsidRPr="00532388">
        <w:rPr>
          <w:szCs w:val="20"/>
        </w:rPr>
        <w:t xml:space="preserve">.   </w:t>
      </w:r>
    </w:p>
    <w:p w14:paraId="6E74F5CC" w14:textId="77777777" w:rsidR="00532388" w:rsidRDefault="00532388" w:rsidP="00532388">
      <w:pPr>
        <w:rPr>
          <w:szCs w:val="20"/>
        </w:rPr>
      </w:pPr>
    </w:p>
    <w:p w14:paraId="18068D78" w14:textId="5FF4B56C" w:rsidR="00532388" w:rsidRPr="00532388" w:rsidRDefault="00532388" w:rsidP="00532388">
      <w:pPr>
        <w:rPr>
          <w:szCs w:val="20"/>
        </w:rPr>
      </w:pPr>
      <w:r w:rsidRPr="00532388">
        <w:rPr>
          <w:szCs w:val="20"/>
        </w:rPr>
        <w:t>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w:t>
      </w:r>
      <w:r w:rsidR="00777D08">
        <w:rPr>
          <w:szCs w:val="20"/>
        </w:rPr>
        <w:t xml:space="preserve"> (Fig 4)</w:t>
      </w:r>
      <w:r w:rsidRPr="00532388">
        <w:rPr>
          <w:szCs w:val="20"/>
        </w:rPr>
        <w:t xml:space="preserve">.   </w:t>
      </w:r>
    </w:p>
    <w:p w14:paraId="4E6DFFE5" w14:textId="77777777" w:rsidR="00532388" w:rsidRPr="00532388" w:rsidRDefault="00532388" w:rsidP="00532388">
      <w:pPr>
        <w:rPr>
          <w:szCs w:val="20"/>
        </w:rPr>
      </w:pPr>
    </w:p>
    <w:p w14:paraId="6CFEE315" w14:textId="77AC0714" w:rsidR="00532388" w:rsidRPr="00532388" w:rsidRDefault="0030714C" w:rsidP="00532388">
      <w:pPr>
        <w:rPr>
          <w:szCs w:val="20"/>
        </w:rPr>
      </w:pPr>
      <w:r>
        <w:rPr>
          <w:szCs w:val="20"/>
        </w:rPr>
        <w:t xml:space="preserve">Table </w:t>
      </w:r>
      <w:r w:rsidR="00513FDC">
        <w:rPr>
          <w:szCs w:val="20"/>
        </w:rPr>
        <w:t>3</w:t>
      </w:r>
      <w:r w:rsidR="00532388" w:rsidRPr="00532388">
        <w:rPr>
          <w:szCs w:val="20"/>
        </w:rPr>
        <w:t xml:space="preserve">. Root turnover at 0-30 cm.  </w:t>
      </w:r>
    </w:p>
    <w:tbl>
      <w:tblPr>
        <w:tblW w:w="3262" w:type="pct"/>
        <w:tblLayout w:type="fixed"/>
        <w:tblLook w:val="07E0" w:firstRow="1" w:lastRow="1" w:firstColumn="1" w:lastColumn="1" w:noHBand="1" w:noVBand="1"/>
        <w:tblCaption w:val="Root pool decomposition, masses in g/m^2"/>
      </w:tblPr>
      <w:tblGrid>
        <w:gridCol w:w="818"/>
        <w:gridCol w:w="2665"/>
        <w:gridCol w:w="1017"/>
        <w:gridCol w:w="991"/>
        <w:gridCol w:w="590"/>
        <w:gridCol w:w="965"/>
      </w:tblGrid>
      <w:tr w:rsidR="00B17AB0" w14:paraId="2C7A1CC7" w14:textId="77777777" w:rsidTr="000071EB">
        <w:tc>
          <w:tcPr>
            <w:tcW w:w="580" w:type="pct"/>
            <w:tcBorders>
              <w:top w:val="nil"/>
              <w:left w:val="nil"/>
              <w:bottom w:val="single" w:sz="2" w:space="0" w:color="auto"/>
              <w:right w:val="nil"/>
            </w:tcBorders>
            <w:vAlign w:val="bottom"/>
          </w:tcPr>
          <w:p w14:paraId="6F34D066" w14:textId="2517EA4D" w:rsidR="00B17AB0" w:rsidRPr="00B901D7" w:rsidRDefault="00B17AB0" w:rsidP="00CF0992">
            <w:pPr>
              <w:pStyle w:val="Compact"/>
              <w:jc w:val="center"/>
              <w:rPr>
                <w:sz w:val="20"/>
                <w:szCs w:val="20"/>
              </w:rPr>
            </w:pPr>
            <w:r w:rsidRPr="00B901D7">
              <w:rPr>
                <w:sz w:val="20"/>
                <w:szCs w:val="20"/>
              </w:rPr>
              <w:t>Year</w:t>
            </w:r>
          </w:p>
        </w:tc>
        <w:tc>
          <w:tcPr>
            <w:tcW w:w="1891" w:type="pct"/>
            <w:tcBorders>
              <w:top w:val="nil"/>
              <w:left w:val="nil"/>
              <w:bottom w:val="single" w:sz="2" w:space="0" w:color="auto"/>
              <w:right w:val="nil"/>
            </w:tcBorders>
            <w:vAlign w:val="bottom"/>
            <w:hideMark/>
          </w:tcPr>
          <w:p w14:paraId="3848C3F9" w14:textId="13744983" w:rsidR="00B17AB0" w:rsidRPr="00B901D7" w:rsidRDefault="00B17AB0">
            <w:pPr>
              <w:pStyle w:val="Compact"/>
              <w:rPr>
                <w:sz w:val="20"/>
                <w:szCs w:val="20"/>
              </w:rPr>
            </w:pPr>
            <w:r w:rsidRPr="00B901D7">
              <w:rPr>
                <w:sz w:val="20"/>
                <w:szCs w:val="20"/>
              </w:rPr>
              <w:t>Treatment</w:t>
            </w:r>
          </w:p>
        </w:tc>
        <w:tc>
          <w:tcPr>
            <w:tcW w:w="722" w:type="pct"/>
            <w:tcBorders>
              <w:top w:val="nil"/>
              <w:left w:val="nil"/>
              <w:bottom w:val="single" w:sz="2" w:space="0" w:color="auto"/>
              <w:right w:val="nil"/>
            </w:tcBorders>
            <w:vAlign w:val="bottom"/>
            <w:hideMark/>
          </w:tcPr>
          <w:p w14:paraId="5A92FB86" w14:textId="1D9893FC" w:rsidR="00B17AB0" w:rsidRPr="00B901D7" w:rsidRDefault="00B17AB0">
            <w:pPr>
              <w:pStyle w:val="Compact"/>
              <w:jc w:val="center"/>
              <w:rPr>
                <w:sz w:val="20"/>
                <w:szCs w:val="20"/>
              </w:rPr>
            </w:pPr>
            <w:r w:rsidRPr="00B901D7">
              <w:rPr>
                <w:sz w:val="20"/>
                <w:szCs w:val="20"/>
              </w:rPr>
              <w:t>Input (</w:t>
            </w:r>
            <w:r w:rsidR="00971CB0">
              <w:rPr>
                <w:sz w:val="20"/>
                <w:szCs w:val="20"/>
              </w:rPr>
              <w:t>M</w:t>
            </w:r>
            <w:r w:rsidRPr="00B901D7">
              <w:rPr>
                <w:sz w:val="20"/>
                <w:szCs w:val="20"/>
              </w:rPr>
              <w:t xml:space="preserve">g </w:t>
            </w:r>
            <w:r w:rsidR="00971CB0">
              <w:rPr>
                <w:sz w:val="20"/>
                <w:szCs w:val="20"/>
              </w:rPr>
              <w:t>ha</w:t>
            </w:r>
            <w:r w:rsidRPr="00B901D7">
              <w:rPr>
                <w:sz w:val="20"/>
                <w:szCs w:val="20"/>
                <w:vertAlign w:val="superscript"/>
              </w:rPr>
              <w:t>-2</w:t>
            </w:r>
            <w:r w:rsidRPr="00B901D7">
              <w:rPr>
                <w:sz w:val="20"/>
                <w:szCs w:val="20"/>
              </w:rPr>
              <w:t>)</w:t>
            </w:r>
          </w:p>
        </w:tc>
        <w:tc>
          <w:tcPr>
            <w:tcW w:w="703" w:type="pct"/>
            <w:tcBorders>
              <w:top w:val="nil"/>
              <w:left w:val="nil"/>
              <w:bottom w:val="single" w:sz="2" w:space="0" w:color="auto"/>
              <w:right w:val="nil"/>
            </w:tcBorders>
            <w:vAlign w:val="bottom"/>
            <w:hideMark/>
          </w:tcPr>
          <w:p w14:paraId="4B58D8AB" w14:textId="77777777" w:rsidR="00B17AB0" w:rsidRPr="00B901D7" w:rsidRDefault="00B17AB0" w:rsidP="00E205CA">
            <w:pPr>
              <w:pStyle w:val="Compact"/>
              <w:jc w:val="center"/>
              <w:rPr>
                <w:sz w:val="20"/>
                <w:szCs w:val="20"/>
              </w:rPr>
            </w:pPr>
            <w:r w:rsidRPr="00B901D7">
              <w:rPr>
                <w:sz w:val="20"/>
                <w:szCs w:val="20"/>
              </w:rPr>
              <w:t xml:space="preserve">Pool </w:t>
            </w:r>
          </w:p>
          <w:p w14:paraId="17BF8279" w14:textId="0171FEFF" w:rsidR="00B17AB0" w:rsidRPr="00B901D7" w:rsidRDefault="00B17AB0">
            <w:pPr>
              <w:pStyle w:val="Compact"/>
              <w:jc w:val="center"/>
              <w:rPr>
                <w:sz w:val="20"/>
                <w:szCs w:val="20"/>
              </w:rPr>
            </w:pPr>
            <w:r w:rsidRPr="00B901D7">
              <w:rPr>
                <w:sz w:val="20"/>
                <w:szCs w:val="20"/>
              </w:rPr>
              <w:t>(</w:t>
            </w:r>
            <w:r w:rsidR="00971CB0">
              <w:rPr>
                <w:sz w:val="20"/>
                <w:szCs w:val="20"/>
              </w:rPr>
              <w:t>M</w:t>
            </w:r>
            <w:r w:rsidRPr="00B901D7">
              <w:rPr>
                <w:sz w:val="20"/>
                <w:szCs w:val="20"/>
              </w:rPr>
              <w:t xml:space="preserve">g </w:t>
            </w:r>
            <w:r w:rsidR="00971CB0">
              <w:rPr>
                <w:sz w:val="20"/>
                <w:szCs w:val="20"/>
              </w:rPr>
              <w:t>ha</w:t>
            </w:r>
            <w:r w:rsidRPr="00B901D7">
              <w:rPr>
                <w:sz w:val="20"/>
                <w:szCs w:val="20"/>
                <w:vertAlign w:val="superscript"/>
              </w:rPr>
              <w:t>-2</w:t>
            </w:r>
            <w:r w:rsidRPr="00B901D7">
              <w:rPr>
                <w:sz w:val="20"/>
                <w:szCs w:val="20"/>
              </w:rPr>
              <w:t>)</w:t>
            </w:r>
          </w:p>
        </w:tc>
        <w:tc>
          <w:tcPr>
            <w:tcW w:w="419" w:type="pct"/>
            <w:tcBorders>
              <w:top w:val="nil"/>
              <w:left w:val="nil"/>
              <w:bottom w:val="single" w:sz="2" w:space="0" w:color="auto"/>
              <w:right w:val="nil"/>
            </w:tcBorders>
            <w:vAlign w:val="bottom"/>
            <w:hideMark/>
          </w:tcPr>
          <w:p w14:paraId="28FD2A55" w14:textId="79842E54" w:rsidR="00B17AB0" w:rsidRPr="00B901D7" w:rsidRDefault="00B17AB0" w:rsidP="00E205CA">
            <w:pPr>
              <w:pStyle w:val="Compact"/>
              <w:jc w:val="center"/>
              <w:rPr>
                <w:sz w:val="20"/>
                <w:szCs w:val="20"/>
              </w:rPr>
            </w:pPr>
            <w:r w:rsidRPr="00B901D7">
              <w:rPr>
                <w:sz w:val="20"/>
                <w:szCs w:val="20"/>
              </w:rPr>
              <w:t>k</w:t>
            </w:r>
          </w:p>
        </w:tc>
        <w:tc>
          <w:tcPr>
            <w:tcW w:w="685" w:type="pct"/>
            <w:tcBorders>
              <w:top w:val="nil"/>
              <w:left w:val="nil"/>
              <w:bottom w:val="single" w:sz="2" w:space="0" w:color="auto"/>
              <w:right w:val="nil"/>
            </w:tcBorders>
            <w:vAlign w:val="bottom"/>
            <w:hideMark/>
          </w:tcPr>
          <w:p w14:paraId="134DD892" w14:textId="66F4BA71" w:rsidR="00B17AB0" w:rsidRPr="00B901D7" w:rsidRDefault="00B17AB0" w:rsidP="00E205CA">
            <w:pPr>
              <w:pStyle w:val="Compact"/>
              <w:jc w:val="center"/>
              <w:rPr>
                <w:sz w:val="20"/>
                <w:szCs w:val="20"/>
              </w:rPr>
            </w:pPr>
            <w:r w:rsidRPr="00B901D7">
              <w:rPr>
                <w:sz w:val="20"/>
                <w:szCs w:val="20"/>
              </w:rPr>
              <w:t>mrt (years)</w:t>
            </w:r>
          </w:p>
        </w:tc>
      </w:tr>
      <w:tr w:rsidR="00B17AB0" w14:paraId="5DFECD91" w14:textId="77777777" w:rsidTr="000071EB">
        <w:tc>
          <w:tcPr>
            <w:tcW w:w="580" w:type="pct"/>
            <w:vMerge w:val="restart"/>
            <w:tcBorders>
              <w:top w:val="single" w:sz="2" w:space="0" w:color="auto"/>
              <w:bottom w:val="dotted" w:sz="4" w:space="0" w:color="auto"/>
            </w:tcBorders>
            <w:vAlign w:val="center"/>
          </w:tcPr>
          <w:p w14:paraId="2185F567" w14:textId="1BE4DAF9" w:rsidR="00B17AB0" w:rsidRPr="00B901D7" w:rsidRDefault="00B17AB0" w:rsidP="00CF0992">
            <w:pPr>
              <w:pStyle w:val="Compact"/>
              <w:jc w:val="center"/>
              <w:rPr>
                <w:sz w:val="20"/>
                <w:szCs w:val="20"/>
              </w:rPr>
            </w:pPr>
            <w:r w:rsidRPr="00B901D7">
              <w:rPr>
                <w:sz w:val="20"/>
                <w:szCs w:val="20"/>
              </w:rPr>
              <w:t>2010</w:t>
            </w:r>
          </w:p>
        </w:tc>
        <w:tc>
          <w:tcPr>
            <w:tcW w:w="1891" w:type="pct"/>
            <w:tcBorders>
              <w:top w:val="single" w:sz="2" w:space="0" w:color="auto"/>
            </w:tcBorders>
            <w:hideMark/>
          </w:tcPr>
          <w:p w14:paraId="63AEB98F" w14:textId="255C73E2" w:rsidR="00B17AB0" w:rsidRPr="00B901D7" w:rsidRDefault="00B17AB0">
            <w:pPr>
              <w:pStyle w:val="Compact"/>
              <w:rPr>
                <w:sz w:val="20"/>
                <w:szCs w:val="20"/>
              </w:rPr>
            </w:pPr>
            <w:r w:rsidRPr="00B901D7">
              <w:rPr>
                <w:sz w:val="20"/>
                <w:szCs w:val="20"/>
              </w:rPr>
              <w:t>Unfertilized Prairie</w:t>
            </w:r>
          </w:p>
        </w:tc>
        <w:tc>
          <w:tcPr>
            <w:tcW w:w="722" w:type="pct"/>
            <w:tcBorders>
              <w:top w:val="single" w:sz="2" w:space="0" w:color="auto"/>
            </w:tcBorders>
            <w:hideMark/>
          </w:tcPr>
          <w:p w14:paraId="411196CA" w14:textId="03F5B125" w:rsidR="00B17AB0" w:rsidRPr="00B901D7" w:rsidRDefault="00B17AB0">
            <w:pPr>
              <w:pStyle w:val="Compact"/>
              <w:jc w:val="right"/>
              <w:rPr>
                <w:sz w:val="20"/>
                <w:szCs w:val="20"/>
              </w:rPr>
            </w:pPr>
            <w:r w:rsidRPr="00B901D7">
              <w:rPr>
                <w:sz w:val="20"/>
                <w:szCs w:val="20"/>
              </w:rPr>
              <w:t>3</w:t>
            </w:r>
            <w:r w:rsidR="00971CB0">
              <w:rPr>
                <w:sz w:val="20"/>
                <w:szCs w:val="20"/>
              </w:rPr>
              <w:t>.</w:t>
            </w:r>
            <w:r w:rsidRPr="00B901D7">
              <w:rPr>
                <w:sz w:val="20"/>
                <w:szCs w:val="20"/>
              </w:rPr>
              <w:t>67</w:t>
            </w:r>
          </w:p>
        </w:tc>
        <w:tc>
          <w:tcPr>
            <w:tcW w:w="703" w:type="pct"/>
            <w:tcBorders>
              <w:top w:val="single" w:sz="2" w:space="0" w:color="auto"/>
            </w:tcBorders>
            <w:hideMark/>
          </w:tcPr>
          <w:p w14:paraId="0FF131E9" w14:textId="54850259" w:rsidR="00B17AB0" w:rsidRPr="00B901D7" w:rsidRDefault="00B17AB0">
            <w:pPr>
              <w:pStyle w:val="Compact"/>
              <w:jc w:val="right"/>
              <w:rPr>
                <w:sz w:val="20"/>
                <w:szCs w:val="20"/>
              </w:rPr>
            </w:pPr>
            <w:r w:rsidRPr="00B901D7">
              <w:rPr>
                <w:sz w:val="20"/>
                <w:szCs w:val="20"/>
              </w:rPr>
              <w:t>7</w:t>
            </w:r>
            <w:r w:rsidR="00971CB0">
              <w:rPr>
                <w:sz w:val="20"/>
                <w:szCs w:val="20"/>
              </w:rPr>
              <w:t>.</w:t>
            </w:r>
            <w:r w:rsidRPr="00B901D7">
              <w:rPr>
                <w:sz w:val="20"/>
                <w:szCs w:val="20"/>
              </w:rPr>
              <w:t>48</w:t>
            </w:r>
          </w:p>
        </w:tc>
        <w:tc>
          <w:tcPr>
            <w:tcW w:w="419" w:type="pct"/>
            <w:tcBorders>
              <w:top w:val="single" w:sz="2" w:space="0" w:color="auto"/>
            </w:tcBorders>
            <w:hideMark/>
          </w:tcPr>
          <w:p w14:paraId="331462A8" w14:textId="588A6210" w:rsidR="00B17AB0" w:rsidRPr="00B901D7" w:rsidRDefault="00B17AB0" w:rsidP="00B17AB0">
            <w:pPr>
              <w:pStyle w:val="Compact"/>
              <w:jc w:val="right"/>
              <w:rPr>
                <w:sz w:val="20"/>
                <w:szCs w:val="20"/>
              </w:rPr>
            </w:pPr>
            <w:r w:rsidRPr="00B901D7">
              <w:rPr>
                <w:sz w:val="20"/>
                <w:szCs w:val="20"/>
              </w:rPr>
              <w:t>0.</w:t>
            </w:r>
            <w:r>
              <w:rPr>
                <w:sz w:val="20"/>
                <w:szCs w:val="20"/>
              </w:rPr>
              <w:t>49</w:t>
            </w:r>
          </w:p>
        </w:tc>
        <w:tc>
          <w:tcPr>
            <w:tcW w:w="685" w:type="pct"/>
            <w:tcBorders>
              <w:top w:val="single" w:sz="2" w:space="0" w:color="auto"/>
            </w:tcBorders>
            <w:hideMark/>
          </w:tcPr>
          <w:p w14:paraId="3019848C" w14:textId="4FE0F5AD" w:rsidR="00B17AB0" w:rsidRPr="00B901D7" w:rsidRDefault="00B17AB0">
            <w:pPr>
              <w:pStyle w:val="Compact"/>
              <w:jc w:val="right"/>
              <w:rPr>
                <w:sz w:val="20"/>
                <w:szCs w:val="20"/>
              </w:rPr>
            </w:pPr>
            <w:r>
              <w:rPr>
                <w:sz w:val="20"/>
                <w:szCs w:val="20"/>
              </w:rPr>
              <w:t>2.04</w:t>
            </w:r>
          </w:p>
        </w:tc>
      </w:tr>
      <w:tr w:rsidR="00B17AB0" w14:paraId="2E103561" w14:textId="77777777" w:rsidTr="000071EB">
        <w:tc>
          <w:tcPr>
            <w:tcW w:w="580" w:type="pct"/>
            <w:vMerge/>
            <w:tcBorders>
              <w:bottom w:val="dotted" w:sz="4" w:space="0" w:color="auto"/>
            </w:tcBorders>
            <w:vAlign w:val="center"/>
          </w:tcPr>
          <w:p w14:paraId="281110DE" w14:textId="77777777" w:rsidR="00B17AB0" w:rsidRPr="00B901D7" w:rsidRDefault="00B17AB0" w:rsidP="00CF0992">
            <w:pPr>
              <w:pStyle w:val="Compact"/>
              <w:jc w:val="center"/>
              <w:rPr>
                <w:sz w:val="20"/>
                <w:szCs w:val="20"/>
              </w:rPr>
            </w:pPr>
          </w:p>
        </w:tc>
        <w:tc>
          <w:tcPr>
            <w:tcW w:w="1891" w:type="pct"/>
            <w:hideMark/>
          </w:tcPr>
          <w:p w14:paraId="1321244C" w14:textId="6D0E3312" w:rsidR="00B17AB0" w:rsidRPr="00B901D7" w:rsidRDefault="00B17AB0" w:rsidP="00CF0992">
            <w:pPr>
              <w:pStyle w:val="Compact"/>
              <w:rPr>
                <w:sz w:val="20"/>
                <w:szCs w:val="20"/>
              </w:rPr>
            </w:pPr>
            <w:r w:rsidRPr="00B901D7">
              <w:rPr>
                <w:sz w:val="20"/>
                <w:szCs w:val="20"/>
              </w:rPr>
              <w:t>Fertilized Prairie</w:t>
            </w:r>
          </w:p>
        </w:tc>
        <w:tc>
          <w:tcPr>
            <w:tcW w:w="722" w:type="pct"/>
            <w:hideMark/>
          </w:tcPr>
          <w:p w14:paraId="797A2B4F" w14:textId="7FE50C42" w:rsidR="00B17AB0" w:rsidRPr="00B901D7" w:rsidRDefault="00B17AB0">
            <w:pPr>
              <w:pStyle w:val="Compact"/>
              <w:jc w:val="right"/>
              <w:rPr>
                <w:sz w:val="20"/>
                <w:szCs w:val="20"/>
              </w:rPr>
            </w:pPr>
            <w:r w:rsidRPr="00B901D7">
              <w:rPr>
                <w:sz w:val="20"/>
                <w:szCs w:val="20"/>
              </w:rPr>
              <w:t>1</w:t>
            </w:r>
            <w:r w:rsidR="00971CB0">
              <w:rPr>
                <w:sz w:val="20"/>
                <w:szCs w:val="20"/>
              </w:rPr>
              <w:t>.</w:t>
            </w:r>
            <w:r w:rsidRPr="00B901D7">
              <w:rPr>
                <w:sz w:val="20"/>
                <w:szCs w:val="20"/>
              </w:rPr>
              <w:t>46</w:t>
            </w:r>
          </w:p>
        </w:tc>
        <w:tc>
          <w:tcPr>
            <w:tcW w:w="703" w:type="pct"/>
            <w:hideMark/>
          </w:tcPr>
          <w:p w14:paraId="3C431382" w14:textId="7B9C1518" w:rsidR="00B17AB0" w:rsidRPr="00B901D7" w:rsidRDefault="00B17AB0">
            <w:pPr>
              <w:pStyle w:val="Compact"/>
              <w:jc w:val="right"/>
              <w:rPr>
                <w:sz w:val="20"/>
                <w:szCs w:val="20"/>
              </w:rPr>
            </w:pPr>
            <w:r w:rsidRPr="00B901D7">
              <w:rPr>
                <w:sz w:val="20"/>
                <w:szCs w:val="20"/>
              </w:rPr>
              <w:t>2</w:t>
            </w:r>
            <w:r w:rsidR="00971CB0">
              <w:rPr>
                <w:sz w:val="20"/>
                <w:szCs w:val="20"/>
              </w:rPr>
              <w:t>.</w:t>
            </w:r>
            <w:r w:rsidRPr="00B901D7">
              <w:rPr>
                <w:sz w:val="20"/>
                <w:szCs w:val="20"/>
              </w:rPr>
              <w:t>31</w:t>
            </w:r>
          </w:p>
        </w:tc>
        <w:tc>
          <w:tcPr>
            <w:tcW w:w="419" w:type="pct"/>
            <w:hideMark/>
          </w:tcPr>
          <w:p w14:paraId="745045A7" w14:textId="2DD2D50B" w:rsidR="00B17AB0" w:rsidRPr="00B901D7" w:rsidRDefault="00B17AB0" w:rsidP="00273B2A">
            <w:pPr>
              <w:pStyle w:val="Compact"/>
              <w:jc w:val="right"/>
              <w:rPr>
                <w:sz w:val="20"/>
                <w:szCs w:val="20"/>
              </w:rPr>
            </w:pPr>
            <w:r w:rsidRPr="00B901D7">
              <w:rPr>
                <w:sz w:val="20"/>
                <w:szCs w:val="20"/>
              </w:rPr>
              <w:t>0.</w:t>
            </w:r>
            <w:r>
              <w:rPr>
                <w:sz w:val="20"/>
                <w:szCs w:val="20"/>
              </w:rPr>
              <w:t>63</w:t>
            </w:r>
          </w:p>
        </w:tc>
        <w:tc>
          <w:tcPr>
            <w:tcW w:w="685" w:type="pct"/>
            <w:hideMark/>
          </w:tcPr>
          <w:p w14:paraId="468D194B" w14:textId="0C43D79F" w:rsidR="00B17AB0" w:rsidRPr="00B901D7" w:rsidRDefault="00B17AB0">
            <w:pPr>
              <w:pStyle w:val="Compact"/>
              <w:jc w:val="right"/>
              <w:rPr>
                <w:sz w:val="20"/>
                <w:szCs w:val="20"/>
              </w:rPr>
            </w:pPr>
            <w:r>
              <w:rPr>
                <w:sz w:val="20"/>
                <w:szCs w:val="20"/>
              </w:rPr>
              <w:t>1.58</w:t>
            </w:r>
          </w:p>
        </w:tc>
      </w:tr>
      <w:tr w:rsidR="00B17AB0" w14:paraId="560E68A7" w14:textId="77777777" w:rsidTr="000071EB">
        <w:tc>
          <w:tcPr>
            <w:tcW w:w="580" w:type="pct"/>
            <w:vMerge/>
            <w:tcBorders>
              <w:bottom w:val="dotted" w:sz="4" w:space="0" w:color="auto"/>
            </w:tcBorders>
            <w:vAlign w:val="center"/>
          </w:tcPr>
          <w:p w14:paraId="512B2759" w14:textId="77777777" w:rsidR="00B17AB0" w:rsidRPr="00B901D7" w:rsidRDefault="00B17AB0" w:rsidP="00CF0992">
            <w:pPr>
              <w:pStyle w:val="Compact"/>
              <w:jc w:val="center"/>
              <w:rPr>
                <w:sz w:val="20"/>
                <w:szCs w:val="20"/>
              </w:rPr>
            </w:pPr>
          </w:p>
        </w:tc>
        <w:tc>
          <w:tcPr>
            <w:tcW w:w="1891" w:type="pct"/>
            <w:tcBorders>
              <w:bottom w:val="dotted" w:sz="4" w:space="0" w:color="auto"/>
            </w:tcBorders>
          </w:tcPr>
          <w:p w14:paraId="3EDC89A1" w14:textId="29A0472A" w:rsidR="00B17AB0" w:rsidRPr="00B901D7" w:rsidRDefault="00B17AB0" w:rsidP="00D349E2">
            <w:pPr>
              <w:pStyle w:val="Compact"/>
              <w:rPr>
                <w:sz w:val="20"/>
                <w:szCs w:val="20"/>
              </w:rPr>
            </w:pPr>
            <w:r w:rsidRPr="00B901D7">
              <w:rPr>
                <w:sz w:val="20"/>
                <w:szCs w:val="20"/>
              </w:rPr>
              <w:t>Maize</w:t>
            </w:r>
          </w:p>
        </w:tc>
        <w:tc>
          <w:tcPr>
            <w:tcW w:w="722" w:type="pct"/>
            <w:tcBorders>
              <w:bottom w:val="dotted" w:sz="4" w:space="0" w:color="auto"/>
            </w:tcBorders>
          </w:tcPr>
          <w:p w14:paraId="2D98B297" w14:textId="4E2B8756" w:rsidR="00B17AB0" w:rsidRPr="00B901D7" w:rsidRDefault="00971CB0" w:rsidP="00D349E2">
            <w:pPr>
              <w:pStyle w:val="Compact"/>
              <w:jc w:val="right"/>
              <w:rPr>
                <w:sz w:val="20"/>
                <w:szCs w:val="20"/>
              </w:rPr>
            </w:pPr>
            <w:r>
              <w:rPr>
                <w:sz w:val="20"/>
                <w:szCs w:val="20"/>
              </w:rPr>
              <w:t>0.</w:t>
            </w:r>
            <w:r w:rsidR="00B17AB0" w:rsidRPr="00B901D7">
              <w:rPr>
                <w:sz w:val="20"/>
                <w:szCs w:val="20"/>
              </w:rPr>
              <w:t>56</w:t>
            </w:r>
          </w:p>
        </w:tc>
        <w:tc>
          <w:tcPr>
            <w:tcW w:w="703" w:type="pct"/>
            <w:tcBorders>
              <w:bottom w:val="dotted" w:sz="4" w:space="0" w:color="auto"/>
            </w:tcBorders>
          </w:tcPr>
          <w:p w14:paraId="013155C6" w14:textId="7B6F9E2C" w:rsidR="00B17AB0" w:rsidRPr="00B901D7" w:rsidRDefault="00971CB0" w:rsidP="00D349E2">
            <w:pPr>
              <w:pStyle w:val="Compact"/>
              <w:jc w:val="right"/>
              <w:rPr>
                <w:sz w:val="20"/>
                <w:szCs w:val="20"/>
              </w:rPr>
            </w:pPr>
            <w:r>
              <w:rPr>
                <w:sz w:val="20"/>
                <w:szCs w:val="20"/>
              </w:rPr>
              <w:t>0.</w:t>
            </w:r>
            <w:r w:rsidR="00B17AB0" w:rsidRPr="00B901D7">
              <w:rPr>
                <w:sz w:val="20"/>
                <w:szCs w:val="20"/>
              </w:rPr>
              <w:t>44</w:t>
            </w:r>
          </w:p>
        </w:tc>
        <w:tc>
          <w:tcPr>
            <w:tcW w:w="419" w:type="pct"/>
            <w:tcBorders>
              <w:bottom w:val="dotted" w:sz="4" w:space="0" w:color="auto"/>
            </w:tcBorders>
          </w:tcPr>
          <w:p w14:paraId="5CB4498C" w14:textId="6FA21DA1" w:rsidR="00B17AB0" w:rsidRPr="00B901D7" w:rsidRDefault="00B17AB0">
            <w:pPr>
              <w:pStyle w:val="Compact"/>
              <w:jc w:val="right"/>
              <w:rPr>
                <w:sz w:val="20"/>
                <w:szCs w:val="20"/>
              </w:rPr>
            </w:pPr>
            <w:r>
              <w:rPr>
                <w:sz w:val="20"/>
                <w:szCs w:val="20"/>
              </w:rPr>
              <w:t>1.27</w:t>
            </w:r>
          </w:p>
        </w:tc>
        <w:tc>
          <w:tcPr>
            <w:tcW w:w="685" w:type="pct"/>
            <w:tcBorders>
              <w:bottom w:val="dotted" w:sz="4" w:space="0" w:color="auto"/>
            </w:tcBorders>
          </w:tcPr>
          <w:p w14:paraId="0B7657AE" w14:textId="6E5B9391" w:rsidR="00B17AB0" w:rsidRPr="00B901D7" w:rsidRDefault="00B17AB0" w:rsidP="00D349E2">
            <w:pPr>
              <w:pStyle w:val="Compact"/>
              <w:jc w:val="right"/>
              <w:rPr>
                <w:sz w:val="20"/>
                <w:szCs w:val="20"/>
              </w:rPr>
            </w:pPr>
            <w:r>
              <w:rPr>
                <w:sz w:val="20"/>
                <w:szCs w:val="20"/>
              </w:rPr>
              <w:t>0.79</w:t>
            </w:r>
          </w:p>
        </w:tc>
      </w:tr>
      <w:tr w:rsidR="00B17AB0" w14:paraId="42575576" w14:textId="77777777" w:rsidTr="000071EB">
        <w:tc>
          <w:tcPr>
            <w:tcW w:w="580" w:type="pct"/>
            <w:vMerge w:val="restart"/>
            <w:tcBorders>
              <w:top w:val="dotted" w:sz="4" w:space="0" w:color="auto"/>
              <w:bottom w:val="single" w:sz="2" w:space="0" w:color="auto"/>
            </w:tcBorders>
            <w:vAlign w:val="center"/>
          </w:tcPr>
          <w:p w14:paraId="0974355B" w14:textId="44878D2F" w:rsidR="00B17AB0" w:rsidRPr="00B901D7" w:rsidRDefault="00B17AB0" w:rsidP="00CF0992">
            <w:pPr>
              <w:pStyle w:val="Compact"/>
              <w:jc w:val="center"/>
              <w:rPr>
                <w:sz w:val="20"/>
                <w:szCs w:val="20"/>
              </w:rPr>
            </w:pPr>
            <w:r w:rsidRPr="00B901D7">
              <w:rPr>
                <w:sz w:val="20"/>
                <w:szCs w:val="20"/>
              </w:rPr>
              <w:t>2011</w:t>
            </w:r>
          </w:p>
        </w:tc>
        <w:tc>
          <w:tcPr>
            <w:tcW w:w="1891" w:type="pct"/>
            <w:tcBorders>
              <w:top w:val="dotted" w:sz="4" w:space="0" w:color="auto"/>
            </w:tcBorders>
          </w:tcPr>
          <w:p w14:paraId="01D1C296" w14:textId="4D3C826F" w:rsidR="00B17AB0" w:rsidRPr="00B901D7" w:rsidRDefault="00B17AB0" w:rsidP="00CF0992">
            <w:pPr>
              <w:pStyle w:val="Compact"/>
              <w:rPr>
                <w:sz w:val="20"/>
                <w:szCs w:val="20"/>
              </w:rPr>
            </w:pPr>
            <w:r w:rsidRPr="00B901D7">
              <w:rPr>
                <w:sz w:val="20"/>
                <w:szCs w:val="20"/>
              </w:rPr>
              <w:t>Unfertilized Prairie</w:t>
            </w:r>
          </w:p>
        </w:tc>
        <w:tc>
          <w:tcPr>
            <w:tcW w:w="722" w:type="pct"/>
            <w:tcBorders>
              <w:top w:val="dotted" w:sz="4" w:space="0" w:color="auto"/>
            </w:tcBorders>
          </w:tcPr>
          <w:p w14:paraId="6722A7E4" w14:textId="3359828B" w:rsidR="00B17AB0" w:rsidRPr="00B901D7" w:rsidRDefault="00B17AB0" w:rsidP="00CF0992">
            <w:pPr>
              <w:pStyle w:val="Compact"/>
              <w:jc w:val="right"/>
              <w:rPr>
                <w:sz w:val="20"/>
                <w:szCs w:val="20"/>
              </w:rPr>
            </w:pPr>
            <w:r w:rsidRPr="00B901D7">
              <w:rPr>
                <w:sz w:val="20"/>
                <w:szCs w:val="20"/>
              </w:rPr>
              <w:t>3</w:t>
            </w:r>
            <w:r w:rsidR="00971CB0">
              <w:rPr>
                <w:sz w:val="20"/>
                <w:szCs w:val="20"/>
              </w:rPr>
              <w:t>.</w:t>
            </w:r>
            <w:r w:rsidRPr="00B901D7">
              <w:rPr>
                <w:sz w:val="20"/>
                <w:szCs w:val="20"/>
              </w:rPr>
              <w:t>87</w:t>
            </w:r>
          </w:p>
        </w:tc>
        <w:tc>
          <w:tcPr>
            <w:tcW w:w="703" w:type="pct"/>
            <w:tcBorders>
              <w:top w:val="dotted" w:sz="4" w:space="0" w:color="auto"/>
            </w:tcBorders>
          </w:tcPr>
          <w:p w14:paraId="7EA26B89" w14:textId="4A54676B" w:rsidR="00B17AB0" w:rsidRPr="00B901D7" w:rsidRDefault="00B17AB0" w:rsidP="00CF0992">
            <w:pPr>
              <w:pStyle w:val="Compact"/>
              <w:jc w:val="right"/>
              <w:rPr>
                <w:sz w:val="20"/>
                <w:szCs w:val="20"/>
              </w:rPr>
            </w:pPr>
            <w:r w:rsidRPr="00B901D7">
              <w:rPr>
                <w:sz w:val="20"/>
                <w:szCs w:val="20"/>
              </w:rPr>
              <w:t>7</w:t>
            </w:r>
            <w:r w:rsidR="00971CB0">
              <w:rPr>
                <w:sz w:val="20"/>
                <w:szCs w:val="20"/>
              </w:rPr>
              <w:t>.</w:t>
            </w:r>
            <w:r w:rsidRPr="00B901D7">
              <w:rPr>
                <w:sz w:val="20"/>
                <w:szCs w:val="20"/>
              </w:rPr>
              <w:t>58</w:t>
            </w:r>
          </w:p>
        </w:tc>
        <w:tc>
          <w:tcPr>
            <w:tcW w:w="419" w:type="pct"/>
            <w:tcBorders>
              <w:top w:val="dotted" w:sz="4" w:space="0" w:color="auto"/>
            </w:tcBorders>
          </w:tcPr>
          <w:p w14:paraId="38045D3B" w14:textId="751284C6" w:rsidR="00B17AB0" w:rsidRPr="00B901D7" w:rsidRDefault="00B17AB0" w:rsidP="00273B2A">
            <w:pPr>
              <w:pStyle w:val="Compact"/>
              <w:jc w:val="right"/>
              <w:rPr>
                <w:sz w:val="20"/>
                <w:szCs w:val="20"/>
              </w:rPr>
            </w:pPr>
            <w:r w:rsidRPr="00B901D7">
              <w:rPr>
                <w:sz w:val="20"/>
                <w:szCs w:val="20"/>
              </w:rPr>
              <w:t>0.</w:t>
            </w:r>
            <w:r>
              <w:rPr>
                <w:sz w:val="20"/>
                <w:szCs w:val="20"/>
              </w:rPr>
              <w:t>51</w:t>
            </w:r>
          </w:p>
        </w:tc>
        <w:tc>
          <w:tcPr>
            <w:tcW w:w="685" w:type="pct"/>
            <w:tcBorders>
              <w:top w:val="dotted" w:sz="4" w:space="0" w:color="auto"/>
            </w:tcBorders>
          </w:tcPr>
          <w:p w14:paraId="1A798105" w14:textId="627C8FCC" w:rsidR="00B17AB0" w:rsidRPr="00B901D7" w:rsidRDefault="00B17AB0" w:rsidP="00273B2A">
            <w:pPr>
              <w:pStyle w:val="Compact"/>
              <w:jc w:val="right"/>
              <w:rPr>
                <w:sz w:val="20"/>
                <w:szCs w:val="20"/>
              </w:rPr>
            </w:pPr>
            <w:r>
              <w:rPr>
                <w:sz w:val="20"/>
                <w:szCs w:val="20"/>
              </w:rPr>
              <w:t>1.96</w:t>
            </w:r>
          </w:p>
        </w:tc>
      </w:tr>
      <w:tr w:rsidR="00B17AB0" w14:paraId="5B040D1B" w14:textId="77777777" w:rsidTr="000071EB">
        <w:tc>
          <w:tcPr>
            <w:tcW w:w="580" w:type="pct"/>
            <w:vMerge/>
            <w:tcBorders>
              <w:bottom w:val="single" w:sz="2" w:space="0" w:color="auto"/>
            </w:tcBorders>
          </w:tcPr>
          <w:p w14:paraId="1CE6CAB0" w14:textId="77777777" w:rsidR="00B17AB0" w:rsidRPr="00B901D7" w:rsidRDefault="00B17AB0" w:rsidP="00CF0992">
            <w:pPr>
              <w:pStyle w:val="Compact"/>
              <w:rPr>
                <w:sz w:val="20"/>
                <w:szCs w:val="20"/>
              </w:rPr>
            </w:pPr>
          </w:p>
        </w:tc>
        <w:tc>
          <w:tcPr>
            <w:tcW w:w="1891" w:type="pct"/>
          </w:tcPr>
          <w:p w14:paraId="2B7675FF" w14:textId="2D806FAC" w:rsidR="00B17AB0" w:rsidRPr="00B901D7" w:rsidRDefault="00B17AB0" w:rsidP="00CF0992">
            <w:pPr>
              <w:pStyle w:val="Compact"/>
              <w:rPr>
                <w:sz w:val="20"/>
                <w:szCs w:val="20"/>
              </w:rPr>
            </w:pPr>
            <w:r w:rsidRPr="00B901D7">
              <w:rPr>
                <w:sz w:val="20"/>
                <w:szCs w:val="20"/>
              </w:rPr>
              <w:t>Fertilized Prairie</w:t>
            </w:r>
          </w:p>
        </w:tc>
        <w:tc>
          <w:tcPr>
            <w:tcW w:w="722" w:type="pct"/>
          </w:tcPr>
          <w:p w14:paraId="7A998137" w14:textId="461E3A14" w:rsidR="00B17AB0" w:rsidRPr="00B901D7" w:rsidRDefault="00B17AB0" w:rsidP="00CF0992">
            <w:pPr>
              <w:pStyle w:val="Compact"/>
              <w:jc w:val="right"/>
              <w:rPr>
                <w:sz w:val="20"/>
                <w:szCs w:val="20"/>
              </w:rPr>
            </w:pPr>
            <w:r w:rsidRPr="00B901D7">
              <w:rPr>
                <w:sz w:val="20"/>
                <w:szCs w:val="20"/>
              </w:rPr>
              <w:t>1</w:t>
            </w:r>
            <w:r w:rsidR="00971CB0">
              <w:rPr>
                <w:sz w:val="20"/>
                <w:szCs w:val="20"/>
              </w:rPr>
              <w:t>.</w:t>
            </w:r>
            <w:r w:rsidRPr="00B901D7">
              <w:rPr>
                <w:sz w:val="20"/>
                <w:szCs w:val="20"/>
              </w:rPr>
              <w:t>68</w:t>
            </w:r>
          </w:p>
        </w:tc>
        <w:tc>
          <w:tcPr>
            <w:tcW w:w="703" w:type="pct"/>
          </w:tcPr>
          <w:p w14:paraId="08B546EF" w14:textId="16BF1ED4" w:rsidR="00B17AB0" w:rsidRPr="00B901D7" w:rsidRDefault="00B17AB0" w:rsidP="00CF0992">
            <w:pPr>
              <w:pStyle w:val="Compact"/>
              <w:jc w:val="right"/>
              <w:rPr>
                <w:sz w:val="20"/>
                <w:szCs w:val="20"/>
              </w:rPr>
            </w:pPr>
            <w:r w:rsidRPr="00B901D7">
              <w:rPr>
                <w:sz w:val="20"/>
                <w:szCs w:val="20"/>
              </w:rPr>
              <w:t>3</w:t>
            </w:r>
            <w:r w:rsidR="00971CB0">
              <w:rPr>
                <w:sz w:val="20"/>
                <w:szCs w:val="20"/>
              </w:rPr>
              <w:t>.</w:t>
            </w:r>
            <w:r w:rsidRPr="00B901D7">
              <w:rPr>
                <w:sz w:val="20"/>
                <w:szCs w:val="20"/>
              </w:rPr>
              <w:t>42</w:t>
            </w:r>
          </w:p>
        </w:tc>
        <w:tc>
          <w:tcPr>
            <w:tcW w:w="419" w:type="pct"/>
          </w:tcPr>
          <w:p w14:paraId="2D6EE411" w14:textId="5015A237" w:rsidR="00B17AB0" w:rsidRPr="00B901D7" w:rsidRDefault="00B17AB0" w:rsidP="00273B2A">
            <w:pPr>
              <w:pStyle w:val="Compact"/>
              <w:jc w:val="right"/>
              <w:rPr>
                <w:sz w:val="20"/>
                <w:szCs w:val="20"/>
              </w:rPr>
            </w:pPr>
            <w:r w:rsidRPr="00B901D7">
              <w:rPr>
                <w:sz w:val="20"/>
                <w:szCs w:val="20"/>
              </w:rPr>
              <w:t>0.</w:t>
            </w:r>
            <w:r>
              <w:rPr>
                <w:sz w:val="20"/>
                <w:szCs w:val="20"/>
              </w:rPr>
              <w:t>49</w:t>
            </w:r>
          </w:p>
        </w:tc>
        <w:tc>
          <w:tcPr>
            <w:tcW w:w="685" w:type="pct"/>
          </w:tcPr>
          <w:p w14:paraId="12301E38" w14:textId="68FD0A3E" w:rsidR="00B17AB0" w:rsidRPr="00B901D7" w:rsidRDefault="00B17AB0" w:rsidP="00273B2A">
            <w:pPr>
              <w:pStyle w:val="Compact"/>
              <w:jc w:val="right"/>
              <w:rPr>
                <w:sz w:val="20"/>
                <w:szCs w:val="20"/>
              </w:rPr>
            </w:pPr>
            <w:r>
              <w:rPr>
                <w:sz w:val="20"/>
                <w:szCs w:val="20"/>
              </w:rPr>
              <w:t>2.03</w:t>
            </w:r>
          </w:p>
        </w:tc>
      </w:tr>
      <w:tr w:rsidR="00B17AB0" w14:paraId="1FBFB441" w14:textId="77777777" w:rsidTr="000071EB">
        <w:tc>
          <w:tcPr>
            <w:tcW w:w="580" w:type="pct"/>
            <w:vMerge/>
            <w:tcBorders>
              <w:bottom w:val="single" w:sz="2" w:space="0" w:color="auto"/>
            </w:tcBorders>
          </w:tcPr>
          <w:p w14:paraId="12235667" w14:textId="77777777" w:rsidR="00B17AB0" w:rsidRPr="00B901D7" w:rsidRDefault="00B17AB0" w:rsidP="00CF0992">
            <w:pPr>
              <w:pStyle w:val="Compact"/>
              <w:rPr>
                <w:sz w:val="20"/>
                <w:szCs w:val="20"/>
              </w:rPr>
            </w:pPr>
          </w:p>
        </w:tc>
        <w:tc>
          <w:tcPr>
            <w:tcW w:w="1891" w:type="pct"/>
            <w:tcBorders>
              <w:bottom w:val="single" w:sz="2" w:space="0" w:color="auto"/>
            </w:tcBorders>
            <w:hideMark/>
          </w:tcPr>
          <w:p w14:paraId="45779894" w14:textId="77F89384" w:rsidR="00B17AB0" w:rsidRPr="00B901D7" w:rsidRDefault="00B17AB0" w:rsidP="00CF0992">
            <w:pPr>
              <w:pStyle w:val="Compact"/>
              <w:rPr>
                <w:sz w:val="20"/>
                <w:szCs w:val="20"/>
              </w:rPr>
            </w:pPr>
            <w:r w:rsidRPr="00B901D7">
              <w:rPr>
                <w:sz w:val="20"/>
                <w:szCs w:val="20"/>
              </w:rPr>
              <w:t>Maize</w:t>
            </w:r>
          </w:p>
        </w:tc>
        <w:tc>
          <w:tcPr>
            <w:tcW w:w="722" w:type="pct"/>
            <w:tcBorders>
              <w:bottom w:val="single" w:sz="2" w:space="0" w:color="auto"/>
            </w:tcBorders>
            <w:hideMark/>
          </w:tcPr>
          <w:p w14:paraId="18254274" w14:textId="45DD19E9" w:rsidR="00B17AB0" w:rsidRPr="00B901D7" w:rsidRDefault="00971CB0" w:rsidP="00CF0992">
            <w:pPr>
              <w:pStyle w:val="Compact"/>
              <w:jc w:val="right"/>
              <w:rPr>
                <w:sz w:val="20"/>
                <w:szCs w:val="20"/>
              </w:rPr>
            </w:pPr>
            <w:r>
              <w:rPr>
                <w:sz w:val="20"/>
                <w:szCs w:val="20"/>
              </w:rPr>
              <w:t>0.</w:t>
            </w:r>
            <w:r w:rsidR="00B17AB0" w:rsidRPr="00B901D7">
              <w:rPr>
                <w:sz w:val="20"/>
                <w:szCs w:val="20"/>
              </w:rPr>
              <w:t>48</w:t>
            </w:r>
          </w:p>
        </w:tc>
        <w:tc>
          <w:tcPr>
            <w:tcW w:w="703" w:type="pct"/>
            <w:tcBorders>
              <w:bottom w:val="single" w:sz="2" w:space="0" w:color="auto"/>
            </w:tcBorders>
            <w:hideMark/>
          </w:tcPr>
          <w:p w14:paraId="16AD7956" w14:textId="16606C77" w:rsidR="00B17AB0" w:rsidRPr="00B901D7" w:rsidRDefault="00971CB0" w:rsidP="00CF0992">
            <w:pPr>
              <w:pStyle w:val="Compact"/>
              <w:jc w:val="right"/>
              <w:rPr>
                <w:sz w:val="20"/>
                <w:szCs w:val="20"/>
              </w:rPr>
            </w:pPr>
            <w:r>
              <w:rPr>
                <w:sz w:val="20"/>
                <w:szCs w:val="20"/>
              </w:rPr>
              <w:t>0.</w:t>
            </w:r>
            <w:r w:rsidR="00B17AB0" w:rsidRPr="00B901D7">
              <w:rPr>
                <w:sz w:val="20"/>
                <w:szCs w:val="20"/>
              </w:rPr>
              <w:t>47</w:t>
            </w:r>
          </w:p>
        </w:tc>
        <w:tc>
          <w:tcPr>
            <w:tcW w:w="419" w:type="pct"/>
            <w:tcBorders>
              <w:bottom w:val="single" w:sz="2" w:space="0" w:color="auto"/>
            </w:tcBorders>
            <w:hideMark/>
          </w:tcPr>
          <w:p w14:paraId="18149144" w14:textId="3218FFA9" w:rsidR="00B17AB0" w:rsidRPr="00B901D7" w:rsidRDefault="00B17AB0" w:rsidP="00273B2A">
            <w:pPr>
              <w:pStyle w:val="Compact"/>
              <w:jc w:val="right"/>
              <w:rPr>
                <w:sz w:val="20"/>
                <w:szCs w:val="20"/>
              </w:rPr>
            </w:pPr>
            <w:r>
              <w:rPr>
                <w:sz w:val="20"/>
                <w:szCs w:val="20"/>
              </w:rPr>
              <w:t>1.01</w:t>
            </w:r>
          </w:p>
        </w:tc>
        <w:tc>
          <w:tcPr>
            <w:tcW w:w="685" w:type="pct"/>
            <w:tcBorders>
              <w:bottom w:val="single" w:sz="2" w:space="0" w:color="auto"/>
            </w:tcBorders>
            <w:hideMark/>
          </w:tcPr>
          <w:p w14:paraId="681599F1" w14:textId="0414CBE4" w:rsidR="00B17AB0" w:rsidRPr="00B901D7" w:rsidRDefault="00B17AB0" w:rsidP="00CF0992">
            <w:pPr>
              <w:pStyle w:val="Compact"/>
              <w:jc w:val="right"/>
              <w:rPr>
                <w:sz w:val="20"/>
                <w:szCs w:val="20"/>
              </w:rPr>
            </w:pPr>
            <w:r>
              <w:rPr>
                <w:sz w:val="20"/>
                <w:szCs w:val="20"/>
              </w:rPr>
              <w:t>0.99</w:t>
            </w:r>
          </w:p>
        </w:tc>
      </w:tr>
    </w:tbl>
    <w:p w14:paraId="400F8197" w14:textId="77777777" w:rsidR="006B6053" w:rsidRPr="00532388" w:rsidRDefault="006B6053" w:rsidP="00532388">
      <w:pPr>
        <w:rPr>
          <w:szCs w:val="20"/>
        </w:rPr>
      </w:pPr>
    </w:p>
    <w:p w14:paraId="5586D20E" w14:textId="1A29A86F" w:rsidR="00532388" w:rsidRPr="00532388" w:rsidRDefault="00532388" w:rsidP="00532388">
      <w:pPr>
        <w:rPr>
          <w:szCs w:val="20"/>
        </w:rPr>
      </w:pPr>
      <w:r w:rsidRPr="00532388">
        <w:rPr>
          <w:szCs w:val="20"/>
        </w:rPr>
        <w:t xml:space="preserve">Prairie roots had a mean residence time (mrt) of </w:t>
      </w:r>
      <w:r w:rsidR="00F22177">
        <w:rPr>
          <w:szCs w:val="20"/>
        </w:rPr>
        <w:t>1.90</w:t>
      </w:r>
      <w:r w:rsidRPr="00532388">
        <w:rPr>
          <w:szCs w:val="20"/>
        </w:rPr>
        <w:t xml:space="preserve"> years in the top 30 cm of the profile when averaged across treatments and years (2010 and 2011).  Maize roots turned over </w:t>
      </w:r>
      <w:r w:rsidR="00F22177">
        <w:rPr>
          <w:szCs w:val="20"/>
        </w:rPr>
        <w:t xml:space="preserve">almost </w:t>
      </w:r>
      <w:r w:rsidRPr="00532388">
        <w:rPr>
          <w:szCs w:val="20"/>
        </w:rPr>
        <w:t xml:space="preserve">twice as fast as prairie roots when averaged across treatments and years (Table 3).  </w:t>
      </w:r>
    </w:p>
    <w:p w14:paraId="303549F7" w14:textId="66ADB019" w:rsidR="00532388" w:rsidRPr="00532388" w:rsidRDefault="00EA4D22" w:rsidP="00554D80">
      <w:pPr>
        <w:jc w:val="center"/>
        <w:rPr>
          <w:szCs w:val="20"/>
        </w:rPr>
      </w:pPr>
      <w:r w:rsidRPr="00EA4D22">
        <w:rPr>
          <w:noProof/>
          <w:lang w:val="en-US" w:eastAsia="en-US"/>
        </w:rPr>
        <w:lastRenderedPageBreak/>
        <w:drawing>
          <wp:inline distT="0" distB="0" distL="0" distR="0" wp14:anchorId="3049919D" wp14:editId="11640868">
            <wp:extent cx="3485714" cy="6971428"/>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14" cy="6971428"/>
                    </a:xfrm>
                    <a:prstGeom prst="rect">
                      <a:avLst/>
                    </a:prstGeom>
                  </pic:spPr>
                </pic:pic>
              </a:graphicData>
            </a:graphic>
          </wp:inline>
        </w:drawing>
      </w:r>
    </w:p>
    <w:p w14:paraId="07634B45" w14:textId="4B2F63B8" w:rsidR="00532388" w:rsidRDefault="00532388" w:rsidP="00532388">
      <w:pPr>
        <w:rPr>
          <w:szCs w:val="20"/>
        </w:rPr>
      </w:pPr>
      <w:r w:rsidRPr="00532388">
        <w:rPr>
          <w:szCs w:val="20"/>
        </w:rPr>
        <w:t xml:space="preserve">Figure </w:t>
      </w:r>
      <w:r w:rsidR="00777D08">
        <w:rPr>
          <w:szCs w:val="20"/>
        </w:rPr>
        <w:t>5</w:t>
      </w:r>
      <w:r w:rsidRPr="00532388">
        <w:rPr>
          <w:szCs w:val="20"/>
        </w:rPr>
        <w:t xml:space="preserve">. Root C:N ratios with depth over time. Grey shading represents one standard error of the mean. </w:t>
      </w:r>
    </w:p>
    <w:p w14:paraId="2AB973E7" w14:textId="77777777" w:rsidR="009130B4" w:rsidRPr="00532388" w:rsidRDefault="009130B4" w:rsidP="00532388">
      <w:pPr>
        <w:rPr>
          <w:szCs w:val="20"/>
        </w:rPr>
      </w:pPr>
    </w:p>
    <w:p w14:paraId="074B54EF" w14:textId="45E891E5" w:rsidR="00532388" w:rsidRPr="00532388" w:rsidRDefault="00532388" w:rsidP="00532388">
      <w:pPr>
        <w:rPr>
          <w:szCs w:val="20"/>
        </w:rPr>
      </w:pPr>
      <w:r w:rsidRPr="00532388">
        <w:rPr>
          <w:szCs w:val="20"/>
        </w:rPr>
        <w:t>Carbon:N ratios increased with depth in all treatments</w:t>
      </w:r>
      <w:r w:rsidR="00777D08">
        <w:rPr>
          <w:szCs w:val="20"/>
        </w:rPr>
        <w:t xml:space="preserve"> (Fig 5)</w:t>
      </w:r>
      <w:r w:rsidRPr="00532388">
        <w:rPr>
          <w:szCs w:val="20"/>
        </w:rPr>
        <w:t>.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w:t>
      </w:r>
      <w:r w:rsidR="00777D08">
        <w:rPr>
          <w:szCs w:val="20"/>
        </w:rPr>
        <w:t xml:space="preserve"> (Fig 5)</w:t>
      </w:r>
      <w:r w:rsidRPr="00532388">
        <w:rPr>
          <w:szCs w:val="20"/>
        </w:rPr>
        <w:t xml:space="preserve">.   </w:t>
      </w:r>
    </w:p>
    <w:p w14:paraId="70061782" w14:textId="4EC9160C" w:rsidR="00532388" w:rsidRDefault="00532388" w:rsidP="00532388">
      <w:pPr>
        <w:rPr>
          <w:szCs w:val="20"/>
          <w:u w:val="single"/>
        </w:rPr>
      </w:pPr>
    </w:p>
    <w:p w14:paraId="135FA686" w14:textId="77777777" w:rsidR="00EA4D22" w:rsidRDefault="00EA4D22" w:rsidP="00532388">
      <w:pPr>
        <w:rPr>
          <w:szCs w:val="20"/>
          <w:u w:val="single"/>
        </w:rPr>
      </w:pPr>
    </w:p>
    <w:p w14:paraId="34C0C964" w14:textId="408B32C9" w:rsidR="00532388" w:rsidRPr="00532388" w:rsidRDefault="00532388" w:rsidP="00EA4D22">
      <w:pPr>
        <w:tabs>
          <w:tab w:val="left" w:pos="1786"/>
        </w:tabs>
        <w:rPr>
          <w:b/>
          <w:szCs w:val="20"/>
        </w:rPr>
      </w:pPr>
      <w:r w:rsidRPr="00532388">
        <w:rPr>
          <w:b/>
          <w:szCs w:val="20"/>
        </w:rPr>
        <w:lastRenderedPageBreak/>
        <w:t>4 Discussion</w:t>
      </w:r>
      <w:r w:rsidR="00EA4D22">
        <w:rPr>
          <w:b/>
          <w:szCs w:val="20"/>
        </w:rPr>
        <w:tab/>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556BF0BF" w14:textId="747FD435" w:rsidR="006A43B8" w:rsidRDefault="00532388" w:rsidP="00532388">
      <w:pPr>
        <w:rPr>
          <w:szCs w:val="20"/>
        </w:rPr>
      </w:pPr>
      <w:r w:rsidRPr="00532388">
        <w:rPr>
          <w:szCs w:val="20"/>
        </w:rPr>
        <w:t xml:space="preserve">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w:t>
      </w:r>
      <w:r w:rsidR="00FF0BCA">
        <w:rPr>
          <w:szCs w:val="20"/>
        </w:rPr>
        <w:t xml:space="preserve">until it </w:t>
      </w:r>
      <w:r w:rsidR="0019073C">
        <w:rPr>
          <w:szCs w:val="20"/>
        </w:rPr>
        <w:t>remains in the soil due to</w:t>
      </w:r>
      <w:r w:rsidR="00FF0BCA">
        <w:rPr>
          <w:szCs w:val="20"/>
        </w:rPr>
        <w:t xml:space="preserve"> inherent chemical recalcitrance</w:t>
      </w:r>
      <w:r w:rsidRPr="00532388">
        <w:rPr>
          <w:szCs w:val="20"/>
        </w:rPr>
        <w:t xml:space="preserve"> (Cotrufo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w:t>
      </w:r>
      <w:r w:rsidR="00FF0BCA">
        <w:rPr>
          <w:szCs w:val="20"/>
        </w:rPr>
        <w:t xml:space="preserve"> This mechanism would be particularly strong in soils that are high in C and have a reduced capacity for C stabilization</w:t>
      </w:r>
      <w:r w:rsidR="00BB6E2E">
        <w:rPr>
          <w:szCs w:val="20"/>
        </w:rPr>
        <w:t xml:space="preserve"> nearer to the surface</w:t>
      </w:r>
      <w:r w:rsidR="00FF0BCA">
        <w:rPr>
          <w:szCs w:val="20"/>
        </w:rPr>
        <w:t>, such as soils formed under prairie vegetation</w:t>
      </w:r>
      <w:r w:rsidR="00BB6E2E">
        <w:rPr>
          <w:szCs w:val="20"/>
        </w:rPr>
        <w:t xml:space="preserve"> (Castellano 2015)</w:t>
      </w:r>
      <w:r w:rsidR="00FF0BCA">
        <w:rPr>
          <w:szCs w:val="20"/>
        </w:rPr>
        <w:t>.</w:t>
      </w:r>
      <w:r w:rsidRPr="00532388">
        <w:rPr>
          <w:szCs w:val="20"/>
        </w:rPr>
        <w:t xml:space="preserve"> Th</w:t>
      </w:r>
      <w:r w:rsidR="0019073C">
        <w:rPr>
          <w:szCs w:val="20"/>
        </w:rPr>
        <w:t xml:space="preserve">is suggested mechanism is also </w:t>
      </w:r>
      <w:r w:rsidRPr="00532388">
        <w:rPr>
          <w:szCs w:val="20"/>
        </w:rPr>
        <w:t>consistent with evidence that the contribution of microbial- and not root-derived C increases with depth (Liang and Balser 2008, Rumpel and Kogel-Knabner, 2011).</w:t>
      </w:r>
      <w:r w:rsidR="006A43B8">
        <w:rPr>
          <w:szCs w:val="20"/>
        </w:rPr>
        <w:t xml:space="preserve"> </w:t>
      </w:r>
      <w:r w:rsidR="00921A69">
        <w:rPr>
          <w:szCs w:val="20"/>
        </w:rPr>
        <w:t xml:space="preserve"> In addition to the less-structural root material found at shallow depths, these areas of concentrated roots produce labile exudates that are easily metabolized and transported deeper in the soil profile</w:t>
      </w:r>
      <w:r w:rsidR="000E32E5">
        <w:rPr>
          <w:szCs w:val="20"/>
        </w:rPr>
        <w:t xml:space="preserve"> (Badri and Vivanco, 2009)</w:t>
      </w:r>
      <w:r w:rsidR="00AA225B">
        <w:rPr>
          <w:szCs w:val="20"/>
        </w:rPr>
        <w:t xml:space="preserve">, again under conditions that do not </w:t>
      </w:r>
      <w:r w:rsidR="0019073C">
        <w:rPr>
          <w:szCs w:val="20"/>
        </w:rPr>
        <w:t>favour</w:t>
      </w:r>
      <w:r w:rsidR="00AA225B">
        <w:rPr>
          <w:szCs w:val="20"/>
        </w:rPr>
        <w:t xml:space="preserve"> immediate stabilization of the metabolites</w:t>
      </w:r>
      <w:r w:rsidR="00921A69">
        <w:rPr>
          <w:szCs w:val="20"/>
        </w:rPr>
        <w:t>. While we did not measure root exudat</w:t>
      </w:r>
      <w:r w:rsidR="00006DE4">
        <w:rPr>
          <w:szCs w:val="20"/>
        </w:rPr>
        <w:t>es</w:t>
      </w:r>
      <w:r w:rsidR="00921A69">
        <w:rPr>
          <w:szCs w:val="20"/>
        </w:rPr>
        <w:t xml:space="preserve">, it is important to </w:t>
      </w:r>
      <w:r w:rsidR="00CB0C40">
        <w:rPr>
          <w:szCs w:val="20"/>
        </w:rPr>
        <w:t xml:space="preserve">recognize that these mobile compounds </w:t>
      </w:r>
      <w:r w:rsidR="00E62D26">
        <w:rPr>
          <w:szCs w:val="20"/>
        </w:rPr>
        <w:t xml:space="preserve">also </w:t>
      </w:r>
      <w:r w:rsidR="00CB0C40">
        <w:rPr>
          <w:szCs w:val="20"/>
        </w:rPr>
        <w:t xml:space="preserve">likely play an important role in the development of the soil organic C profile. </w:t>
      </w:r>
    </w:p>
    <w:p w14:paraId="1A89425C" w14:textId="77777777" w:rsidR="00532388" w:rsidRDefault="00532388" w:rsidP="00532388">
      <w:pPr>
        <w:rPr>
          <w:szCs w:val="20"/>
        </w:rPr>
      </w:pPr>
    </w:p>
    <w:p w14:paraId="1EC38E81" w14:textId="028696C1" w:rsidR="00532388" w:rsidRPr="00532388" w:rsidRDefault="00532388" w:rsidP="00532388">
      <w:pPr>
        <w:rPr>
          <w:szCs w:val="20"/>
        </w:rPr>
      </w:pPr>
      <w:r w:rsidRPr="00532388">
        <w:rPr>
          <w:szCs w:val="20"/>
        </w:rPr>
        <w:t>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w:t>
      </w:r>
      <w:r w:rsidR="001B4D53">
        <w:rPr>
          <w:szCs w:val="20"/>
        </w:rPr>
        <w:t xml:space="preserve"> (Fig 4)</w:t>
      </w:r>
      <w:r w:rsidRPr="00532388">
        <w:rPr>
          <w:szCs w:val="20"/>
        </w:rPr>
        <w:t>.  Slower increases at deeper depths than shallower depths may indicate that accumulation there is more dependent upon the carryover of roots from previous years than at shallower depths</w:t>
      </w:r>
      <w:r w:rsidR="0019073C">
        <w:rPr>
          <w:szCs w:val="20"/>
        </w:rPr>
        <w:t>, although annual root inputs were not directly measured in this study</w:t>
      </w:r>
      <w:r w:rsidRPr="00532388">
        <w:rPr>
          <w:szCs w:val="20"/>
        </w:rPr>
        <w:t xml:space="preserve">. </w:t>
      </w:r>
    </w:p>
    <w:p w14:paraId="4F3E9E7D" w14:textId="77777777" w:rsidR="00532388" w:rsidRDefault="00532388" w:rsidP="00532388">
      <w:pPr>
        <w:rPr>
          <w:szCs w:val="20"/>
        </w:rPr>
      </w:pPr>
    </w:p>
    <w:p w14:paraId="30530105" w14:textId="12920D8C"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w:t>
      </w:r>
      <w:r w:rsidR="00DE704E">
        <w:rPr>
          <w:szCs w:val="20"/>
        </w:rPr>
        <w:t>inputs</w:t>
      </w:r>
      <w:r w:rsidR="00DE704E" w:rsidRPr="00532388">
        <w:rPr>
          <w:szCs w:val="20"/>
        </w:rPr>
        <w:t xml:space="preserve"> </w:t>
      </w:r>
      <w:r w:rsidRPr="00532388">
        <w:rPr>
          <w:szCs w:val="20"/>
        </w:rPr>
        <w:t>to the soil organic matter pool above 30 cm</w:t>
      </w:r>
      <w:r w:rsidR="001B4D53">
        <w:rPr>
          <w:szCs w:val="20"/>
        </w:rPr>
        <w:t xml:space="preserve"> (Figs 3&amp;4)</w:t>
      </w:r>
      <w:r w:rsidRPr="00532388">
        <w:rPr>
          <w:szCs w:val="20"/>
        </w:rPr>
        <w:t xml:space="preserve">, although the fraction of organic matter that remained in the soil is unknown.  This was indicated by the finding that the majority of prairie roots (75%) was found in this depth fraction, where mean residence time was measured to be </w:t>
      </w:r>
      <w:r w:rsidR="0019073C">
        <w:rPr>
          <w:szCs w:val="20"/>
        </w:rPr>
        <w:t>~2</w:t>
      </w:r>
      <w:r w:rsidRPr="00532388">
        <w:rPr>
          <w:szCs w:val="20"/>
        </w:rPr>
        <w:t xml:space="preserve"> years</w:t>
      </w:r>
      <w:r w:rsidR="001B4D53">
        <w:rPr>
          <w:szCs w:val="20"/>
        </w:rPr>
        <w:t xml:space="preserve"> (Tables 2 &amp;3)</w:t>
      </w:r>
      <w:r w:rsidRPr="00532388">
        <w:rPr>
          <w:szCs w:val="20"/>
        </w:rPr>
        <w:t xml:space="preserve">.  The prairie root C pool at 0-5 cm reached an equilibrium and began steady root turnover in the third year after establishment, as indicated by very low rates of accumulation, 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4099337E"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w:t>
      </w:r>
      <w:r w:rsidR="001B4D53">
        <w:rPr>
          <w:szCs w:val="20"/>
        </w:rPr>
        <w:t xml:space="preserve">(Fig 3) </w:t>
      </w:r>
      <w:r w:rsidRPr="00532388">
        <w:rPr>
          <w:szCs w:val="20"/>
        </w:rPr>
        <w:t xml:space="preserve">due to root growth and retention indicate that root tissue loss to the soil was very low during this time and the mean residence time of roots at depth may have greatly exceeded those closer to the surface. This means that at depth, not only </w:t>
      </w:r>
      <w:r w:rsidRPr="00532388">
        <w:rPr>
          <w:szCs w:val="20"/>
        </w:rPr>
        <w:lastRenderedPageBreak/>
        <w:t xml:space="preserve">was the root C pool substantially smaller than near the surface, but root material also became available to the soil much more slowly than near the surface.  Indeed, DuPont et al. (2014) found </w:t>
      </w:r>
      <w:r w:rsidR="00A3597B">
        <w:rPr>
          <w:szCs w:val="20"/>
        </w:rPr>
        <w:t xml:space="preserve">intact </w:t>
      </w:r>
      <w:r w:rsidRPr="00532388">
        <w:rPr>
          <w:szCs w:val="20"/>
        </w:rPr>
        <w:t xml:space="preserve">prairie roots in the soil five years after conversion to annual wheat. </w:t>
      </w:r>
    </w:p>
    <w:p w14:paraId="554EF7E2" w14:textId="77777777" w:rsidR="006D2DCF" w:rsidRDefault="006D2DCF" w:rsidP="00532388">
      <w:pPr>
        <w:rPr>
          <w:szCs w:val="20"/>
        </w:rPr>
      </w:pPr>
    </w:p>
    <w:p w14:paraId="338082D5" w14:textId="081E5F06" w:rsidR="00532388" w:rsidRPr="00532388" w:rsidRDefault="00532388" w:rsidP="00532388">
      <w:pPr>
        <w:rPr>
          <w:szCs w:val="20"/>
        </w:rPr>
      </w:pPr>
      <w:r w:rsidRPr="00532388">
        <w:rPr>
          <w:szCs w:val="20"/>
        </w:rPr>
        <w:t>Nitrogen fertilization of prairies led to a smaller root pool at every depth, with lower rates of accumulation and lower C:N ratios</w:t>
      </w:r>
      <w:r w:rsidR="001B4D53">
        <w:rPr>
          <w:szCs w:val="20"/>
        </w:rPr>
        <w:t xml:space="preserve"> (Figs 2, 4, 5)</w:t>
      </w:r>
      <w:r w:rsidRPr="00532388">
        <w:rPr>
          <w:szCs w:val="20"/>
        </w:rPr>
        <w:t>.  However, fertilization did not affect the time until root systems were fully established or the turnover rate of roots in the top 30 cm</w:t>
      </w:r>
      <w:r w:rsidR="001B4D53">
        <w:rPr>
          <w:szCs w:val="20"/>
        </w:rPr>
        <w:t xml:space="preserve"> (Fig 3)</w:t>
      </w:r>
      <w:r w:rsidRPr="00532388">
        <w:rPr>
          <w:szCs w:val="20"/>
        </w:rPr>
        <w:t xml:space="preserve">.  Differences between fertilized and unfertilized prairie showed that the pattern of </w:t>
      </w:r>
      <w:r w:rsidR="00794933">
        <w:rPr>
          <w:szCs w:val="20"/>
        </w:rPr>
        <w:t xml:space="preserve"> root </w:t>
      </w:r>
      <w:r w:rsidRPr="00532388">
        <w:rPr>
          <w:szCs w:val="20"/>
        </w:rPr>
        <w:t>distribution was a function of nutrient availability and not a response to soil space conditions because fertilized prairie used half as much space as unfertilized prairie and still showed decreased accumulation above 30 cm over time</w:t>
      </w:r>
      <w:r w:rsidR="001B4D53">
        <w:rPr>
          <w:szCs w:val="20"/>
        </w:rPr>
        <w:t xml:space="preserve"> (Figs 3 &amp;4)</w:t>
      </w:r>
      <w:r w:rsidRPr="00532388">
        <w:rPr>
          <w:szCs w:val="20"/>
        </w:rPr>
        <w:t xml:space="preserve">.  </w:t>
      </w:r>
    </w:p>
    <w:p w14:paraId="6427FDDE" w14:textId="49A34C13" w:rsidR="00532388" w:rsidRDefault="00532388"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1EA04389" w:rsidR="00532388" w:rsidRPr="00532388" w:rsidRDefault="00532388" w:rsidP="00532388">
      <w:pPr>
        <w:rPr>
          <w:szCs w:val="20"/>
        </w:rPr>
      </w:pPr>
      <w:r w:rsidRPr="00532388">
        <w:rPr>
          <w:szCs w:val="20"/>
        </w:rPr>
        <w:t xml:space="preserve">It is possible that maize roots </w:t>
      </w:r>
      <w:r w:rsidR="00DE704E">
        <w:rPr>
          <w:szCs w:val="20"/>
        </w:rPr>
        <w:t>had greater C inputs</w:t>
      </w:r>
      <w:r w:rsidRPr="00532388">
        <w:rPr>
          <w:szCs w:val="20"/>
        </w:rPr>
        <w:t xml:space="preserve"> to the soil than did prairie roots below a certain depth. Maize root C pools were much smaller than prairie root C pools</w:t>
      </w:r>
      <w:r w:rsidR="007212AC">
        <w:rPr>
          <w:szCs w:val="20"/>
        </w:rPr>
        <w:t xml:space="preserve"> (Fig 2)</w:t>
      </w:r>
      <w:r w:rsidRPr="00532388">
        <w:rPr>
          <w:szCs w:val="20"/>
        </w:rPr>
        <w:t>, but faster turnover times</w:t>
      </w:r>
      <w:r w:rsidR="007212AC">
        <w:rPr>
          <w:szCs w:val="20"/>
        </w:rPr>
        <w:t xml:space="preserve"> (Table 3)</w:t>
      </w:r>
      <w:r w:rsidRPr="00532388">
        <w:rPr>
          <w:szCs w:val="20"/>
        </w:rPr>
        <w:t xml:space="preserve"> and lower C:N ratios </w:t>
      </w:r>
      <w:r w:rsidR="007212AC">
        <w:rPr>
          <w:szCs w:val="20"/>
        </w:rPr>
        <w:t xml:space="preserve">(Fig 5) </w:t>
      </w:r>
      <w:r w:rsidRPr="00532388">
        <w:rPr>
          <w:szCs w:val="20"/>
        </w:rPr>
        <w:t>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w:t>
      </w:r>
      <w:r w:rsidR="009A5D78">
        <w:rPr>
          <w:szCs w:val="20"/>
        </w:rPr>
        <w:t xml:space="preserve"> </w:t>
      </w:r>
      <w:r w:rsidR="000611AC">
        <w:rPr>
          <w:szCs w:val="20"/>
        </w:rPr>
        <w:t xml:space="preserve">Although we do not have </w:t>
      </w:r>
      <w:r w:rsidR="00C70FBD">
        <w:rPr>
          <w:szCs w:val="20"/>
        </w:rPr>
        <w:t>measurements of distribution of soil C through the soil profile previous to cultivation, data from this experiment show that the pattern of soil C distribution is much more similar to the distribution of maize roots than the distribution of prairie roots</w:t>
      </w:r>
      <w:r w:rsidR="009B08D9">
        <w:rPr>
          <w:szCs w:val="20"/>
        </w:rPr>
        <w:t xml:space="preserve"> (Fig. 1)</w:t>
      </w:r>
      <w:r w:rsidR="009A5D78">
        <w:rPr>
          <w:szCs w:val="20"/>
        </w:rPr>
        <w:t xml:space="preserve">, demonstrating the importance of differing root systems in the development of the soil C profile. </w:t>
      </w:r>
    </w:p>
    <w:p w14:paraId="4A23541E" w14:textId="77777777" w:rsidR="00532388" w:rsidRDefault="00532388" w:rsidP="00532388">
      <w:pPr>
        <w:rPr>
          <w:b/>
          <w:szCs w:val="20"/>
        </w:rPr>
      </w:pPr>
    </w:p>
    <w:p w14:paraId="485EEEA5" w14:textId="42BCE3F3" w:rsidR="00532388" w:rsidRPr="00532388" w:rsidRDefault="00532388" w:rsidP="00532388">
      <w:pPr>
        <w:rPr>
          <w:b/>
          <w:szCs w:val="20"/>
        </w:rPr>
      </w:pPr>
      <w:r w:rsidRPr="00532388">
        <w:rPr>
          <w:b/>
          <w:szCs w:val="20"/>
        </w:rPr>
        <w:t xml:space="preserve">4.3 </w:t>
      </w:r>
      <w:r w:rsidR="009A5D78">
        <w:rPr>
          <w:b/>
          <w:bCs/>
          <w:iCs/>
        </w:rPr>
        <w:t>W</w:t>
      </w:r>
      <w:r w:rsidR="009A5D78" w:rsidRPr="00DC393C">
        <w:rPr>
          <w:b/>
          <w:bCs/>
          <w:iCs/>
        </w:rPr>
        <w:t xml:space="preserve">hat do these differences in inputs tell us about the </w:t>
      </w:r>
      <w:r w:rsidR="009A5D78">
        <w:rPr>
          <w:b/>
          <w:bCs/>
          <w:iCs/>
        </w:rPr>
        <w:t>perennial prairie</w:t>
      </w:r>
      <w:r w:rsidR="009A5D78" w:rsidRPr="00DC393C">
        <w:rPr>
          <w:b/>
          <w:bCs/>
          <w:iCs/>
        </w:rPr>
        <w:t xml:space="preserve"> ecosystem under which these soils developed and the </w:t>
      </w:r>
      <w:r w:rsidR="009A5D78">
        <w:rPr>
          <w:b/>
          <w:bCs/>
          <w:iCs/>
        </w:rPr>
        <w:t xml:space="preserve">annual cropping </w:t>
      </w:r>
      <w:r w:rsidR="009A5D78" w:rsidRPr="00DC393C">
        <w:rPr>
          <w:b/>
          <w:bCs/>
          <w:iCs/>
        </w:rPr>
        <w:t>systems under which these soils continue to change</w:t>
      </w:r>
      <w:r w:rsidRPr="00532388">
        <w:rPr>
          <w:b/>
          <w:szCs w:val="20"/>
        </w:rPr>
        <w:t>?</w:t>
      </w:r>
    </w:p>
    <w:p w14:paraId="7CF6116B" w14:textId="6381C501" w:rsidR="00532388" w:rsidRPr="00532388" w:rsidRDefault="00532388" w:rsidP="00532388">
      <w:pPr>
        <w:rPr>
          <w:szCs w:val="20"/>
        </w:rPr>
      </w:pPr>
      <w:r w:rsidRPr="00532388">
        <w:rPr>
          <w:szCs w:val="20"/>
        </w:rPr>
        <w:t>The experimental location was a site of cultivation under annual crops for over 100 years</w:t>
      </w:r>
      <w:r w:rsidR="004A607E">
        <w:rPr>
          <w:szCs w:val="20"/>
        </w:rPr>
        <w:t>, following ~10,000 years of perennial prairie systems</w:t>
      </w:r>
      <w:r w:rsidRPr="00532388">
        <w:rPr>
          <w:szCs w:val="20"/>
        </w:rPr>
        <w:t>. We do not have measurements of the pre-cultivation soil C profile, but other data from sites near our experiment (Guzman 2009, McGranahan et al. 2014) show that the soil C profile shifted from a pattern of having an exponential decrease in C with distance from the surface to a pattern of more uniform distribution of C with the highest point of C 10 cm below the surface</w:t>
      </w:r>
      <w:r w:rsidR="00172A4E">
        <w:rPr>
          <w:szCs w:val="20"/>
        </w:rPr>
        <w:t xml:space="preserve"> (Fig 1)</w:t>
      </w:r>
      <w:r w:rsidRPr="00532388">
        <w:rPr>
          <w:szCs w:val="20"/>
        </w:rPr>
        <w:t>.  The loss of C in the soil surface after 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  Less is documented about the change in soil carbon below 30 cm, but using a robust dataset, Veenstra et al. (2015) found soil organic C to increase below 35 cm after 50 years in maize and soybean cropping systems in Iowa</w:t>
      </w:r>
      <w:r w:rsidR="00172A4E">
        <w:rPr>
          <w:szCs w:val="20"/>
        </w:rPr>
        <w:t>, USA</w:t>
      </w:r>
      <w:r w:rsidRPr="00532388">
        <w:rPr>
          <w:szCs w:val="20"/>
        </w:rPr>
        <w:t>.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w:t>
      </w:r>
      <w:r w:rsidR="00D55D3E">
        <w:rPr>
          <w:szCs w:val="20"/>
        </w:rPr>
        <w:t xml:space="preserve"> Similarly, David et al. (2008) and Follett et al. (2009) found cultivated sites that gained deep soil organic C relative to remnant prairies and grasslands</w:t>
      </w:r>
      <w:r w:rsidR="00A3597B">
        <w:rPr>
          <w:szCs w:val="20"/>
        </w:rPr>
        <w:t>.</w:t>
      </w:r>
    </w:p>
    <w:p w14:paraId="07074224" w14:textId="77777777" w:rsidR="00532388" w:rsidRDefault="00532388" w:rsidP="00532388">
      <w:pPr>
        <w:rPr>
          <w:szCs w:val="20"/>
        </w:rPr>
      </w:pPr>
    </w:p>
    <w:p w14:paraId="1310C413" w14:textId="76F8ADF3" w:rsidR="008F6F13" w:rsidRDefault="00532388" w:rsidP="00532388">
      <w:pPr>
        <w:rPr>
          <w:szCs w:val="20"/>
        </w:rPr>
      </w:pPr>
      <w:r w:rsidRPr="00532388">
        <w:rPr>
          <w:szCs w:val="20"/>
        </w:rPr>
        <w:t>Our relatively short-term study of 6 years did not detect significant changes in soil C at any depth</w:t>
      </w:r>
      <w:r w:rsidR="00D54ADB">
        <w:rPr>
          <w:szCs w:val="20"/>
        </w:rPr>
        <w:t xml:space="preserve"> (Fig 1)</w:t>
      </w:r>
      <w:r w:rsidR="00794933">
        <w:rPr>
          <w:szCs w:val="20"/>
        </w:rPr>
        <w:t>.</w:t>
      </w:r>
      <w:r w:rsidRPr="00532388">
        <w:rPr>
          <w:szCs w:val="20"/>
        </w:rPr>
        <w:t xml:space="preserve"> </w:t>
      </w:r>
      <w:r w:rsidR="00794933">
        <w:rPr>
          <w:szCs w:val="20"/>
        </w:rPr>
        <w:t>However,</w:t>
      </w:r>
      <w:r w:rsidRPr="00532388">
        <w:rPr>
          <w:szCs w:val="20"/>
        </w:rPr>
        <w:t xml:space="preserve"> differences in quantity, distribution, and C:N ratios between the annual and perennial rooting systems we studied have important implications for how deep soil organic C may have changed and continues to change with the implementation of annual cropping systems. A large, structura</w:t>
      </w:r>
      <w:r w:rsidR="002D02EF">
        <w:rPr>
          <w:szCs w:val="20"/>
        </w:rPr>
        <w:t xml:space="preserve">l-tissue </w:t>
      </w:r>
      <w:r w:rsidRPr="00532388">
        <w:rPr>
          <w:szCs w:val="20"/>
        </w:rPr>
        <w:t xml:space="preserve">dominated root C pool with slow turnover, concentrated at shallow depths was replaced by a small, non-structural-tissue </w:t>
      </w:r>
      <w:r w:rsidR="002D02EF">
        <w:rPr>
          <w:szCs w:val="20"/>
        </w:rPr>
        <w:t xml:space="preserve">dominated </w:t>
      </w:r>
      <w:r w:rsidRPr="00532388">
        <w:rPr>
          <w:szCs w:val="20"/>
        </w:rPr>
        <w:t>root</w:t>
      </w:r>
      <w:r w:rsidR="00EF5314">
        <w:rPr>
          <w:szCs w:val="20"/>
        </w:rPr>
        <w:t xml:space="preserve"> C</w:t>
      </w:r>
      <w:r w:rsidRPr="00532388">
        <w:rPr>
          <w:szCs w:val="20"/>
        </w:rPr>
        <w:t xml:space="preserve"> pool with fast turnover evenly distributed in the soil profile.  The difference in size between these two pools has long </w:t>
      </w:r>
      <w:r w:rsidRPr="00532388">
        <w:rPr>
          <w:szCs w:val="20"/>
        </w:rPr>
        <w:lastRenderedPageBreak/>
        <w:t xml:space="preserve">been obvious, but often misleading for comparisons related to C accounting because differences in root turnover and tissue C:N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r w:rsidR="00955F29" w:rsidRPr="00EA13F0">
        <w:rPr>
          <w:szCs w:val="20"/>
        </w:rPr>
        <w:t>Omonode et al. (2006) discusses the possibility that slower turnover in perennial rooting systems may prevent</w:t>
      </w:r>
      <w:r w:rsidR="00862449" w:rsidRPr="00EA13F0">
        <w:rPr>
          <w:szCs w:val="20"/>
        </w:rPr>
        <w:t xml:space="preserve"> expected increases in soil organic C compared to adjacent </w:t>
      </w:r>
      <w:r w:rsidR="00CF32F3">
        <w:rPr>
          <w:szCs w:val="20"/>
        </w:rPr>
        <w:t>maize</w:t>
      </w:r>
      <w:r w:rsidR="00862449" w:rsidRPr="00EA13F0">
        <w:rPr>
          <w:szCs w:val="20"/>
        </w:rPr>
        <w:t xml:space="preserve"> systems.</w:t>
      </w:r>
      <w:r w:rsidR="00862449" w:rsidRPr="001A692A">
        <w:rPr>
          <w:color w:val="FF0000"/>
          <w:szCs w:val="20"/>
        </w:rPr>
        <w:t xml:space="preserve"> </w:t>
      </w:r>
      <w:r w:rsidRPr="001A692A">
        <w:rPr>
          <w:color w:val="FF0000"/>
          <w:szCs w:val="20"/>
        </w:rPr>
        <w:t xml:space="preserve"> </w:t>
      </w:r>
      <w:r w:rsidRPr="00532388">
        <w:rPr>
          <w:szCs w:val="20"/>
        </w:rPr>
        <w:t>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w:t>
      </w:r>
    </w:p>
    <w:p w14:paraId="159776DE" w14:textId="77777777" w:rsidR="008F6F13" w:rsidRDefault="008F6F13" w:rsidP="00532388">
      <w:pPr>
        <w:rPr>
          <w:szCs w:val="20"/>
        </w:rPr>
      </w:pPr>
    </w:p>
    <w:p w14:paraId="2437929E" w14:textId="77777777" w:rsidR="00532388" w:rsidRPr="00532388" w:rsidRDefault="00532388" w:rsidP="00532388">
      <w:pPr>
        <w:rPr>
          <w:b/>
          <w:szCs w:val="20"/>
        </w:rPr>
      </w:pPr>
      <w:r w:rsidRPr="00532388">
        <w:rPr>
          <w:b/>
          <w:szCs w:val="20"/>
        </w:rPr>
        <w:t xml:space="preserve">5 Conclusion  </w:t>
      </w:r>
    </w:p>
    <w:p w14:paraId="4CF98BEA" w14:textId="77777777" w:rsidR="007561B4" w:rsidRDefault="00532388" w:rsidP="00532388">
      <w:pPr>
        <w:rPr>
          <w:szCs w:val="20"/>
        </w:rPr>
      </w:pPr>
      <w:r w:rsidRPr="00532388">
        <w:rPr>
          <w:szCs w:val="20"/>
        </w:rPr>
        <w:t xml:space="preserve">Soils are incredibly complex </w:t>
      </w:r>
      <w:r w:rsidR="005C2F50">
        <w:rPr>
          <w:szCs w:val="20"/>
        </w:rPr>
        <w:t xml:space="preserve">systems </w:t>
      </w:r>
      <w:r w:rsidRPr="00532388">
        <w:rPr>
          <w:szCs w:val="20"/>
        </w:rPr>
        <w:t xml:space="preserve">and biogeochemical processes that determine </w:t>
      </w:r>
      <w:r w:rsidR="005C2F50">
        <w:rPr>
          <w:szCs w:val="20"/>
        </w:rPr>
        <w:t xml:space="preserve">soil </w:t>
      </w:r>
      <w:r w:rsidRPr="00532388">
        <w:rPr>
          <w:szCs w:val="20"/>
        </w:rPr>
        <w:t xml:space="preserve">C storage happen over a long time and in </w:t>
      </w:r>
      <w:r w:rsidR="005C2F50">
        <w:rPr>
          <w:szCs w:val="20"/>
        </w:rPr>
        <w:t>places</w:t>
      </w:r>
      <w:r w:rsidR="005C2F50" w:rsidRPr="00532388">
        <w:rPr>
          <w:szCs w:val="20"/>
        </w:rPr>
        <w:t xml:space="preserve"> </w:t>
      </w:r>
      <w:r w:rsidRPr="00532388">
        <w:rPr>
          <w:szCs w:val="20"/>
        </w:rPr>
        <w:t>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w:t>
      </w:r>
      <w:r w:rsidR="00F228FB">
        <w:rPr>
          <w:szCs w:val="20"/>
        </w:rPr>
        <w:t>sufficiently</w:t>
      </w:r>
      <w:r w:rsidR="00F228FB" w:rsidRPr="00532388">
        <w:rPr>
          <w:szCs w:val="20"/>
        </w:rPr>
        <w:t xml:space="preserve"> </w:t>
      </w:r>
      <w:r w:rsidRPr="00532388">
        <w:rPr>
          <w:szCs w:val="20"/>
        </w:rPr>
        <w:t xml:space="preserve">important </w:t>
      </w:r>
      <w:r w:rsidR="00F228FB">
        <w:rPr>
          <w:szCs w:val="20"/>
        </w:rPr>
        <w:t xml:space="preserve">that they </w:t>
      </w:r>
      <w:r w:rsidRPr="00532388">
        <w:rPr>
          <w:szCs w:val="20"/>
        </w:rPr>
        <w:t>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w:t>
      </w:r>
      <w:r w:rsidR="00F228FB">
        <w:rPr>
          <w:szCs w:val="20"/>
        </w:rPr>
        <w:t>,</w:t>
      </w:r>
      <w:r w:rsidRPr="00532388">
        <w:rPr>
          <w:szCs w:val="20"/>
        </w:rPr>
        <w:t xml:space="preserve"> while only 30% of root biomass is found in the same location. Elucidating the mechanisms </w:t>
      </w:r>
      <w:r w:rsidR="00F228FB">
        <w:rPr>
          <w:szCs w:val="20"/>
        </w:rPr>
        <w:t>determining</w:t>
      </w:r>
      <w:r w:rsidR="00F228FB" w:rsidRPr="00532388">
        <w:rPr>
          <w:szCs w:val="20"/>
        </w:rPr>
        <w:t xml:space="preserve"> </w:t>
      </w:r>
      <w:r w:rsidRPr="00532388">
        <w:rPr>
          <w:szCs w:val="20"/>
        </w:rPr>
        <w:t>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should be carefully considered in such designs. </w:t>
      </w:r>
    </w:p>
    <w:p w14:paraId="62CA8EAC" w14:textId="77777777" w:rsidR="007561B4" w:rsidRDefault="007561B4" w:rsidP="00532388">
      <w:pPr>
        <w:rPr>
          <w:szCs w:val="20"/>
        </w:rPr>
      </w:pPr>
    </w:p>
    <w:p w14:paraId="776E37E1" w14:textId="22F0C064" w:rsidR="007561B4" w:rsidRPr="003D4C84" w:rsidRDefault="003D4C84" w:rsidP="00532388">
      <w:pPr>
        <w:rPr>
          <w:b/>
          <w:szCs w:val="20"/>
        </w:rPr>
      </w:pPr>
      <w:r w:rsidRPr="003D4C84">
        <w:rPr>
          <w:b/>
          <w:szCs w:val="20"/>
        </w:rPr>
        <w:t>Data and c</w:t>
      </w:r>
      <w:r w:rsidR="007561B4" w:rsidRPr="003D4C84">
        <w:rPr>
          <w:b/>
          <w:szCs w:val="20"/>
        </w:rPr>
        <w:t>ode availability</w:t>
      </w:r>
    </w:p>
    <w:p w14:paraId="5079DAA0" w14:textId="60D2A26F" w:rsidR="003D4C84" w:rsidRDefault="003D4C84" w:rsidP="00532388">
      <w:pPr>
        <w:rPr>
          <w:szCs w:val="20"/>
        </w:rPr>
      </w:pPr>
      <w:r>
        <w:rPr>
          <w:szCs w:val="20"/>
        </w:rPr>
        <w:t xml:space="preserve">Data and code for this work is currently publicly stored in a GitHub repository. </w:t>
      </w:r>
      <w:r w:rsidR="00D31B19">
        <w:rPr>
          <w:szCs w:val="20"/>
        </w:rPr>
        <w:t xml:space="preserve">The DOI to find and access these files is 10.5281/zenodo.321910 . </w:t>
      </w:r>
    </w:p>
    <w:p w14:paraId="048D01BF" w14:textId="42E46767" w:rsidR="00F03621" w:rsidRDefault="00F03621" w:rsidP="00532388">
      <w:pPr>
        <w:rPr>
          <w:szCs w:val="20"/>
        </w:rPr>
      </w:pPr>
    </w:p>
    <w:p w14:paraId="01C2C601" w14:textId="77777777" w:rsidR="00F03621" w:rsidRDefault="00F03621" w:rsidP="00F03621">
      <w:pPr>
        <w:rPr>
          <w:b/>
          <w:color w:val="000000" w:themeColor="text1"/>
          <w:szCs w:val="20"/>
        </w:rPr>
      </w:pPr>
    </w:p>
    <w:p w14:paraId="731BACB8" w14:textId="77777777" w:rsidR="00F03621" w:rsidRDefault="00F03621" w:rsidP="00F03621">
      <w:pPr>
        <w:rPr>
          <w:b/>
          <w:color w:val="000000" w:themeColor="text1"/>
          <w:szCs w:val="20"/>
        </w:rPr>
      </w:pPr>
    </w:p>
    <w:p w14:paraId="5B4B5DE4" w14:textId="77777777" w:rsidR="00F03621" w:rsidRDefault="00F03621" w:rsidP="00F03621">
      <w:pPr>
        <w:rPr>
          <w:b/>
          <w:color w:val="000000" w:themeColor="text1"/>
          <w:szCs w:val="20"/>
        </w:rPr>
      </w:pPr>
    </w:p>
    <w:p w14:paraId="788FBF54" w14:textId="77777777" w:rsidR="00F03621" w:rsidRDefault="00F03621" w:rsidP="00F03621">
      <w:pPr>
        <w:rPr>
          <w:b/>
          <w:color w:val="000000" w:themeColor="text1"/>
          <w:szCs w:val="20"/>
        </w:rPr>
      </w:pPr>
    </w:p>
    <w:p w14:paraId="1B40B856" w14:textId="77777777" w:rsidR="00F03621" w:rsidRDefault="00F03621" w:rsidP="00F03621">
      <w:pPr>
        <w:rPr>
          <w:b/>
          <w:color w:val="000000" w:themeColor="text1"/>
          <w:szCs w:val="20"/>
        </w:rPr>
      </w:pPr>
    </w:p>
    <w:p w14:paraId="50EDECE4" w14:textId="77777777" w:rsidR="00F03621" w:rsidRDefault="00F03621" w:rsidP="00F03621">
      <w:pPr>
        <w:rPr>
          <w:b/>
          <w:color w:val="000000" w:themeColor="text1"/>
          <w:szCs w:val="20"/>
        </w:rPr>
      </w:pPr>
    </w:p>
    <w:p w14:paraId="5A2FB6CA" w14:textId="77777777" w:rsidR="00F03621" w:rsidRDefault="00F03621" w:rsidP="00F03621">
      <w:pPr>
        <w:rPr>
          <w:b/>
          <w:color w:val="000000" w:themeColor="text1"/>
          <w:szCs w:val="20"/>
        </w:rPr>
      </w:pPr>
    </w:p>
    <w:p w14:paraId="183839B4" w14:textId="77777777" w:rsidR="00F03621" w:rsidRDefault="00F03621" w:rsidP="00F03621">
      <w:pPr>
        <w:rPr>
          <w:b/>
          <w:color w:val="000000" w:themeColor="text1"/>
          <w:szCs w:val="20"/>
        </w:rPr>
      </w:pPr>
    </w:p>
    <w:p w14:paraId="3466C2C6" w14:textId="77777777" w:rsidR="00F03621" w:rsidRDefault="00F03621" w:rsidP="00F03621">
      <w:pPr>
        <w:rPr>
          <w:b/>
          <w:color w:val="000000" w:themeColor="text1"/>
          <w:szCs w:val="20"/>
        </w:rPr>
      </w:pPr>
    </w:p>
    <w:p w14:paraId="541FD8C3" w14:textId="77777777" w:rsidR="00F03621" w:rsidRDefault="00F03621" w:rsidP="00F03621">
      <w:pPr>
        <w:rPr>
          <w:b/>
          <w:color w:val="000000" w:themeColor="text1"/>
          <w:szCs w:val="20"/>
        </w:rPr>
      </w:pPr>
    </w:p>
    <w:p w14:paraId="7E7CB84E" w14:textId="77777777" w:rsidR="00F03621" w:rsidRDefault="00F03621" w:rsidP="00F03621">
      <w:pPr>
        <w:rPr>
          <w:b/>
          <w:color w:val="000000" w:themeColor="text1"/>
          <w:szCs w:val="20"/>
        </w:rPr>
      </w:pPr>
    </w:p>
    <w:p w14:paraId="14C78582" w14:textId="77777777" w:rsidR="00F03621" w:rsidRDefault="00F03621" w:rsidP="00F03621">
      <w:pPr>
        <w:rPr>
          <w:b/>
          <w:color w:val="000000" w:themeColor="text1"/>
          <w:szCs w:val="20"/>
        </w:rPr>
      </w:pPr>
    </w:p>
    <w:p w14:paraId="252D07B6" w14:textId="77777777" w:rsidR="00F03621" w:rsidRDefault="00F03621" w:rsidP="00F03621">
      <w:pPr>
        <w:rPr>
          <w:b/>
          <w:color w:val="000000" w:themeColor="text1"/>
          <w:szCs w:val="20"/>
        </w:rPr>
      </w:pPr>
    </w:p>
    <w:p w14:paraId="604567E8" w14:textId="77777777" w:rsidR="00F03621" w:rsidRDefault="00F03621" w:rsidP="00F03621">
      <w:pPr>
        <w:rPr>
          <w:b/>
          <w:color w:val="000000" w:themeColor="text1"/>
          <w:szCs w:val="20"/>
        </w:rPr>
      </w:pPr>
    </w:p>
    <w:p w14:paraId="56554174" w14:textId="77777777" w:rsidR="00F03621" w:rsidRDefault="00F03621" w:rsidP="00F03621">
      <w:pPr>
        <w:rPr>
          <w:b/>
          <w:color w:val="000000" w:themeColor="text1"/>
          <w:szCs w:val="20"/>
        </w:rPr>
      </w:pPr>
    </w:p>
    <w:p w14:paraId="0576D35B" w14:textId="77777777" w:rsidR="00F03621" w:rsidRDefault="00F03621" w:rsidP="00F03621">
      <w:pPr>
        <w:rPr>
          <w:b/>
          <w:color w:val="000000" w:themeColor="text1"/>
          <w:szCs w:val="20"/>
        </w:rPr>
      </w:pPr>
    </w:p>
    <w:p w14:paraId="4F67BAAA" w14:textId="77777777" w:rsidR="00F03621" w:rsidRDefault="00F03621" w:rsidP="00F03621">
      <w:pPr>
        <w:rPr>
          <w:b/>
          <w:color w:val="000000" w:themeColor="text1"/>
          <w:szCs w:val="20"/>
        </w:rPr>
      </w:pPr>
    </w:p>
    <w:p w14:paraId="490274C1" w14:textId="77777777" w:rsidR="00F03621" w:rsidRDefault="00F03621" w:rsidP="00F03621">
      <w:pPr>
        <w:rPr>
          <w:b/>
          <w:color w:val="000000" w:themeColor="text1"/>
          <w:szCs w:val="20"/>
        </w:rPr>
      </w:pPr>
    </w:p>
    <w:p w14:paraId="7BFD2BB4" w14:textId="77777777" w:rsidR="00F03621" w:rsidRDefault="00F03621" w:rsidP="00F03621">
      <w:pPr>
        <w:rPr>
          <w:b/>
          <w:color w:val="000000" w:themeColor="text1"/>
          <w:szCs w:val="20"/>
        </w:rPr>
      </w:pPr>
    </w:p>
    <w:p w14:paraId="12CF8A8E" w14:textId="1B829790" w:rsidR="00F03621" w:rsidRPr="00532388" w:rsidRDefault="00F03621" w:rsidP="00F03621">
      <w:pPr>
        <w:rPr>
          <w:b/>
          <w:color w:val="000000" w:themeColor="text1"/>
          <w:szCs w:val="20"/>
        </w:rPr>
      </w:pPr>
      <w:r>
        <w:rPr>
          <w:b/>
          <w:color w:val="000000" w:themeColor="text1"/>
          <w:szCs w:val="20"/>
        </w:rPr>
        <w:t>Appendix A.</w:t>
      </w:r>
    </w:p>
    <w:p w14:paraId="3F031DF6" w14:textId="77777777" w:rsidR="00F03621" w:rsidRDefault="00F03621" w:rsidP="00F03621">
      <w:pPr>
        <w:rPr>
          <w:i/>
          <w:color w:val="000000" w:themeColor="text1"/>
          <w:szCs w:val="20"/>
        </w:rPr>
      </w:pPr>
    </w:p>
    <w:p w14:paraId="75A13EEE" w14:textId="77777777" w:rsidR="00F03621" w:rsidRDefault="00F03621" w:rsidP="00F03621">
      <w:pPr>
        <w:rPr>
          <w:i/>
          <w:color w:val="000000" w:themeColor="text1"/>
          <w:szCs w:val="20"/>
        </w:rPr>
      </w:pPr>
      <w:r>
        <w:rPr>
          <w:i/>
          <w:color w:val="000000" w:themeColor="text1"/>
          <w:szCs w:val="20"/>
        </w:rPr>
        <w:t>C</w:t>
      </w:r>
      <w:r w:rsidRPr="00532388">
        <w:rPr>
          <w:i/>
          <w:color w:val="000000" w:themeColor="text1"/>
          <w:szCs w:val="20"/>
        </w:rPr>
        <w:t xml:space="preserve">urve fits used to generate predicted root accumulation for each depth. The mean and </w:t>
      </w:r>
      <w:r>
        <w:rPr>
          <w:i/>
          <w:color w:val="000000" w:themeColor="text1"/>
          <w:szCs w:val="20"/>
        </w:rPr>
        <w:t>standard error of these curves are</w:t>
      </w:r>
      <w:r w:rsidRPr="00532388">
        <w:rPr>
          <w:i/>
          <w:color w:val="000000" w:themeColor="text1"/>
          <w:szCs w:val="20"/>
        </w:rPr>
        <w:t xml:space="preserve"> found in Fig. 3.</w:t>
      </w:r>
    </w:p>
    <w:p w14:paraId="45F82520" w14:textId="77777777" w:rsidR="00F03621" w:rsidRPr="00532388" w:rsidRDefault="00F03621" w:rsidP="00F03621">
      <w:pPr>
        <w:rPr>
          <w:i/>
          <w:color w:val="000000" w:themeColor="text1"/>
          <w:szCs w:val="20"/>
        </w:rPr>
      </w:pPr>
      <w:r w:rsidRPr="00532388">
        <w:rPr>
          <w:i/>
          <w:color w:val="000000" w:themeColor="text1"/>
          <w:szCs w:val="20"/>
        </w:rPr>
        <w:t xml:space="preserve"> </w:t>
      </w:r>
    </w:p>
    <w:p w14:paraId="5BB50F6B" w14:textId="77777777" w:rsidR="00F03621" w:rsidRPr="00532388" w:rsidRDefault="00F03621" w:rsidP="00F03621">
      <w:pPr>
        <w:rPr>
          <w:color w:val="000000" w:themeColor="text1"/>
          <w:szCs w:val="20"/>
          <w:u w:val="single"/>
        </w:rPr>
      </w:pPr>
      <w:r w:rsidRPr="00532388">
        <w:rPr>
          <w:noProof/>
          <w:szCs w:val="20"/>
          <w:lang w:val="en-US" w:eastAsia="en-US"/>
        </w:rPr>
        <w:drawing>
          <wp:inline distT="0" distB="0" distL="0" distR="0" wp14:anchorId="6ABEA949" wp14:editId="2F713C79">
            <wp:extent cx="5943600" cy="475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50435"/>
                    </a:xfrm>
                    <a:prstGeom prst="rect">
                      <a:avLst/>
                    </a:prstGeom>
                  </pic:spPr>
                </pic:pic>
              </a:graphicData>
            </a:graphic>
          </wp:inline>
        </w:drawing>
      </w:r>
    </w:p>
    <w:p w14:paraId="4C1D710F" w14:textId="77777777" w:rsidR="00F03621" w:rsidRPr="00532388" w:rsidRDefault="00F03621" w:rsidP="00F03621">
      <w:pPr>
        <w:rPr>
          <w:color w:val="000000" w:themeColor="text1"/>
          <w:szCs w:val="20"/>
        </w:rPr>
      </w:pPr>
      <w:r>
        <w:rPr>
          <w:color w:val="000000" w:themeColor="text1"/>
          <w:szCs w:val="20"/>
        </w:rPr>
        <w:t>Fig A</w:t>
      </w:r>
      <w:r w:rsidRPr="00532388">
        <w:rPr>
          <w:color w:val="000000" w:themeColor="text1"/>
          <w:szCs w:val="20"/>
        </w:rPr>
        <w:t>1.  Logistic curves fit to root pool mass accumulation at each replication and depth increment in the prairie treatment.</w:t>
      </w:r>
    </w:p>
    <w:p w14:paraId="20872996" w14:textId="77777777" w:rsidR="00F03621" w:rsidRPr="00532388" w:rsidRDefault="00F03621" w:rsidP="00F03621">
      <w:pPr>
        <w:rPr>
          <w:color w:val="000000" w:themeColor="text1"/>
          <w:szCs w:val="20"/>
        </w:rPr>
      </w:pPr>
    </w:p>
    <w:p w14:paraId="7C5330DC" w14:textId="77777777" w:rsidR="00F03621" w:rsidRPr="00532388" w:rsidRDefault="00F03621" w:rsidP="00F03621">
      <w:pPr>
        <w:rPr>
          <w:color w:val="000000" w:themeColor="text1"/>
          <w:szCs w:val="20"/>
        </w:rPr>
      </w:pPr>
      <w:r w:rsidRPr="00532388">
        <w:rPr>
          <w:noProof/>
          <w:szCs w:val="20"/>
          <w:lang w:val="en-US" w:eastAsia="en-US"/>
        </w:rPr>
        <w:lastRenderedPageBreak/>
        <w:drawing>
          <wp:inline distT="0" distB="0" distL="0" distR="0" wp14:anchorId="2629B777" wp14:editId="29700AFA">
            <wp:extent cx="5943600" cy="475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1E86722B" w14:textId="77777777" w:rsidR="00F03621" w:rsidRPr="00532388" w:rsidRDefault="00F03621" w:rsidP="00F03621">
      <w:pPr>
        <w:rPr>
          <w:color w:val="000000" w:themeColor="text1"/>
          <w:szCs w:val="20"/>
        </w:rPr>
      </w:pPr>
      <w:r>
        <w:rPr>
          <w:color w:val="000000" w:themeColor="text1"/>
          <w:szCs w:val="20"/>
        </w:rPr>
        <w:t>Fig A2</w:t>
      </w:r>
      <w:r w:rsidRPr="00532388">
        <w:rPr>
          <w:color w:val="000000" w:themeColor="text1"/>
          <w:szCs w:val="20"/>
        </w:rPr>
        <w:t>.  Logistic curves fit to root pool mass accumulation at each replication and depth increment in the fertilized prairie treatment.</w:t>
      </w:r>
    </w:p>
    <w:p w14:paraId="26D6940B" w14:textId="77777777" w:rsidR="00F03621" w:rsidRPr="00532388" w:rsidRDefault="00F03621" w:rsidP="00F03621">
      <w:pPr>
        <w:rPr>
          <w:szCs w:val="20"/>
        </w:rPr>
      </w:pPr>
      <w:r w:rsidRPr="00532388">
        <w:rPr>
          <w:noProof/>
          <w:szCs w:val="20"/>
          <w:lang w:val="en-US" w:eastAsia="en-US"/>
        </w:rPr>
        <w:lastRenderedPageBreak/>
        <w:drawing>
          <wp:inline distT="0" distB="0" distL="0" distR="0" wp14:anchorId="4A61DBE1" wp14:editId="273D3662">
            <wp:extent cx="5943600" cy="475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p>
    <w:p w14:paraId="10FA3B39" w14:textId="1240D3C3" w:rsidR="00F03621" w:rsidRDefault="00F03621" w:rsidP="00F03621">
      <w:pPr>
        <w:rPr>
          <w:color w:val="000000" w:themeColor="text1"/>
          <w:szCs w:val="20"/>
        </w:rPr>
      </w:pPr>
      <w:r>
        <w:rPr>
          <w:color w:val="000000" w:themeColor="text1"/>
          <w:szCs w:val="20"/>
        </w:rPr>
        <w:t>Fig A</w:t>
      </w:r>
      <w:r w:rsidRPr="00532388">
        <w:rPr>
          <w:color w:val="000000" w:themeColor="text1"/>
          <w:szCs w:val="20"/>
        </w:rPr>
        <w:t>3.  Logistic curves fit to root pool mass accumulation at each replication and depth increment in the maize treatment.</w:t>
      </w:r>
      <w:r w:rsidR="00513FDC">
        <w:rPr>
          <w:color w:val="000000" w:themeColor="text1"/>
          <w:szCs w:val="20"/>
        </w:rPr>
        <w:t xml:space="preserve">  </w:t>
      </w:r>
    </w:p>
    <w:p w14:paraId="5C08A479" w14:textId="566B60AB" w:rsidR="00513FDC" w:rsidRDefault="00513FDC" w:rsidP="00F03621">
      <w:pPr>
        <w:rPr>
          <w:color w:val="000000" w:themeColor="text1"/>
          <w:szCs w:val="20"/>
        </w:rPr>
      </w:pPr>
    </w:p>
    <w:p w14:paraId="5C232895" w14:textId="77777777" w:rsidR="000071EB" w:rsidRDefault="000071EB" w:rsidP="00513FDC">
      <w:pPr>
        <w:rPr>
          <w:szCs w:val="20"/>
        </w:rPr>
      </w:pPr>
    </w:p>
    <w:p w14:paraId="4968FE73" w14:textId="77777777" w:rsidR="000071EB" w:rsidRDefault="000071EB" w:rsidP="00513FDC">
      <w:pPr>
        <w:rPr>
          <w:szCs w:val="20"/>
        </w:rPr>
      </w:pPr>
    </w:p>
    <w:p w14:paraId="77E952E0" w14:textId="77777777" w:rsidR="000071EB" w:rsidRDefault="000071EB" w:rsidP="00513FDC">
      <w:pPr>
        <w:rPr>
          <w:szCs w:val="20"/>
        </w:rPr>
      </w:pPr>
    </w:p>
    <w:p w14:paraId="07442E49" w14:textId="77777777" w:rsidR="000071EB" w:rsidRDefault="000071EB" w:rsidP="00513FDC">
      <w:pPr>
        <w:rPr>
          <w:szCs w:val="20"/>
        </w:rPr>
      </w:pPr>
    </w:p>
    <w:p w14:paraId="55F81FB8" w14:textId="77777777" w:rsidR="000071EB" w:rsidRDefault="000071EB" w:rsidP="00513FDC">
      <w:pPr>
        <w:rPr>
          <w:szCs w:val="20"/>
        </w:rPr>
      </w:pPr>
    </w:p>
    <w:p w14:paraId="60392402" w14:textId="77777777" w:rsidR="000071EB" w:rsidRDefault="000071EB" w:rsidP="00513FDC">
      <w:pPr>
        <w:rPr>
          <w:szCs w:val="20"/>
        </w:rPr>
      </w:pPr>
    </w:p>
    <w:p w14:paraId="24116785" w14:textId="77777777" w:rsidR="000071EB" w:rsidRDefault="000071EB" w:rsidP="00513FDC">
      <w:pPr>
        <w:rPr>
          <w:szCs w:val="20"/>
        </w:rPr>
      </w:pPr>
    </w:p>
    <w:p w14:paraId="13C9F75D" w14:textId="77777777" w:rsidR="000071EB" w:rsidRDefault="000071EB" w:rsidP="00513FDC">
      <w:pPr>
        <w:rPr>
          <w:szCs w:val="20"/>
        </w:rPr>
      </w:pPr>
    </w:p>
    <w:p w14:paraId="009493DD" w14:textId="77777777" w:rsidR="000071EB" w:rsidRDefault="000071EB" w:rsidP="00513FDC">
      <w:pPr>
        <w:rPr>
          <w:szCs w:val="20"/>
        </w:rPr>
      </w:pPr>
    </w:p>
    <w:p w14:paraId="079CDC2E" w14:textId="77777777" w:rsidR="000071EB" w:rsidRDefault="000071EB" w:rsidP="00513FDC">
      <w:pPr>
        <w:rPr>
          <w:szCs w:val="20"/>
        </w:rPr>
      </w:pPr>
    </w:p>
    <w:p w14:paraId="7B85E55A" w14:textId="77777777" w:rsidR="000071EB" w:rsidRDefault="000071EB" w:rsidP="00513FDC">
      <w:pPr>
        <w:rPr>
          <w:szCs w:val="20"/>
        </w:rPr>
      </w:pPr>
    </w:p>
    <w:p w14:paraId="3C1343EB" w14:textId="77777777" w:rsidR="000071EB" w:rsidRDefault="000071EB" w:rsidP="00513FDC">
      <w:pPr>
        <w:rPr>
          <w:szCs w:val="20"/>
        </w:rPr>
      </w:pPr>
    </w:p>
    <w:p w14:paraId="03F2C957" w14:textId="77777777" w:rsidR="000071EB" w:rsidRDefault="000071EB" w:rsidP="00513FDC">
      <w:pPr>
        <w:rPr>
          <w:szCs w:val="20"/>
        </w:rPr>
      </w:pPr>
    </w:p>
    <w:p w14:paraId="19F5C92C" w14:textId="77777777" w:rsidR="000071EB" w:rsidRDefault="000071EB" w:rsidP="00513FDC">
      <w:pPr>
        <w:rPr>
          <w:szCs w:val="20"/>
        </w:rPr>
      </w:pPr>
    </w:p>
    <w:p w14:paraId="5148D983" w14:textId="5E310766" w:rsidR="00513FDC" w:rsidRDefault="00513FDC" w:rsidP="00513FDC">
      <w:pPr>
        <w:rPr>
          <w:szCs w:val="20"/>
        </w:rPr>
      </w:pPr>
      <w:r>
        <w:rPr>
          <w:szCs w:val="20"/>
        </w:rPr>
        <w:lastRenderedPageBreak/>
        <w:t>Table A1</w:t>
      </w:r>
      <w:r w:rsidRPr="00532388">
        <w:rPr>
          <w:szCs w:val="20"/>
        </w:rPr>
        <w:t>. Root pool accumulation rates averaged across each growing season</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r w:rsidRPr="00532388">
        <w:rPr>
          <w:szCs w:val="20"/>
        </w:rPr>
        <w:t xml:space="preserve">.  Differences in lowercase letters indicate significant differences between depths within treatments within years (read up and down). Differences in uppercase letters indicate differences between treatments within depths within years (read left to right).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513FDC" w:rsidRPr="00CE3A2F" w14:paraId="3C6F8F6A" w14:textId="77777777" w:rsidTr="00A70798">
        <w:trPr>
          <w:trHeight w:val="300"/>
          <w:jc w:val="center"/>
        </w:trPr>
        <w:tc>
          <w:tcPr>
            <w:tcW w:w="960" w:type="dxa"/>
            <w:tcBorders>
              <w:bottom w:val="single" w:sz="4" w:space="0" w:color="auto"/>
            </w:tcBorders>
            <w:noWrap/>
            <w:hideMark/>
          </w:tcPr>
          <w:p w14:paraId="72CD57C5" w14:textId="77777777" w:rsidR="00513FDC" w:rsidRPr="00B901D7" w:rsidRDefault="00513FDC" w:rsidP="00A70798">
            <w:pPr>
              <w:jc w:val="center"/>
              <w:rPr>
                <w:szCs w:val="20"/>
              </w:rPr>
            </w:pPr>
            <w:r w:rsidRPr="00B901D7">
              <w:rPr>
                <w:szCs w:val="20"/>
              </w:rPr>
              <w:t>Year</w:t>
            </w:r>
          </w:p>
        </w:tc>
        <w:tc>
          <w:tcPr>
            <w:tcW w:w="1020" w:type="dxa"/>
            <w:tcBorders>
              <w:bottom w:val="single" w:sz="4" w:space="0" w:color="auto"/>
            </w:tcBorders>
            <w:noWrap/>
            <w:hideMark/>
          </w:tcPr>
          <w:p w14:paraId="4AAD10F5" w14:textId="77777777" w:rsidR="00513FDC" w:rsidRPr="00B901D7" w:rsidRDefault="00513FDC" w:rsidP="00A70798">
            <w:pPr>
              <w:spacing w:line="240" w:lineRule="auto"/>
              <w:jc w:val="center"/>
              <w:rPr>
                <w:szCs w:val="20"/>
              </w:rPr>
            </w:pPr>
            <w:r w:rsidRPr="00B901D7">
              <w:rPr>
                <w:szCs w:val="20"/>
              </w:rPr>
              <w:t>Depth (cm)</w:t>
            </w:r>
          </w:p>
        </w:tc>
        <w:tc>
          <w:tcPr>
            <w:tcW w:w="1620" w:type="dxa"/>
            <w:gridSpan w:val="3"/>
            <w:tcBorders>
              <w:bottom w:val="single" w:sz="4" w:space="0" w:color="auto"/>
            </w:tcBorders>
            <w:noWrap/>
            <w:hideMark/>
          </w:tcPr>
          <w:p w14:paraId="6C707286" w14:textId="77777777" w:rsidR="00513FDC" w:rsidRPr="00B901D7" w:rsidRDefault="00513FDC" w:rsidP="00A70798">
            <w:pPr>
              <w:spacing w:line="240" w:lineRule="auto"/>
              <w:jc w:val="center"/>
              <w:rPr>
                <w:szCs w:val="20"/>
              </w:rPr>
            </w:pPr>
            <w:r w:rsidRPr="00B901D7">
              <w:rPr>
                <w:szCs w:val="20"/>
              </w:rPr>
              <w:t>Maize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p>
        </w:tc>
        <w:tc>
          <w:tcPr>
            <w:tcW w:w="1800" w:type="dxa"/>
            <w:gridSpan w:val="3"/>
            <w:tcBorders>
              <w:bottom w:val="single" w:sz="4" w:space="0" w:color="auto"/>
            </w:tcBorders>
            <w:noWrap/>
            <w:hideMark/>
          </w:tcPr>
          <w:p w14:paraId="30E6719F" w14:textId="77777777" w:rsidR="00513FDC" w:rsidRPr="00B901D7" w:rsidRDefault="00513FDC" w:rsidP="00A70798">
            <w:pPr>
              <w:spacing w:line="240" w:lineRule="auto"/>
              <w:jc w:val="center"/>
              <w:rPr>
                <w:szCs w:val="20"/>
              </w:rPr>
            </w:pPr>
            <w:r w:rsidRPr="00B901D7">
              <w:rPr>
                <w:szCs w:val="20"/>
              </w:rPr>
              <w:t>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p>
        </w:tc>
        <w:tc>
          <w:tcPr>
            <w:tcW w:w="1800" w:type="dxa"/>
            <w:gridSpan w:val="3"/>
            <w:tcBorders>
              <w:bottom w:val="single" w:sz="4" w:space="0" w:color="auto"/>
            </w:tcBorders>
            <w:noWrap/>
            <w:hideMark/>
          </w:tcPr>
          <w:p w14:paraId="13A1ACD1" w14:textId="77777777" w:rsidR="00513FDC" w:rsidRPr="00B901D7" w:rsidRDefault="00513FDC" w:rsidP="00A70798">
            <w:pPr>
              <w:spacing w:line="240" w:lineRule="auto"/>
              <w:jc w:val="center"/>
              <w:rPr>
                <w:szCs w:val="20"/>
              </w:rPr>
            </w:pPr>
            <w:r w:rsidRPr="00B901D7">
              <w:rPr>
                <w:szCs w:val="20"/>
              </w:rPr>
              <w:t>Unfertilized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p>
        </w:tc>
      </w:tr>
      <w:tr w:rsidR="00513FDC" w:rsidRPr="00CE3A2F" w14:paraId="3B67B03D" w14:textId="77777777" w:rsidTr="00A70798">
        <w:trPr>
          <w:trHeight w:val="288"/>
          <w:jc w:val="center"/>
        </w:trPr>
        <w:tc>
          <w:tcPr>
            <w:tcW w:w="960" w:type="dxa"/>
            <w:vMerge w:val="restart"/>
            <w:tcBorders>
              <w:top w:val="single" w:sz="4" w:space="0" w:color="auto"/>
              <w:bottom w:val="dotted" w:sz="4" w:space="0" w:color="auto"/>
            </w:tcBorders>
            <w:noWrap/>
            <w:vAlign w:val="center"/>
            <w:hideMark/>
          </w:tcPr>
          <w:p w14:paraId="1EDDA5E9" w14:textId="77777777" w:rsidR="00513FDC" w:rsidRPr="00B901D7" w:rsidRDefault="00513FDC" w:rsidP="00A70798">
            <w:pPr>
              <w:jc w:val="center"/>
              <w:rPr>
                <w:szCs w:val="20"/>
              </w:rPr>
            </w:pPr>
            <w:r w:rsidRPr="00B901D7">
              <w:rPr>
                <w:szCs w:val="20"/>
              </w:rPr>
              <w:t>2008</w:t>
            </w:r>
          </w:p>
        </w:tc>
        <w:tc>
          <w:tcPr>
            <w:tcW w:w="1020" w:type="dxa"/>
            <w:tcBorders>
              <w:top w:val="single" w:sz="4" w:space="0" w:color="auto"/>
            </w:tcBorders>
            <w:noWrap/>
            <w:vAlign w:val="bottom"/>
            <w:hideMark/>
          </w:tcPr>
          <w:p w14:paraId="38328B4D" w14:textId="77777777" w:rsidR="00513FDC" w:rsidRPr="00B901D7" w:rsidRDefault="00513FDC" w:rsidP="00A70798">
            <w:pPr>
              <w:jc w:val="center"/>
              <w:rPr>
                <w:szCs w:val="20"/>
              </w:rPr>
            </w:pPr>
            <w:r w:rsidRPr="00B901D7">
              <w:rPr>
                <w:szCs w:val="20"/>
              </w:rPr>
              <w:t>0-5</w:t>
            </w:r>
          </w:p>
        </w:tc>
        <w:tc>
          <w:tcPr>
            <w:tcW w:w="666" w:type="dxa"/>
            <w:tcBorders>
              <w:top w:val="single" w:sz="4" w:space="0" w:color="auto"/>
            </w:tcBorders>
            <w:noWrap/>
            <w:vAlign w:val="bottom"/>
            <w:hideMark/>
          </w:tcPr>
          <w:p w14:paraId="0616D088" w14:textId="77777777" w:rsidR="00513FDC" w:rsidRPr="00B901D7" w:rsidRDefault="00513FDC" w:rsidP="00A70798">
            <w:pPr>
              <w:rPr>
                <w:szCs w:val="20"/>
              </w:rPr>
            </w:pPr>
            <w:r w:rsidRPr="00B901D7">
              <w:rPr>
                <w:szCs w:val="20"/>
              </w:rPr>
              <w:t>0.007</w:t>
            </w:r>
          </w:p>
        </w:tc>
        <w:tc>
          <w:tcPr>
            <w:tcW w:w="324" w:type="dxa"/>
            <w:tcBorders>
              <w:top w:val="single" w:sz="4" w:space="0" w:color="auto"/>
            </w:tcBorders>
            <w:noWrap/>
            <w:vAlign w:val="bottom"/>
            <w:hideMark/>
          </w:tcPr>
          <w:p w14:paraId="344AB6CA" w14:textId="77777777" w:rsidR="00513FDC" w:rsidRPr="00B901D7" w:rsidRDefault="00513FDC" w:rsidP="00A70798">
            <w:pPr>
              <w:rPr>
                <w:szCs w:val="20"/>
              </w:rPr>
            </w:pPr>
            <w:r w:rsidRPr="00B901D7">
              <w:rPr>
                <w:szCs w:val="20"/>
              </w:rPr>
              <w:t>a</w:t>
            </w:r>
          </w:p>
        </w:tc>
        <w:tc>
          <w:tcPr>
            <w:tcW w:w="630" w:type="dxa"/>
            <w:tcBorders>
              <w:top w:val="single" w:sz="4" w:space="0" w:color="auto"/>
            </w:tcBorders>
            <w:noWrap/>
            <w:vAlign w:val="bottom"/>
            <w:hideMark/>
          </w:tcPr>
          <w:p w14:paraId="315344DE" w14:textId="77777777" w:rsidR="00513FDC" w:rsidRPr="00B901D7" w:rsidRDefault="00513FDC" w:rsidP="00A70798">
            <w:pPr>
              <w:rPr>
                <w:szCs w:val="20"/>
              </w:rPr>
            </w:pPr>
            <w:r w:rsidRPr="00B901D7">
              <w:rPr>
                <w:szCs w:val="20"/>
              </w:rPr>
              <w:t>C</w:t>
            </w:r>
          </w:p>
        </w:tc>
        <w:tc>
          <w:tcPr>
            <w:tcW w:w="720" w:type="dxa"/>
            <w:tcBorders>
              <w:top w:val="single" w:sz="4" w:space="0" w:color="auto"/>
            </w:tcBorders>
            <w:noWrap/>
            <w:vAlign w:val="bottom"/>
            <w:hideMark/>
          </w:tcPr>
          <w:p w14:paraId="6285B830" w14:textId="77777777" w:rsidR="00513FDC" w:rsidRPr="00B901D7" w:rsidRDefault="00513FDC" w:rsidP="00A70798">
            <w:pPr>
              <w:rPr>
                <w:szCs w:val="20"/>
              </w:rPr>
            </w:pPr>
            <w:r w:rsidRPr="00B901D7">
              <w:rPr>
                <w:szCs w:val="20"/>
              </w:rPr>
              <w:t>0.205</w:t>
            </w:r>
          </w:p>
        </w:tc>
        <w:tc>
          <w:tcPr>
            <w:tcW w:w="405" w:type="dxa"/>
            <w:tcBorders>
              <w:top w:val="single" w:sz="4" w:space="0" w:color="auto"/>
            </w:tcBorders>
            <w:noWrap/>
            <w:vAlign w:val="bottom"/>
            <w:hideMark/>
          </w:tcPr>
          <w:p w14:paraId="3EF7E47A" w14:textId="77777777" w:rsidR="00513FDC" w:rsidRPr="00B901D7" w:rsidRDefault="00513FDC" w:rsidP="00A70798">
            <w:pPr>
              <w:rPr>
                <w:szCs w:val="20"/>
              </w:rPr>
            </w:pPr>
            <w:r w:rsidRPr="00B901D7">
              <w:rPr>
                <w:szCs w:val="20"/>
              </w:rPr>
              <w:t>a</w:t>
            </w:r>
          </w:p>
        </w:tc>
        <w:tc>
          <w:tcPr>
            <w:tcW w:w="675" w:type="dxa"/>
            <w:tcBorders>
              <w:top w:val="single" w:sz="4" w:space="0" w:color="auto"/>
            </w:tcBorders>
            <w:noWrap/>
            <w:vAlign w:val="bottom"/>
            <w:hideMark/>
          </w:tcPr>
          <w:p w14:paraId="4704EA65" w14:textId="77777777" w:rsidR="00513FDC" w:rsidRPr="00B901D7" w:rsidRDefault="00513FDC" w:rsidP="00A70798">
            <w:pPr>
              <w:rPr>
                <w:szCs w:val="20"/>
              </w:rPr>
            </w:pPr>
            <w:r w:rsidRPr="00B901D7">
              <w:rPr>
                <w:szCs w:val="20"/>
              </w:rPr>
              <w:t>B</w:t>
            </w:r>
          </w:p>
        </w:tc>
        <w:tc>
          <w:tcPr>
            <w:tcW w:w="720" w:type="dxa"/>
            <w:tcBorders>
              <w:top w:val="single" w:sz="4" w:space="0" w:color="auto"/>
            </w:tcBorders>
            <w:noWrap/>
            <w:vAlign w:val="bottom"/>
            <w:hideMark/>
          </w:tcPr>
          <w:p w14:paraId="22A108DF" w14:textId="77777777" w:rsidR="00513FDC" w:rsidRPr="00B901D7" w:rsidRDefault="00513FDC" w:rsidP="00A70798">
            <w:pPr>
              <w:rPr>
                <w:szCs w:val="20"/>
              </w:rPr>
            </w:pPr>
            <w:r w:rsidRPr="00B901D7">
              <w:rPr>
                <w:szCs w:val="20"/>
              </w:rPr>
              <w:t>0.411</w:t>
            </w:r>
          </w:p>
        </w:tc>
        <w:tc>
          <w:tcPr>
            <w:tcW w:w="360" w:type="dxa"/>
            <w:tcBorders>
              <w:top w:val="single" w:sz="4" w:space="0" w:color="auto"/>
            </w:tcBorders>
            <w:noWrap/>
            <w:vAlign w:val="bottom"/>
            <w:hideMark/>
          </w:tcPr>
          <w:p w14:paraId="16DE273C" w14:textId="77777777" w:rsidR="00513FDC" w:rsidRPr="00B901D7" w:rsidRDefault="00513FDC" w:rsidP="00A70798">
            <w:pPr>
              <w:rPr>
                <w:szCs w:val="20"/>
              </w:rPr>
            </w:pPr>
            <w:r w:rsidRPr="00B901D7">
              <w:rPr>
                <w:szCs w:val="20"/>
              </w:rPr>
              <w:t>a</w:t>
            </w:r>
          </w:p>
        </w:tc>
        <w:tc>
          <w:tcPr>
            <w:tcW w:w="720" w:type="dxa"/>
            <w:tcBorders>
              <w:top w:val="single" w:sz="4" w:space="0" w:color="auto"/>
            </w:tcBorders>
            <w:noWrap/>
            <w:vAlign w:val="bottom"/>
            <w:hideMark/>
          </w:tcPr>
          <w:p w14:paraId="6393E291" w14:textId="77777777" w:rsidR="00513FDC" w:rsidRPr="00B901D7" w:rsidRDefault="00513FDC" w:rsidP="00A70798">
            <w:pPr>
              <w:rPr>
                <w:szCs w:val="20"/>
              </w:rPr>
            </w:pPr>
            <w:r w:rsidRPr="00B901D7">
              <w:rPr>
                <w:szCs w:val="20"/>
              </w:rPr>
              <w:t>A</w:t>
            </w:r>
          </w:p>
        </w:tc>
      </w:tr>
      <w:tr w:rsidR="00513FDC" w:rsidRPr="00CE3A2F" w14:paraId="763301A3" w14:textId="77777777" w:rsidTr="00A70798">
        <w:trPr>
          <w:trHeight w:val="288"/>
          <w:jc w:val="center"/>
        </w:trPr>
        <w:tc>
          <w:tcPr>
            <w:tcW w:w="960" w:type="dxa"/>
            <w:vMerge/>
            <w:tcBorders>
              <w:bottom w:val="dotted" w:sz="4" w:space="0" w:color="auto"/>
            </w:tcBorders>
            <w:vAlign w:val="center"/>
            <w:hideMark/>
          </w:tcPr>
          <w:p w14:paraId="13E0ECA7" w14:textId="77777777" w:rsidR="00513FDC" w:rsidRPr="00B901D7" w:rsidRDefault="00513FDC" w:rsidP="00A70798">
            <w:pPr>
              <w:jc w:val="center"/>
              <w:rPr>
                <w:szCs w:val="20"/>
              </w:rPr>
            </w:pPr>
          </w:p>
        </w:tc>
        <w:tc>
          <w:tcPr>
            <w:tcW w:w="1020" w:type="dxa"/>
            <w:noWrap/>
            <w:vAlign w:val="bottom"/>
            <w:hideMark/>
          </w:tcPr>
          <w:p w14:paraId="36E38A00" w14:textId="77777777" w:rsidR="00513FDC" w:rsidRPr="00B901D7" w:rsidRDefault="00513FDC" w:rsidP="00A70798">
            <w:pPr>
              <w:jc w:val="center"/>
              <w:rPr>
                <w:szCs w:val="20"/>
              </w:rPr>
            </w:pPr>
            <w:r w:rsidRPr="00B901D7">
              <w:rPr>
                <w:szCs w:val="20"/>
              </w:rPr>
              <w:t>5-15</w:t>
            </w:r>
          </w:p>
        </w:tc>
        <w:tc>
          <w:tcPr>
            <w:tcW w:w="666" w:type="dxa"/>
            <w:noWrap/>
            <w:vAlign w:val="bottom"/>
            <w:hideMark/>
          </w:tcPr>
          <w:p w14:paraId="5231F8D7" w14:textId="77777777" w:rsidR="00513FDC" w:rsidRPr="00B901D7" w:rsidRDefault="00513FDC" w:rsidP="00A70798">
            <w:pPr>
              <w:rPr>
                <w:szCs w:val="20"/>
              </w:rPr>
            </w:pPr>
            <w:r w:rsidRPr="00B901D7">
              <w:rPr>
                <w:szCs w:val="20"/>
              </w:rPr>
              <w:t>0.007</w:t>
            </w:r>
          </w:p>
        </w:tc>
        <w:tc>
          <w:tcPr>
            <w:tcW w:w="324" w:type="dxa"/>
            <w:noWrap/>
            <w:vAlign w:val="bottom"/>
            <w:hideMark/>
          </w:tcPr>
          <w:p w14:paraId="62243DF3" w14:textId="77777777" w:rsidR="00513FDC" w:rsidRPr="00B901D7" w:rsidRDefault="00513FDC" w:rsidP="00A70798">
            <w:pPr>
              <w:rPr>
                <w:szCs w:val="20"/>
              </w:rPr>
            </w:pPr>
            <w:r w:rsidRPr="00B901D7">
              <w:rPr>
                <w:szCs w:val="20"/>
              </w:rPr>
              <w:t>a</w:t>
            </w:r>
          </w:p>
        </w:tc>
        <w:tc>
          <w:tcPr>
            <w:tcW w:w="630" w:type="dxa"/>
            <w:noWrap/>
            <w:vAlign w:val="bottom"/>
            <w:hideMark/>
          </w:tcPr>
          <w:p w14:paraId="2369780F" w14:textId="77777777" w:rsidR="00513FDC" w:rsidRPr="00B901D7" w:rsidRDefault="00513FDC" w:rsidP="00A70798">
            <w:pPr>
              <w:rPr>
                <w:szCs w:val="20"/>
              </w:rPr>
            </w:pPr>
            <w:r w:rsidRPr="00B901D7">
              <w:rPr>
                <w:szCs w:val="20"/>
              </w:rPr>
              <w:t>C</w:t>
            </w:r>
          </w:p>
        </w:tc>
        <w:tc>
          <w:tcPr>
            <w:tcW w:w="720" w:type="dxa"/>
            <w:noWrap/>
            <w:vAlign w:val="bottom"/>
            <w:hideMark/>
          </w:tcPr>
          <w:p w14:paraId="202F96B1" w14:textId="77777777" w:rsidR="00513FDC" w:rsidRPr="00B901D7" w:rsidRDefault="00513FDC" w:rsidP="00A70798">
            <w:pPr>
              <w:rPr>
                <w:szCs w:val="20"/>
              </w:rPr>
            </w:pPr>
            <w:r w:rsidRPr="00B901D7">
              <w:rPr>
                <w:szCs w:val="20"/>
              </w:rPr>
              <w:t>0.044</w:t>
            </w:r>
          </w:p>
        </w:tc>
        <w:tc>
          <w:tcPr>
            <w:tcW w:w="405" w:type="dxa"/>
            <w:noWrap/>
            <w:vAlign w:val="bottom"/>
            <w:hideMark/>
          </w:tcPr>
          <w:p w14:paraId="5CB4C377" w14:textId="77777777" w:rsidR="00513FDC" w:rsidRPr="00B901D7" w:rsidRDefault="00513FDC" w:rsidP="00A70798">
            <w:pPr>
              <w:rPr>
                <w:szCs w:val="20"/>
              </w:rPr>
            </w:pPr>
            <w:r w:rsidRPr="00B901D7">
              <w:rPr>
                <w:szCs w:val="20"/>
              </w:rPr>
              <w:t>b</w:t>
            </w:r>
          </w:p>
        </w:tc>
        <w:tc>
          <w:tcPr>
            <w:tcW w:w="675" w:type="dxa"/>
            <w:noWrap/>
            <w:vAlign w:val="bottom"/>
            <w:hideMark/>
          </w:tcPr>
          <w:p w14:paraId="1DBB8ACB" w14:textId="77777777" w:rsidR="00513FDC" w:rsidRPr="00B901D7" w:rsidRDefault="00513FDC" w:rsidP="00A70798">
            <w:pPr>
              <w:rPr>
                <w:szCs w:val="20"/>
              </w:rPr>
            </w:pPr>
            <w:r w:rsidRPr="00B901D7">
              <w:rPr>
                <w:szCs w:val="20"/>
              </w:rPr>
              <w:t>B</w:t>
            </w:r>
          </w:p>
        </w:tc>
        <w:tc>
          <w:tcPr>
            <w:tcW w:w="720" w:type="dxa"/>
            <w:noWrap/>
            <w:vAlign w:val="bottom"/>
            <w:hideMark/>
          </w:tcPr>
          <w:p w14:paraId="3EC84A10" w14:textId="77777777" w:rsidR="00513FDC" w:rsidRPr="00B901D7" w:rsidRDefault="00513FDC" w:rsidP="00A70798">
            <w:pPr>
              <w:rPr>
                <w:szCs w:val="20"/>
              </w:rPr>
            </w:pPr>
            <w:r w:rsidRPr="00B901D7">
              <w:rPr>
                <w:szCs w:val="20"/>
              </w:rPr>
              <w:t>0.102</w:t>
            </w:r>
          </w:p>
        </w:tc>
        <w:tc>
          <w:tcPr>
            <w:tcW w:w="360" w:type="dxa"/>
            <w:noWrap/>
            <w:vAlign w:val="bottom"/>
            <w:hideMark/>
          </w:tcPr>
          <w:p w14:paraId="24CE2A1F" w14:textId="77777777" w:rsidR="00513FDC" w:rsidRPr="00B901D7" w:rsidRDefault="00513FDC" w:rsidP="00A70798">
            <w:pPr>
              <w:rPr>
                <w:szCs w:val="20"/>
              </w:rPr>
            </w:pPr>
            <w:r w:rsidRPr="00B901D7">
              <w:rPr>
                <w:szCs w:val="20"/>
              </w:rPr>
              <w:t>b</w:t>
            </w:r>
          </w:p>
        </w:tc>
        <w:tc>
          <w:tcPr>
            <w:tcW w:w="720" w:type="dxa"/>
            <w:noWrap/>
            <w:vAlign w:val="bottom"/>
            <w:hideMark/>
          </w:tcPr>
          <w:p w14:paraId="1432A6BB" w14:textId="77777777" w:rsidR="00513FDC" w:rsidRPr="00B901D7" w:rsidRDefault="00513FDC" w:rsidP="00A70798">
            <w:pPr>
              <w:rPr>
                <w:szCs w:val="20"/>
              </w:rPr>
            </w:pPr>
            <w:r w:rsidRPr="00B901D7">
              <w:rPr>
                <w:szCs w:val="20"/>
              </w:rPr>
              <w:t>A</w:t>
            </w:r>
          </w:p>
        </w:tc>
      </w:tr>
      <w:tr w:rsidR="00513FDC" w:rsidRPr="00CE3A2F" w14:paraId="4EA5A855" w14:textId="77777777" w:rsidTr="00A70798">
        <w:trPr>
          <w:trHeight w:val="288"/>
          <w:jc w:val="center"/>
        </w:trPr>
        <w:tc>
          <w:tcPr>
            <w:tcW w:w="960" w:type="dxa"/>
            <w:vMerge/>
            <w:tcBorders>
              <w:bottom w:val="dotted" w:sz="4" w:space="0" w:color="auto"/>
            </w:tcBorders>
            <w:vAlign w:val="center"/>
            <w:hideMark/>
          </w:tcPr>
          <w:p w14:paraId="1DD2C2C7" w14:textId="77777777" w:rsidR="00513FDC" w:rsidRPr="00B901D7" w:rsidRDefault="00513FDC" w:rsidP="00A70798">
            <w:pPr>
              <w:jc w:val="center"/>
              <w:rPr>
                <w:szCs w:val="20"/>
              </w:rPr>
            </w:pPr>
          </w:p>
        </w:tc>
        <w:tc>
          <w:tcPr>
            <w:tcW w:w="1020" w:type="dxa"/>
            <w:noWrap/>
            <w:vAlign w:val="bottom"/>
            <w:hideMark/>
          </w:tcPr>
          <w:p w14:paraId="398709CF" w14:textId="77777777" w:rsidR="00513FDC" w:rsidRPr="00B901D7" w:rsidRDefault="00513FDC" w:rsidP="00A70798">
            <w:pPr>
              <w:jc w:val="center"/>
              <w:rPr>
                <w:szCs w:val="20"/>
              </w:rPr>
            </w:pPr>
            <w:r w:rsidRPr="00B901D7">
              <w:rPr>
                <w:szCs w:val="20"/>
              </w:rPr>
              <w:t>15-30</w:t>
            </w:r>
          </w:p>
        </w:tc>
        <w:tc>
          <w:tcPr>
            <w:tcW w:w="666" w:type="dxa"/>
            <w:noWrap/>
            <w:vAlign w:val="bottom"/>
            <w:hideMark/>
          </w:tcPr>
          <w:p w14:paraId="0C9028E9" w14:textId="77777777" w:rsidR="00513FDC" w:rsidRPr="00B901D7" w:rsidRDefault="00513FDC" w:rsidP="00A70798">
            <w:pPr>
              <w:rPr>
                <w:szCs w:val="20"/>
              </w:rPr>
            </w:pPr>
            <w:r w:rsidRPr="00B901D7">
              <w:rPr>
                <w:szCs w:val="20"/>
              </w:rPr>
              <w:t>0.005</w:t>
            </w:r>
          </w:p>
        </w:tc>
        <w:tc>
          <w:tcPr>
            <w:tcW w:w="324" w:type="dxa"/>
            <w:noWrap/>
            <w:vAlign w:val="bottom"/>
            <w:hideMark/>
          </w:tcPr>
          <w:p w14:paraId="117E3CE7" w14:textId="77777777" w:rsidR="00513FDC" w:rsidRPr="00B901D7" w:rsidRDefault="00513FDC" w:rsidP="00A70798">
            <w:pPr>
              <w:rPr>
                <w:szCs w:val="20"/>
              </w:rPr>
            </w:pPr>
            <w:r w:rsidRPr="00B901D7">
              <w:rPr>
                <w:szCs w:val="20"/>
              </w:rPr>
              <w:t>a</w:t>
            </w:r>
          </w:p>
        </w:tc>
        <w:tc>
          <w:tcPr>
            <w:tcW w:w="630" w:type="dxa"/>
            <w:noWrap/>
            <w:vAlign w:val="bottom"/>
            <w:hideMark/>
          </w:tcPr>
          <w:p w14:paraId="32F31D9F" w14:textId="77777777" w:rsidR="00513FDC" w:rsidRPr="00B901D7" w:rsidRDefault="00513FDC" w:rsidP="00A70798">
            <w:pPr>
              <w:rPr>
                <w:szCs w:val="20"/>
              </w:rPr>
            </w:pPr>
            <w:r w:rsidRPr="00B901D7">
              <w:rPr>
                <w:szCs w:val="20"/>
              </w:rPr>
              <w:t>C</w:t>
            </w:r>
          </w:p>
        </w:tc>
        <w:tc>
          <w:tcPr>
            <w:tcW w:w="720" w:type="dxa"/>
            <w:noWrap/>
            <w:vAlign w:val="bottom"/>
            <w:hideMark/>
          </w:tcPr>
          <w:p w14:paraId="33C41CFA" w14:textId="77777777" w:rsidR="00513FDC" w:rsidRPr="00B901D7" w:rsidRDefault="00513FDC" w:rsidP="00A70798">
            <w:pPr>
              <w:rPr>
                <w:szCs w:val="20"/>
              </w:rPr>
            </w:pPr>
            <w:r w:rsidRPr="00B901D7">
              <w:rPr>
                <w:szCs w:val="20"/>
              </w:rPr>
              <w:t>0.019</w:t>
            </w:r>
          </w:p>
        </w:tc>
        <w:tc>
          <w:tcPr>
            <w:tcW w:w="405" w:type="dxa"/>
            <w:noWrap/>
            <w:vAlign w:val="bottom"/>
            <w:hideMark/>
          </w:tcPr>
          <w:p w14:paraId="05986FDA" w14:textId="77777777" w:rsidR="00513FDC" w:rsidRPr="00B901D7" w:rsidRDefault="00513FDC" w:rsidP="00A70798">
            <w:pPr>
              <w:rPr>
                <w:szCs w:val="20"/>
              </w:rPr>
            </w:pPr>
            <w:r w:rsidRPr="00B901D7">
              <w:rPr>
                <w:szCs w:val="20"/>
              </w:rPr>
              <w:t>c</w:t>
            </w:r>
          </w:p>
        </w:tc>
        <w:tc>
          <w:tcPr>
            <w:tcW w:w="675" w:type="dxa"/>
            <w:noWrap/>
            <w:vAlign w:val="bottom"/>
            <w:hideMark/>
          </w:tcPr>
          <w:p w14:paraId="4407A72E" w14:textId="77777777" w:rsidR="00513FDC" w:rsidRPr="00B901D7" w:rsidRDefault="00513FDC" w:rsidP="00A70798">
            <w:pPr>
              <w:rPr>
                <w:szCs w:val="20"/>
              </w:rPr>
            </w:pPr>
            <w:r w:rsidRPr="00B901D7">
              <w:rPr>
                <w:szCs w:val="20"/>
              </w:rPr>
              <w:t>B</w:t>
            </w:r>
          </w:p>
        </w:tc>
        <w:tc>
          <w:tcPr>
            <w:tcW w:w="720" w:type="dxa"/>
            <w:noWrap/>
            <w:vAlign w:val="bottom"/>
            <w:hideMark/>
          </w:tcPr>
          <w:p w14:paraId="74A57742" w14:textId="77777777" w:rsidR="00513FDC" w:rsidRPr="00B901D7" w:rsidRDefault="00513FDC" w:rsidP="00A70798">
            <w:pPr>
              <w:rPr>
                <w:szCs w:val="20"/>
              </w:rPr>
            </w:pPr>
            <w:r w:rsidRPr="00B901D7">
              <w:rPr>
                <w:szCs w:val="20"/>
              </w:rPr>
              <w:t>0.036</w:t>
            </w:r>
          </w:p>
        </w:tc>
        <w:tc>
          <w:tcPr>
            <w:tcW w:w="360" w:type="dxa"/>
            <w:noWrap/>
            <w:vAlign w:val="bottom"/>
            <w:hideMark/>
          </w:tcPr>
          <w:p w14:paraId="0ADD203B" w14:textId="77777777" w:rsidR="00513FDC" w:rsidRPr="00B901D7" w:rsidRDefault="00513FDC" w:rsidP="00A70798">
            <w:pPr>
              <w:rPr>
                <w:szCs w:val="20"/>
              </w:rPr>
            </w:pPr>
            <w:r w:rsidRPr="00B901D7">
              <w:rPr>
                <w:szCs w:val="20"/>
              </w:rPr>
              <w:t>c</w:t>
            </w:r>
          </w:p>
        </w:tc>
        <w:tc>
          <w:tcPr>
            <w:tcW w:w="720" w:type="dxa"/>
            <w:noWrap/>
            <w:vAlign w:val="bottom"/>
            <w:hideMark/>
          </w:tcPr>
          <w:p w14:paraId="602A37A5" w14:textId="77777777" w:rsidR="00513FDC" w:rsidRPr="00B901D7" w:rsidRDefault="00513FDC" w:rsidP="00A70798">
            <w:pPr>
              <w:rPr>
                <w:szCs w:val="20"/>
              </w:rPr>
            </w:pPr>
            <w:r w:rsidRPr="00B901D7">
              <w:rPr>
                <w:szCs w:val="20"/>
              </w:rPr>
              <w:t>A</w:t>
            </w:r>
          </w:p>
        </w:tc>
      </w:tr>
      <w:tr w:rsidR="00513FDC" w:rsidRPr="00CE3A2F" w14:paraId="65257386" w14:textId="77777777" w:rsidTr="00A70798">
        <w:trPr>
          <w:trHeight w:val="288"/>
          <w:jc w:val="center"/>
        </w:trPr>
        <w:tc>
          <w:tcPr>
            <w:tcW w:w="960" w:type="dxa"/>
            <w:vMerge/>
            <w:tcBorders>
              <w:bottom w:val="dotted" w:sz="4" w:space="0" w:color="auto"/>
            </w:tcBorders>
            <w:vAlign w:val="center"/>
            <w:hideMark/>
          </w:tcPr>
          <w:p w14:paraId="4437943A" w14:textId="77777777" w:rsidR="00513FDC" w:rsidRPr="00B901D7" w:rsidRDefault="00513FDC" w:rsidP="00A70798">
            <w:pPr>
              <w:jc w:val="center"/>
              <w:rPr>
                <w:szCs w:val="20"/>
              </w:rPr>
            </w:pPr>
          </w:p>
        </w:tc>
        <w:tc>
          <w:tcPr>
            <w:tcW w:w="1020" w:type="dxa"/>
            <w:noWrap/>
            <w:vAlign w:val="bottom"/>
            <w:hideMark/>
          </w:tcPr>
          <w:p w14:paraId="233E5CA0" w14:textId="77777777" w:rsidR="00513FDC" w:rsidRPr="00B901D7" w:rsidRDefault="00513FDC" w:rsidP="00A70798">
            <w:pPr>
              <w:jc w:val="center"/>
              <w:rPr>
                <w:szCs w:val="20"/>
              </w:rPr>
            </w:pPr>
            <w:r w:rsidRPr="00B901D7">
              <w:rPr>
                <w:szCs w:val="20"/>
              </w:rPr>
              <w:t>30-60</w:t>
            </w:r>
          </w:p>
        </w:tc>
        <w:tc>
          <w:tcPr>
            <w:tcW w:w="666" w:type="dxa"/>
            <w:noWrap/>
            <w:vAlign w:val="bottom"/>
            <w:hideMark/>
          </w:tcPr>
          <w:p w14:paraId="2A741AA7" w14:textId="77777777" w:rsidR="00513FDC" w:rsidRPr="00B901D7" w:rsidRDefault="00513FDC" w:rsidP="00A70798">
            <w:pPr>
              <w:rPr>
                <w:szCs w:val="20"/>
              </w:rPr>
            </w:pPr>
            <w:r w:rsidRPr="00B901D7">
              <w:rPr>
                <w:szCs w:val="20"/>
              </w:rPr>
              <w:t>0.010</w:t>
            </w:r>
          </w:p>
        </w:tc>
        <w:tc>
          <w:tcPr>
            <w:tcW w:w="324" w:type="dxa"/>
            <w:noWrap/>
            <w:vAlign w:val="bottom"/>
            <w:hideMark/>
          </w:tcPr>
          <w:p w14:paraId="432F38CF" w14:textId="77777777" w:rsidR="00513FDC" w:rsidRPr="00B901D7" w:rsidRDefault="00513FDC" w:rsidP="00A70798">
            <w:pPr>
              <w:rPr>
                <w:szCs w:val="20"/>
              </w:rPr>
            </w:pPr>
            <w:r w:rsidRPr="00B901D7">
              <w:rPr>
                <w:szCs w:val="20"/>
              </w:rPr>
              <w:t>a</w:t>
            </w:r>
          </w:p>
        </w:tc>
        <w:tc>
          <w:tcPr>
            <w:tcW w:w="630" w:type="dxa"/>
            <w:noWrap/>
            <w:vAlign w:val="bottom"/>
            <w:hideMark/>
          </w:tcPr>
          <w:p w14:paraId="05A32343" w14:textId="77777777" w:rsidR="00513FDC" w:rsidRPr="00B901D7" w:rsidRDefault="00513FDC" w:rsidP="00A70798">
            <w:pPr>
              <w:rPr>
                <w:szCs w:val="20"/>
              </w:rPr>
            </w:pPr>
            <w:r w:rsidRPr="00B901D7">
              <w:rPr>
                <w:szCs w:val="20"/>
              </w:rPr>
              <w:t>C</w:t>
            </w:r>
          </w:p>
        </w:tc>
        <w:tc>
          <w:tcPr>
            <w:tcW w:w="720" w:type="dxa"/>
            <w:noWrap/>
            <w:vAlign w:val="bottom"/>
            <w:hideMark/>
          </w:tcPr>
          <w:p w14:paraId="5E8C6E72" w14:textId="77777777" w:rsidR="00513FDC" w:rsidRPr="00B901D7" w:rsidRDefault="00513FDC" w:rsidP="00A70798">
            <w:pPr>
              <w:rPr>
                <w:szCs w:val="20"/>
              </w:rPr>
            </w:pPr>
            <w:r w:rsidRPr="00B901D7">
              <w:rPr>
                <w:szCs w:val="20"/>
              </w:rPr>
              <w:t>0.025</w:t>
            </w:r>
          </w:p>
        </w:tc>
        <w:tc>
          <w:tcPr>
            <w:tcW w:w="405" w:type="dxa"/>
            <w:noWrap/>
            <w:vAlign w:val="bottom"/>
            <w:hideMark/>
          </w:tcPr>
          <w:p w14:paraId="4C75F297" w14:textId="77777777" w:rsidR="00513FDC" w:rsidRPr="00B901D7" w:rsidRDefault="00513FDC" w:rsidP="00A70798">
            <w:pPr>
              <w:rPr>
                <w:szCs w:val="20"/>
              </w:rPr>
            </w:pPr>
            <w:r w:rsidRPr="00B901D7">
              <w:rPr>
                <w:szCs w:val="20"/>
              </w:rPr>
              <w:t>c</w:t>
            </w:r>
          </w:p>
        </w:tc>
        <w:tc>
          <w:tcPr>
            <w:tcW w:w="675" w:type="dxa"/>
            <w:noWrap/>
            <w:vAlign w:val="bottom"/>
            <w:hideMark/>
          </w:tcPr>
          <w:p w14:paraId="63E86943" w14:textId="77777777" w:rsidR="00513FDC" w:rsidRPr="00B901D7" w:rsidRDefault="00513FDC" w:rsidP="00A70798">
            <w:pPr>
              <w:rPr>
                <w:szCs w:val="20"/>
              </w:rPr>
            </w:pPr>
            <w:r w:rsidRPr="00B901D7">
              <w:rPr>
                <w:szCs w:val="20"/>
              </w:rPr>
              <w:t>B</w:t>
            </w:r>
          </w:p>
        </w:tc>
        <w:tc>
          <w:tcPr>
            <w:tcW w:w="720" w:type="dxa"/>
            <w:noWrap/>
            <w:vAlign w:val="bottom"/>
            <w:hideMark/>
          </w:tcPr>
          <w:p w14:paraId="661B2A72" w14:textId="77777777" w:rsidR="00513FDC" w:rsidRPr="00B901D7" w:rsidRDefault="00513FDC" w:rsidP="00A70798">
            <w:pPr>
              <w:rPr>
                <w:szCs w:val="20"/>
              </w:rPr>
            </w:pPr>
            <w:r w:rsidRPr="00B901D7">
              <w:rPr>
                <w:szCs w:val="20"/>
              </w:rPr>
              <w:t>0.058</w:t>
            </w:r>
          </w:p>
        </w:tc>
        <w:tc>
          <w:tcPr>
            <w:tcW w:w="360" w:type="dxa"/>
            <w:noWrap/>
            <w:vAlign w:val="bottom"/>
            <w:hideMark/>
          </w:tcPr>
          <w:p w14:paraId="3B3841F6" w14:textId="77777777" w:rsidR="00513FDC" w:rsidRPr="00B901D7" w:rsidRDefault="00513FDC" w:rsidP="00A70798">
            <w:pPr>
              <w:rPr>
                <w:szCs w:val="20"/>
              </w:rPr>
            </w:pPr>
            <w:r w:rsidRPr="00B901D7">
              <w:rPr>
                <w:szCs w:val="20"/>
              </w:rPr>
              <w:t>a</w:t>
            </w:r>
          </w:p>
        </w:tc>
        <w:tc>
          <w:tcPr>
            <w:tcW w:w="720" w:type="dxa"/>
            <w:noWrap/>
            <w:vAlign w:val="bottom"/>
            <w:hideMark/>
          </w:tcPr>
          <w:p w14:paraId="78475F71" w14:textId="77777777" w:rsidR="00513FDC" w:rsidRPr="00B901D7" w:rsidRDefault="00513FDC" w:rsidP="00A70798">
            <w:pPr>
              <w:rPr>
                <w:szCs w:val="20"/>
              </w:rPr>
            </w:pPr>
            <w:r w:rsidRPr="00B901D7">
              <w:rPr>
                <w:szCs w:val="20"/>
              </w:rPr>
              <w:t>A</w:t>
            </w:r>
          </w:p>
        </w:tc>
      </w:tr>
      <w:tr w:rsidR="00513FDC" w:rsidRPr="00CE3A2F" w14:paraId="1E5C0740" w14:textId="77777777" w:rsidTr="00A70798">
        <w:trPr>
          <w:trHeight w:val="288"/>
          <w:jc w:val="center"/>
        </w:trPr>
        <w:tc>
          <w:tcPr>
            <w:tcW w:w="960" w:type="dxa"/>
            <w:vMerge/>
            <w:tcBorders>
              <w:bottom w:val="dotted" w:sz="4" w:space="0" w:color="auto"/>
            </w:tcBorders>
            <w:vAlign w:val="center"/>
            <w:hideMark/>
          </w:tcPr>
          <w:p w14:paraId="68CDD716" w14:textId="77777777" w:rsidR="00513FDC" w:rsidRPr="00B901D7" w:rsidRDefault="00513FDC" w:rsidP="00A70798">
            <w:pPr>
              <w:jc w:val="center"/>
              <w:rPr>
                <w:szCs w:val="20"/>
              </w:rPr>
            </w:pPr>
          </w:p>
        </w:tc>
        <w:tc>
          <w:tcPr>
            <w:tcW w:w="1020" w:type="dxa"/>
            <w:tcBorders>
              <w:bottom w:val="dotted" w:sz="4" w:space="0" w:color="auto"/>
            </w:tcBorders>
            <w:noWrap/>
            <w:vAlign w:val="bottom"/>
            <w:hideMark/>
          </w:tcPr>
          <w:p w14:paraId="3BC1470D" w14:textId="77777777" w:rsidR="00513FDC" w:rsidRPr="00B901D7" w:rsidRDefault="00513FDC" w:rsidP="00A70798">
            <w:pPr>
              <w:jc w:val="center"/>
              <w:rPr>
                <w:szCs w:val="20"/>
              </w:rPr>
            </w:pPr>
            <w:r w:rsidRPr="00B901D7">
              <w:rPr>
                <w:szCs w:val="20"/>
              </w:rPr>
              <w:t>60-100</w:t>
            </w:r>
          </w:p>
        </w:tc>
        <w:tc>
          <w:tcPr>
            <w:tcW w:w="666" w:type="dxa"/>
            <w:tcBorders>
              <w:bottom w:val="dotted" w:sz="4" w:space="0" w:color="auto"/>
            </w:tcBorders>
            <w:noWrap/>
            <w:vAlign w:val="bottom"/>
            <w:hideMark/>
          </w:tcPr>
          <w:p w14:paraId="00CF9252" w14:textId="77777777" w:rsidR="00513FDC" w:rsidRPr="00B901D7" w:rsidRDefault="00513FDC" w:rsidP="00A70798">
            <w:pPr>
              <w:rPr>
                <w:szCs w:val="20"/>
              </w:rPr>
            </w:pPr>
            <w:r w:rsidRPr="00B901D7">
              <w:rPr>
                <w:szCs w:val="20"/>
              </w:rPr>
              <w:t>0.008</w:t>
            </w:r>
          </w:p>
        </w:tc>
        <w:tc>
          <w:tcPr>
            <w:tcW w:w="324" w:type="dxa"/>
            <w:tcBorders>
              <w:bottom w:val="dotted" w:sz="4" w:space="0" w:color="auto"/>
            </w:tcBorders>
            <w:noWrap/>
            <w:vAlign w:val="bottom"/>
            <w:hideMark/>
          </w:tcPr>
          <w:p w14:paraId="362D0A0A" w14:textId="77777777" w:rsidR="00513FDC" w:rsidRPr="00B901D7" w:rsidRDefault="00513FDC" w:rsidP="00A70798">
            <w:pPr>
              <w:rPr>
                <w:szCs w:val="20"/>
              </w:rPr>
            </w:pPr>
            <w:r w:rsidRPr="00B901D7">
              <w:rPr>
                <w:szCs w:val="20"/>
              </w:rPr>
              <w:t>a</w:t>
            </w:r>
          </w:p>
        </w:tc>
        <w:tc>
          <w:tcPr>
            <w:tcW w:w="630" w:type="dxa"/>
            <w:tcBorders>
              <w:bottom w:val="dotted" w:sz="4" w:space="0" w:color="auto"/>
            </w:tcBorders>
            <w:noWrap/>
            <w:vAlign w:val="bottom"/>
            <w:hideMark/>
          </w:tcPr>
          <w:p w14:paraId="78E6E897" w14:textId="77777777" w:rsidR="00513FDC" w:rsidRPr="00B901D7" w:rsidRDefault="00513FDC" w:rsidP="00A70798">
            <w:pPr>
              <w:rPr>
                <w:szCs w:val="20"/>
              </w:rPr>
            </w:pPr>
            <w:r w:rsidRPr="00B901D7">
              <w:rPr>
                <w:szCs w:val="20"/>
              </w:rPr>
              <w:t>B</w:t>
            </w:r>
          </w:p>
        </w:tc>
        <w:tc>
          <w:tcPr>
            <w:tcW w:w="720" w:type="dxa"/>
            <w:tcBorders>
              <w:bottom w:val="dotted" w:sz="4" w:space="0" w:color="auto"/>
            </w:tcBorders>
            <w:noWrap/>
            <w:vAlign w:val="bottom"/>
            <w:hideMark/>
          </w:tcPr>
          <w:p w14:paraId="4D75CEAF" w14:textId="77777777" w:rsidR="00513FDC" w:rsidRPr="00B901D7" w:rsidRDefault="00513FDC" w:rsidP="00A70798">
            <w:pPr>
              <w:rPr>
                <w:szCs w:val="20"/>
              </w:rPr>
            </w:pPr>
            <w:r w:rsidRPr="00B901D7">
              <w:rPr>
                <w:szCs w:val="20"/>
              </w:rPr>
              <w:t>0.015</w:t>
            </w:r>
          </w:p>
        </w:tc>
        <w:tc>
          <w:tcPr>
            <w:tcW w:w="405" w:type="dxa"/>
            <w:tcBorders>
              <w:bottom w:val="dotted" w:sz="4" w:space="0" w:color="auto"/>
            </w:tcBorders>
            <w:noWrap/>
            <w:vAlign w:val="bottom"/>
            <w:hideMark/>
          </w:tcPr>
          <w:p w14:paraId="3B86E3B8" w14:textId="77777777" w:rsidR="00513FDC" w:rsidRPr="00B901D7" w:rsidRDefault="00513FDC" w:rsidP="00A70798">
            <w:pPr>
              <w:rPr>
                <w:szCs w:val="20"/>
              </w:rPr>
            </w:pPr>
            <w:r w:rsidRPr="00B901D7">
              <w:rPr>
                <w:szCs w:val="20"/>
              </w:rPr>
              <w:t>c</w:t>
            </w:r>
          </w:p>
        </w:tc>
        <w:tc>
          <w:tcPr>
            <w:tcW w:w="675" w:type="dxa"/>
            <w:tcBorders>
              <w:bottom w:val="dotted" w:sz="4" w:space="0" w:color="auto"/>
            </w:tcBorders>
            <w:noWrap/>
            <w:vAlign w:val="bottom"/>
            <w:hideMark/>
          </w:tcPr>
          <w:p w14:paraId="40DAE302" w14:textId="77777777" w:rsidR="00513FDC" w:rsidRPr="00B901D7" w:rsidRDefault="00513FDC" w:rsidP="00A70798">
            <w:pPr>
              <w:rPr>
                <w:szCs w:val="20"/>
              </w:rPr>
            </w:pPr>
            <w:r w:rsidRPr="00B901D7">
              <w:rPr>
                <w:szCs w:val="20"/>
              </w:rPr>
              <w:t>AB</w:t>
            </w:r>
          </w:p>
        </w:tc>
        <w:tc>
          <w:tcPr>
            <w:tcW w:w="720" w:type="dxa"/>
            <w:tcBorders>
              <w:bottom w:val="dotted" w:sz="4" w:space="0" w:color="auto"/>
            </w:tcBorders>
            <w:noWrap/>
            <w:vAlign w:val="bottom"/>
            <w:hideMark/>
          </w:tcPr>
          <w:p w14:paraId="2843A369" w14:textId="77777777" w:rsidR="00513FDC" w:rsidRPr="00B901D7" w:rsidRDefault="00513FDC" w:rsidP="00A70798">
            <w:pPr>
              <w:rPr>
                <w:szCs w:val="20"/>
              </w:rPr>
            </w:pPr>
            <w:r w:rsidRPr="00B901D7">
              <w:rPr>
                <w:szCs w:val="20"/>
              </w:rPr>
              <w:t>0.019</w:t>
            </w:r>
          </w:p>
        </w:tc>
        <w:tc>
          <w:tcPr>
            <w:tcW w:w="360" w:type="dxa"/>
            <w:tcBorders>
              <w:bottom w:val="dotted" w:sz="4" w:space="0" w:color="auto"/>
            </w:tcBorders>
            <w:noWrap/>
            <w:vAlign w:val="bottom"/>
            <w:hideMark/>
          </w:tcPr>
          <w:p w14:paraId="45E0CB43" w14:textId="77777777" w:rsidR="00513FDC" w:rsidRPr="00B901D7" w:rsidRDefault="00513FDC" w:rsidP="00A70798">
            <w:pPr>
              <w:rPr>
                <w:szCs w:val="20"/>
              </w:rPr>
            </w:pPr>
            <w:r w:rsidRPr="00B901D7">
              <w:rPr>
                <w:szCs w:val="20"/>
              </w:rPr>
              <w:t>a</w:t>
            </w:r>
          </w:p>
        </w:tc>
        <w:tc>
          <w:tcPr>
            <w:tcW w:w="720" w:type="dxa"/>
            <w:tcBorders>
              <w:bottom w:val="dotted" w:sz="4" w:space="0" w:color="auto"/>
            </w:tcBorders>
            <w:noWrap/>
            <w:vAlign w:val="bottom"/>
            <w:hideMark/>
          </w:tcPr>
          <w:p w14:paraId="5BE29431" w14:textId="77777777" w:rsidR="00513FDC" w:rsidRPr="00B901D7" w:rsidRDefault="00513FDC" w:rsidP="00A70798">
            <w:pPr>
              <w:rPr>
                <w:szCs w:val="20"/>
              </w:rPr>
            </w:pPr>
            <w:r w:rsidRPr="00B901D7">
              <w:rPr>
                <w:szCs w:val="20"/>
              </w:rPr>
              <w:t>A</w:t>
            </w:r>
          </w:p>
        </w:tc>
      </w:tr>
      <w:tr w:rsidR="00513FDC" w:rsidRPr="00CE3A2F" w14:paraId="2E879DDC" w14:textId="77777777" w:rsidTr="00A70798">
        <w:trPr>
          <w:trHeight w:val="288"/>
          <w:jc w:val="center"/>
        </w:trPr>
        <w:tc>
          <w:tcPr>
            <w:tcW w:w="960" w:type="dxa"/>
            <w:vMerge w:val="restart"/>
            <w:tcBorders>
              <w:top w:val="dotted" w:sz="4" w:space="0" w:color="auto"/>
              <w:bottom w:val="dotted" w:sz="4" w:space="0" w:color="auto"/>
            </w:tcBorders>
            <w:noWrap/>
            <w:vAlign w:val="center"/>
            <w:hideMark/>
          </w:tcPr>
          <w:p w14:paraId="4B8EE7DC" w14:textId="77777777" w:rsidR="00513FDC" w:rsidRPr="00B901D7" w:rsidRDefault="00513FDC" w:rsidP="00A70798">
            <w:pPr>
              <w:jc w:val="center"/>
              <w:rPr>
                <w:szCs w:val="20"/>
              </w:rPr>
            </w:pPr>
            <w:r w:rsidRPr="00B901D7">
              <w:rPr>
                <w:szCs w:val="20"/>
              </w:rPr>
              <w:t>2009</w:t>
            </w:r>
          </w:p>
        </w:tc>
        <w:tc>
          <w:tcPr>
            <w:tcW w:w="1020" w:type="dxa"/>
            <w:tcBorders>
              <w:top w:val="dotted" w:sz="4" w:space="0" w:color="auto"/>
            </w:tcBorders>
            <w:noWrap/>
            <w:vAlign w:val="bottom"/>
            <w:hideMark/>
          </w:tcPr>
          <w:p w14:paraId="4461B2F2" w14:textId="77777777" w:rsidR="00513FDC" w:rsidRPr="00B901D7" w:rsidRDefault="00513FDC" w:rsidP="00A70798">
            <w:pPr>
              <w:jc w:val="center"/>
              <w:rPr>
                <w:szCs w:val="20"/>
              </w:rPr>
            </w:pPr>
            <w:r w:rsidRPr="00B901D7">
              <w:rPr>
                <w:szCs w:val="20"/>
              </w:rPr>
              <w:t>0-5</w:t>
            </w:r>
          </w:p>
        </w:tc>
        <w:tc>
          <w:tcPr>
            <w:tcW w:w="666" w:type="dxa"/>
            <w:tcBorders>
              <w:top w:val="dotted" w:sz="4" w:space="0" w:color="auto"/>
            </w:tcBorders>
            <w:noWrap/>
            <w:vAlign w:val="bottom"/>
            <w:hideMark/>
          </w:tcPr>
          <w:p w14:paraId="731AC773" w14:textId="77777777" w:rsidR="00513FDC" w:rsidRPr="00B901D7" w:rsidRDefault="00513FDC" w:rsidP="00A70798">
            <w:pPr>
              <w:rPr>
                <w:szCs w:val="20"/>
              </w:rPr>
            </w:pPr>
            <w:r w:rsidRPr="00B901D7">
              <w:rPr>
                <w:szCs w:val="20"/>
              </w:rPr>
              <w:t>0.015</w:t>
            </w:r>
          </w:p>
        </w:tc>
        <w:tc>
          <w:tcPr>
            <w:tcW w:w="324" w:type="dxa"/>
            <w:tcBorders>
              <w:top w:val="dotted" w:sz="4" w:space="0" w:color="auto"/>
            </w:tcBorders>
            <w:noWrap/>
            <w:vAlign w:val="bottom"/>
            <w:hideMark/>
          </w:tcPr>
          <w:p w14:paraId="6562894D" w14:textId="77777777" w:rsidR="00513FDC" w:rsidRPr="00B901D7" w:rsidRDefault="00513FDC" w:rsidP="00A70798">
            <w:pPr>
              <w:rPr>
                <w:szCs w:val="20"/>
              </w:rPr>
            </w:pPr>
            <w:r w:rsidRPr="00B901D7">
              <w:rPr>
                <w:szCs w:val="20"/>
              </w:rPr>
              <w:t>a</w:t>
            </w:r>
          </w:p>
        </w:tc>
        <w:tc>
          <w:tcPr>
            <w:tcW w:w="630" w:type="dxa"/>
            <w:tcBorders>
              <w:top w:val="dotted" w:sz="4" w:space="0" w:color="auto"/>
            </w:tcBorders>
            <w:noWrap/>
            <w:vAlign w:val="bottom"/>
            <w:hideMark/>
          </w:tcPr>
          <w:p w14:paraId="103A3900" w14:textId="77777777" w:rsidR="00513FDC" w:rsidRPr="00B901D7" w:rsidRDefault="00513FDC" w:rsidP="00A70798">
            <w:pPr>
              <w:rPr>
                <w:szCs w:val="20"/>
              </w:rPr>
            </w:pPr>
            <w:r w:rsidRPr="00B901D7">
              <w:rPr>
                <w:szCs w:val="20"/>
              </w:rPr>
              <w:t>C</w:t>
            </w:r>
          </w:p>
        </w:tc>
        <w:tc>
          <w:tcPr>
            <w:tcW w:w="720" w:type="dxa"/>
            <w:tcBorders>
              <w:top w:val="dotted" w:sz="4" w:space="0" w:color="auto"/>
            </w:tcBorders>
            <w:noWrap/>
            <w:vAlign w:val="bottom"/>
            <w:hideMark/>
          </w:tcPr>
          <w:p w14:paraId="24A9694D" w14:textId="77777777" w:rsidR="00513FDC" w:rsidRPr="00B901D7" w:rsidRDefault="00513FDC" w:rsidP="00A70798">
            <w:pPr>
              <w:rPr>
                <w:szCs w:val="20"/>
              </w:rPr>
            </w:pPr>
            <w:r w:rsidRPr="00B901D7">
              <w:rPr>
                <w:szCs w:val="20"/>
              </w:rPr>
              <w:t>0.315</w:t>
            </w:r>
          </w:p>
        </w:tc>
        <w:tc>
          <w:tcPr>
            <w:tcW w:w="405" w:type="dxa"/>
            <w:tcBorders>
              <w:top w:val="dotted" w:sz="4" w:space="0" w:color="auto"/>
            </w:tcBorders>
            <w:noWrap/>
            <w:vAlign w:val="bottom"/>
            <w:hideMark/>
          </w:tcPr>
          <w:p w14:paraId="12398093" w14:textId="77777777" w:rsidR="00513FDC" w:rsidRPr="00B901D7" w:rsidRDefault="00513FDC" w:rsidP="00A70798">
            <w:pPr>
              <w:rPr>
                <w:szCs w:val="20"/>
              </w:rPr>
            </w:pPr>
            <w:r w:rsidRPr="00B901D7">
              <w:rPr>
                <w:szCs w:val="20"/>
              </w:rPr>
              <w:t>a</w:t>
            </w:r>
          </w:p>
        </w:tc>
        <w:tc>
          <w:tcPr>
            <w:tcW w:w="675" w:type="dxa"/>
            <w:tcBorders>
              <w:top w:val="dotted" w:sz="4" w:space="0" w:color="auto"/>
            </w:tcBorders>
            <w:noWrap/>
            <w:vAlign w:val="bottom"/>
            <w:hideMark/>
          </w:tcPr>
          <w:p w14:paraId="43063376" w14:textId="77777777" w:rsidR="00513FDC" w:rsidRPr="00B901D7" w:rsidRDefault="00513FDC" w:rsidP="00A70798">
            <w:pPr>
              <w:rPr>
                <w:szCs w:val="20"/>
              </w:rPr>
            </w:pPr>
            <w:r w:rsidRPr="00B901D7">
              <w:rPr>
                <w:szCs w:val="20"/>
              </w:rPr>
              <w:t>B</w:t>
            </w:r>
          </w:p>
        </w:tc>
        <w:tc>
          <w:tcPr>
            <w:tcW w:w="720" w:type="dxa"/>
            <w:tcBorders>
              <w:top w:val="dotted" w:sz="4" w:space="0" w:color="auto"/>
            </w:tcBorders>
            <w:noWrap/>
            <w:vAlign w:val="bottom"/>
            <w:hideMark/>
          </w:tcPr>
          <w:p w14:paraId="5FF10836" w14:textId="77777777" w:rsidR="00513FDC" w:rsidRPr="00B901D7" w:rsidRDefault="00513FDC" w:rsidP="00A70798">
            <w:pPr>
              <w:rPr>
                <w:szCs w:val="20"/>
              </w:rPr>
            </w:pPr>
            <w:r w:rsidRPr="00B901D7">
              <w:rPr>
                <w:szCs w:val="20"/>
              </w:rPr>
              <w:t>0.632</w:t>
            </w:r>
          </w:p>
        </w:tc>
        <w:tc>
          <w:tcPr>
            <w:tcW w:w="360" w:type="dxa"/>
            <w:tcBorders>
              <w:top w:val="dotted" w:sz="4" w:space="0" w:color="auto"/>
            </w:tcBorders>
            <w:noWrap/>
            <w:vAlign w:val="bottom"/>
            <w:hideMark/>
          </w:tcPr>
          <w:p w14:paraId="3CD4F15C" w14:textId="77777777" w:rsidR="00513FDC" w:rsidRPr="00B901D7" w:rsidRDefault="00513FDC" w:rsidP="00A70798">
            <w:pPr>
              <w:rPr>
                <w:szCs w:val="20"/>
              </w:rPr>
            </w:pPr>
            <w:r w:rsidRPr="00B901D7">
              <w:rPr>
                <w:szCs w:val="20"/>
              </w:rPr>
              <w:t>a</w:t>
            </w:r>
          </w:p>
        </w:tc>
        <w:tc>
          <w:tcPr>
            <w:tcW w:w="720" w:type="dxa"/>
            <w:tcBorders>
              <w:top w:val="dotted" w:sz="4" w:space="0" w:color="auto"/>
            </w:tcBorders>
            <w:noWrap/>
            <w:vAlign w:val="bottom"/>
            <w:hideMark/>
          </w:tcPr>
          <w:p w14:paraId="503C25EC" w14:textId="77777777" w:rsidR="00513FDC" w:rsidRPr="00B901D7" w:rsidRDefault="00513FDC" w:rsidP="00A70798">
            <w:pPr>
              <w:rPr>
                <w:szCs w:val="20"/>
              </w:rPr>
            </w:pPr>
            <w:r w:rsidRPr="00B901D7">
              <w:rPr>
                <w:szCs w:val="20"/>
              </w:rPr>
              <w:t>A</w:t>
            </w:r>
          </w:p>
        </w:tc>
      </w:tr>
      <w:tr w:rsidR="00513FDC" w:rsidRPr="00CE3A2F" w14:paraId="528BA61E" w14:textId="77777777" w:rsidTr="00A70798">
        <w:trPr>
          <w:trHeight w:val="288"/>
          <w:jc w:val="center"/>
        </w:trPr>
        <w:tc>
          <w:tcPr>
            <w:tcW w:w="960" w:type="dxa"/>
            <w:vMerge/>
            <w:tcBorders>
              <w:bottom w:val="dotted" w:sz="4" w:space="0" w:color="auto"/>
            </w:tcBorders>
            <w:vAlign w:val="center"/>
            <w:hideMark/>
          </w:tcPr>
          <w:p w14:paraId="23BFD392" w14:textId="77777777" w:rsidR="00513FDC" w:rsidRPr="00B901D7" w:rsidRDefault="00513FDC" w:rsidP="00A70798">
            <w:pPr>
              <w:jc w:val="center"/>
              <w:rPr>
                <w:szCs w:val="20"/>
              </w:rPr>
            </w:pPr>
          </w:p>
        </w:tc>
        <w:tc>
          <w:tcPr>
            <w:tcW w:w="1020" w:type="dxa"/>
            <w:noWrap/>
            <w:vAlign w:val="bottom"/>
            <w:hideMark/>
          </w:tcPr>
          <w:p w14:paraId="112448EE" w14:textId="77777777" w:rsidR="00513FDC" w:rsidRPr="00B901D7" w:rsidRDefault="00513FDC" w:rsidP="00A70798">
            <w:pPr>
              <w:jc w:val="center"/>
              <w:rPr>
                <w:szCs w:val="20"/>
              </w:rPr>
            </w:pPr>
            <w:r w:rsidRPr="00B901D7">
              <w:rPr>
                <w:szCs w:val="20"/>
              </w:rPr>
              <w:t>5-15</w:t>
            </w:r>
          </w:p>
        </w:tc>
        <w:tc>
          <w:tcPr>
            <w:tcW w:w="666" w:type="dxa"/>
            <w:noWrap/>
            <w:vAlign w:val="bottom"/>
            <w:hideMark/>
          </w:tcPr>
          <w:p w14:paraId="380E917A" w14:textId="77777777" w:rsidR="00513FDC" w:rsidRPr="00B901D7" w:rsidRDefault="00513FDC" w:rsidP="00A70798">
            <w:pPr>
              <w:rPr>
                <w:szCs w:val="20"/>
              </w:rPr>
            </w:pPr>
            <w:r w:rsidRPr="00B901D7">
              <w:rPr>
                <w:szCs w:val="20"/>
              </w:rPr>
              <w:t>0.016</w:t>
            </w:r>
          </w:p>
        </w:tc>
        <w:tc>
          <w:tcPr>
            <w:tcW w:w="324" w:type="dxa"/>
            <w:noWrap/>
            <w:vAlign w:val="bottom"/>
            <w:hideMark/>
          </w:tcPr>
          <w:p w14:paraId="21EFC5F2" w14:textId="77777777" w:rsidR="00513FDC" w:rsidRPr="00B901D7" w:rsidRDefault="00513FDC" w:rsidP="00A70798">
            <w:pPr>
              <w:rPr>
                <w:szCs w:val="20"/>
              </w:rPr>
            </w:pPr>
            <w:r w:rsidRPr="00B901D7">
              <w:rPr>
                <w:szCs w:val="20"/>
              </w:rPr>
              <w:t>a</w:t>
            </w:r>
          </w:p>
        </w:tc>
        <w:tc>
          <w:tcPr>
            <w:tcW w:w="630" w:type="dxa"/>
            <w:noWrap/>
            <w:vAlign w:val="bottom"/>
            <w:hideMark/>
          </w:tcPr>
          <w:p w14:paraId="0689997A" w14:textId="77777777" w:rsidR="00513FDC" w:rsidRPr="00B901D7" w:rsidRDefault="00513FDC" w:rsidP="00A70798">
            <w:pPr>
              <w:rPr>
                <w:szCs w:val="20"/>
              </w:rPr>
            </w:pPr>
            <w:r w:rsidRPr="00B901D7">
              <w:rPr>
                <w:szCs w:val="20"/>
              </w:rPr>
              <w:t>C</w:t>
            </w:r>
          </w:p>
        </w:tc>
        <w:tc>
          <w:tcPr>
            <w:tcW w:w="720" w:type="dxa"/>
            <w:noWrap/>
            <w:vAlign w:val="bottom"/>
            <w:hideMark/>
          </w:tcPr>
          <w:p w14:paraId="67D19883" w14:textId="77777777" w:rsidR="00513FDC" w:rsidRPr="00B901D7" w:rsidRDefault="00513FDC" w:rsidP="00A70798">
            <w:pPr>
              <w:rPr>
                <w:szCs w:val="20"/>
              </w:rPr>
            </w:pPr>
            <w:r w:rsidRPr="00B901D7">
              <w:rPr>
                <w:szCs w:val="20"/>
              </w:rPr>
              <w:t>0.087</w:t>
            </w:r>
          </w:p>
        </w:tc>
        <w:tc>
          <w:tcPr>
            <w:tcW w:w="405" w:type="dxa"/>
            <w:noWrap/>
            <w:vAlign w:val="bottom"/>
            <w:hideMark/>
          </w:tcPr>
          <w:p w14:paraId="6ED4C675" w14:textId="77777777" w:rsidR="00513FDC" w:rsidRPr="00B901D7" w:rsidRDefault="00513FDC" w:rsidP="00A70798">
            <w:pPr>
              <w:rPr>
                <w:szCs w:val="20"/>
              </w:rPr>
            </w:pPr>
            <w:r w:rsidRPr="00B901D7">
              <w:rPr>
                <w:szCs w:val="20"/>
              </w:rPr>
              <w:t>b</w:t>
            </w:r>
          </w:p>
        </w:tc>
        <w:tc>
          <w:tcPr>
            <w:tcW w:w="675" w:type="dxa"/>
            <w:noWrap/>
            <w:vAlign w:val="bottom"/>
            <w:hideMark/>
          </w:tcPr>
          <w:p w14:paraId="73CE73C8" w14:textId="77777777" w:rsidR="00513FDC" w:rsidRPr="00B901D7" w:rsidRDefault="00513FDC" w:rsidP="00A70798">
            <w:pPr>
              <w:rPr>
                <w:szCs w:val="20"/>
              </w:rPr>
            </w:pPr>
            <w:r w:rsidRPr="00B901D7">
              <w:rPr>
                <w:szCs w:val="20"/>
              </w:rPr>
              <w:t>B</w:t>
            </w:r>
          </w:p>
        </w:tc>
        <w:tc>
          <w:tcPr>
            <w:tcW w:w="720" w:type="dxa"/>
            <w:noWrap/>
            <w:vAlign w:val="bottom"/>
            <w:hideMark/>
          </w:tcPr>
          <w:p w14:paraId="523CB478" w14:textId="77777777" w:rsidR="00513FDC" w:rsidRPr="00B901D7" w:rsidRDefault="00513FDC" w:rsidP="00A70798">
            <w:pPr>
              <w:rPr>
                <w:szCs w:val="20"/>
              </w:rPr>
            </w:pPr>
            <w:r w:rsidRPr="00B901D7">
              <w:rPr>
                <w:szCs w:val="20"/>
              </w:rPr>
              <w:t>0.177</w:t>
            </w:r>
          </w:p>
        </w:tc>
        <w:tc>
          <w:tcPr>
            <w:tcW w:w="360" w:type="dxa"/>
            <w:noWrap/>
            <w:vAlign w:val="bottom"/>
            <w:hideMark/>
          </w:tcPr>
          <w:p w14:paraId="7DE44053" w14:textId="77777777" w:rsidR="00513FDC" w:rsidRPr="00B901D7" w:rsidRDefault="00513FDC" w:rsidP="00A70798">
            <w:pPr>
              <w:rPr>
                <w:szCs w:val="20"/>
              </w:rPr>
            </w:pPr>
            <w:r w:rsidRPr="00B901D7">
              <w:rPr>
                <w:szCs w:val="20"/>
              </w:rPr>
              <w:t>b</w:t>
            </w:r>
          </w:p>
        </w:tc>
        <w:tc>
          <w:tcPr>
            <w:tcW w:w="720" w:type="dxa"/>
            <w:noWrap/>
            <w:vAlign w:val="bottom"/>
            <w:hideMark/>
          </w:tcPr>
          <w:p w14:paraId="38849D19" w14:textId="77777777" w:rsidR="00513FDC" w:rsidRPr="00B901D7" w:rsidRDefault="00513FDC" w:rsidP="00A70798">
            <w:pPr>
              <w:rPr>
                <w:szCs w:val="20"/>
              </w:rPr>
            </w:pPr>
            <w:r w:rsidRPr="00B901D7">
              <w:rPr>
                <w:szCs w:val="20"/>
              </w:rPr>
              <w:t>A</w:t>
            </w:r>
          </w:p>
        </w:tc>
      </w:tr>
      <w:tr w:rsidR="00513FDC" w:rsidRPr="00CE3A2F" w14:paraId="511DB850" w14:textId="77777777" w:rsidTr="00A70798">
        <w:trPr>
          <w:trHeight w:val="288"/>
          <w:jc w:val="center"/>
        </w:trPr>
        <w:tc>
          <w:tcPr>
            <w:tcW w:w="960" w:type="dxa"/>
            <w:vMerge/>
            <w:tcBorders>
              <w:bottom w:val="dotted" w:sz="4" w:space="0" w:color="auto"/>
            </w:tcBorders>
            <w:vAlign w:val="center"/>
            <w:hideMark/>
          </w:tcPr>
          <w:p w14:paraId="5270A52A" w14:textId="77777777" w:rsidR="00513FDC" w:rsidRPr="00B901D7" w:rsidRDefault="00513FDC" w:rsidP="00A70798">
            <w:pPr>
              <w:jc w:val="center"/>
              <w:rPr>
                <w:szCs w:val="20"/>
              </w:rPr>
            </w:pPr>
          </w:p>
        </w:tc>
        <w:tc>
          <w:tcPr>
            <w:tcW w:w="1020" w:type="dxa"/>
            <w:noWrap/>
            <w:vAlign w:val="bottom"/>
            <w:hideMark/>
          </w:tcPr>
          <w:p w14:paraId="467D150C" w14:textId="77777777" w:rsidR="00513FDC" w:rsidRPr="00B901D7" w:rsidRDefault="00513FDC" w:rsidP="00A70798">
            <w:pPr>
              <w:jc w:val="center"/>
              <w:rPr>
                <w:szCs w:val="20"/>
              </w:rPr>
            </w:pPr>
            <w:r w:rsidRPr="00B901D7">
              <w:rPr>
                <w:szCs w:val="20"/>
              </w:rPr>
              <w:t>15-30</w:t>
            </w:r>
          </w:p>
        </w:tc>
        <w:tc>
          <w:tcPr>
            <w:tcW w:w="666" w:type="dxa"/>
            <w:noWrap/>
            <w:vAlign w:val="bottom"/>
            <w:hideMark/>
          </w:tcPr>
          <w:p w14:paraId="479D5090" w14:textId="77777777" w:rsidR="00513FDC" w:rsidRPr="00B901D7" w:rsidRDefault="00513FDC" w:rsidP="00A70798">
            <w:pPr>
              <w:rPr>
                <w:szCs w:val="20"/>
              </w:rPr>
            </w:pPr>
            <w:r w:rsidRPr="00B901D7">
              <w:rPr>
                <w:szCs w:val="20"/>
              </w:rPr>
              <w:t>0.007</w:t>
            </w:r>
          </w:p>
        </w:tc>
        <w:tc>
          <w:tcPr>
            <w:tcW w:w="324" w:type="dxa"/>
            <w:noWrap/>
            <w:vAlign w:val="bottom"/>
            <w:hideMark/>
          </w:tcPr>
          <w:p w14:paraId="79289108" w14:textId="77777777" w:rsidR="00513FDC" w:rsidRPr="00B901D7" w:rsidRDefault="00513FDC" w:rsidP="00A70798">
            <w:pPr>
              <w:rPr>
                <w:szCs w:val="20"/>
              </w:rPr>
            </w:pPr>
            <w:r w:rsidRPr="00B901D7">
              <w:rPr>
                <w:szCs w:val="20"/>
              </w:rPr>
              <w:t>a</w:t>
            </w:r>
          </w:p>
        </w:tc>
        <w:tc>
          <w:tcPr>
            <w:tcW w:w="630" w:type="dxa"/>
            <w:noWrap/>
            <w:vAlign w:val="bottom"/>
            <w:hideMark/>
          </w:tcPr>
          <w:p w14:paraId="2450CF40" w14:textId="77777777" w:rsidR="00513FDC" w:rsidRPr="00B901D7" w:rsidRDefault="00513FDC" w:rsidP="00A70798">
            <w:pPr>
              <w:rPr>
                <w:szCs w:val="20"/>
              </w:rPr>
            </w:pPr>
            <w:r w:rsidRPr="00B901D7">
              <w:rPr>
                <w:szCs w:val="20"/>
              </w:rPr>
              <w:t>C</w:t>
            </w:r>
          </w:p>
        </w:tc>
        <w:tc>
          <w:tcPr>
            <w:tcW w:w="720" w:type="dxa"/>
            <w:noWrap/>
            <w:vAlign w:val="bottom"/>
            <w:hideMark/>
          </w:tcPr>
          <w:p w14:paraId="4B2BA117" w14:textId="77777777" w:rsidR="00513FDC" w:rsidRPr="00B901D7" w:rsidRDefault="00513FDC" w:rsidP="00A70798">
            <w:pPr>
              <w:rPr>
                <w:szCs w:val="20"/>
              </w:rPr>
            </w:pPr>
            <w:r w:rsidRPr="00B901D7">
              <w:rPr>
                <w:szCs w:val="20"/>
              </w:rPr>
              <w:t>0.029</w:t>
            </w:r>
          </w:p>
        </w:tc>
        <w:tc>
          <w:tcPr>
            <w:tcW w:w="405" w:type="dxa"/>
            <w:noWrap/>
            <w:vAlign w:val="bottom"/>
            <w:hideMark/>
          </w:tcPr>
          <w:p w14:paraId="63CFDD33" w14:textId="77777777" w:rsidR="00513FDC" w:rsidRPr="00B901D7" w:rsidRDefault="00513FDC" w:rsidP="00A70798">
            <w:pPr>
              <w:rPr>
                <w:szCs w:val="20"/>
              </w:rPr>
            </w:pPr>
            <w:r w:rsidRPr="00B901D7">
              <w:rPr>
                <w:szCs w:val="20"/>
              </w:rPr>
              <w:t>c</w:t>
            </w:r>
          </w:p>
        </w:tc>
        <w:tc>
          <w:tcPr>
            <w:tcW w:w="675" w:type="dxa"/>
            <w:noWrap/>
            <w:vAlign w:val="bottom"/>
            <w:hideMark/>
          </w:tcPr>
          <w:p w14:paraId="3865D24F" w14:textId="77777777" w:rsidR="00513FDC" w:rsidRPr="00B901D7" w:rsidRDefault="00513FDC" w:rsidP="00A70798">
            <w:pPr>
              <w:rPr>
                <w:szCs w:val="20"/>
              </w:rPr>
            </w:pPr>
            <w:r w:rsidRPr="00B901D7">
              <w:rPr>
                <w:szCs w:val="20"/>
              </w:rPr>
              <w:t>B</w:t>
            </w:r>
          </w:p>
        </w:tc>
        <w:tc>
          <w:tcPr>
            <w:tcW w:w="720" w:type="dxa"/>
            <w:noWrap/>
            <w:vAlign w:val="bottom"/>
            <w:hideMark/>
          </w:tcPr>
          <w:p w14:paraId="3541DFF1" w14:textId="77777777" w:rsidR="00513FDC" w:rsidRPr="00B901D7" w:rsidRDefault="00513FDC" w:rsidP="00A70798">
            <w:pPr>
              <w:rPr>
                <w:szCs w:val="20"/>
              </w:rPr>
            </w:pPr>
            <w:r w:rsidRPr="00B901D7">
              <w:rPr>
                <w:szCs w:val="20"/>
              </w:rPr>
              <w:t>0.051</w:t>
            </w:r>
          </w:p>
        </w:tc>
        <w:tc>
          <w:tcPr>
            <w:tcW w:w="360" w:type="dxa"/>
            <w:noWrap/>
            <w:vAlign w:val="bottom"/>
            <w:hideMark/>
          </w:tcPr>
          <w:p w14:paraId="3B38DFB7" w14:textId="77777777" w:rsidR="00513FDC" w:rsidRPr="00B901D7" w:rsidRDefault="00513FDC" w:rsidP="00A70798">
            <w:pPr>
              <w:rPr>
                <w:szCs w:val="20"/>
              </w:rPr>
            </w:pPr>
            <w:r w:rsidRPr="00B901D7">
              <w:rPr>
                <w:szCs w:val="20"/>
              </w:rPr>
              <w:t>c</w:t>
            </w:r>
          </w:p>
        </w:tc>
        <w:tc>
          <w:tcPr>
            <w:tcW w:w="720" w:type="dxa"/>
            <w:noWrap/>
            <w:vAlign w:val="bottom"/>
            <w:hideMark/>
          </w:tcPr>
          <w:p w14:paraId="0FEB4E0B" w14:textId="77777777" w:rsidR="00513FDC" w:rsidRPr="00B901D7" w:rsidRDefault="00513FDC" w:rsidP="00A70798">
            <w:pPr>
              <w:rPr>
                <w:szCs w:val="20"/>
              </w:rPr>
            </w:pPr>
            <w:r w:rsidRPr="00B901D7">
              <w:rPr>
                <w:szCs w:val="20"/>
              </w:rPr>
              <w:t>A</w:t>
            </w:r>
          </w:p>
        </w:tc>
      </w:tr>
      <w:tr w:rsidR="00513FDC" w:rsidRPr="00CE3A2F" w14:paraId="6F8B1AFC" w14:textId="77777777" w:rsidTr="00A70798">
        <w:trPr>
          <w:trHeight w:val="288"/>
          <w:jc w:val="center"/>
        </w:trPr>
        <w:tc>
          <w:tcPr>
            <w:tcW w:w="960" w:type="dxa"/>
            <w:vMerge/>
            <w:tcBorders>
              <w:bottom w:val="dotted" w:sz="4" w:space="0" w:color="auto"/>
            </w:tcBorders>
            <w:vAlign w:val="center"/>
            <w:hideMark/>
          </w:tcPr>
          <w:p w14:paraId="7C34B75D" w14:textId="77777777" w:rsidR="00513FDC" w:rsidRPr="00B901D7" w:rsidRDefault="00513FDC" w:rsidP="00A70798">
            <w:pPr>
              <w:jc w:val="center"/>
              <w:rPr>
                <w:szCs w:val="20"/>
              </w:rPr>
            </w:pPr>
          </w:p>
        </w:tc>
        <w:tc>
          <w:tcPr>
            <w:tcW w:w="1020" w:type="dxa"/>
            <w:noWrap/>
            <w:vAlign w:val="bottom"/>
            <w:hideMark/>
          </w:tcPr>
          <w:p w14:paraId="0D6B76FB" w14:textId="77777777" w:rsidR="00513FDC" w:rsidRPr="00B901D7" w:rsidRDefault="00513FDC" w:rsidP="00A70798">
            <w:pPr>
              <w:jc w:val="center"/>
              <w:rPr>
                <w:szCs w:val="20"/>
              </w:rPr>
            </w:pPr>
            <w:r w:rsidRPr="00B901D7">
              <w:rPr>
                <w:szCs w:val="20"/>
              </w:rPr>
              <w:t>30-60</w:t>
            </w:r>
          </w:p>
        </w:tc>
        <w:tc>
          <w:tcPr>
            <w:tcW w:w="666" w:type="dxa"/>
            <w:noWrap/>
            <w:vAlign w:val="bottom"/>
            <w:hideMark/>
          </w:tcPr>
          <w:p w14:paraId="6EC028F6" w14:textId="77777777" w:rsidR="00513FDC" w:rsidRPr="00B901D7" w:rsidRDefault="00513FDC" w:rsidP="00A70798">
            <w:pPr>
              <w:rPr>
                <w:szCs w:val="20"/>
              </w:rPr>
            </w:pPr>
            <w:r w:rsidRPr="00B901D7">
              <w:rPr>
                <w:szCs w:val="20"/>
              </w:rPr>
              <w:t>0.015</w:t>
            </w:r>
          </w:p>
        </w:tc>
        <w:tc>
          <w:tcPr>
            <w:tcW w:w="324" w:type="dxa"/>
            <w:noWrap/>
            <w:vAlign w:val="bottom"/>
            <w:hideMark/>
          </w:tcPr>
          <w:p w14:paraId="5CF064E5" w14:textId="77777777" w:rsidR="00513FDC" w:rsidRPr="00B901D7" w:rsidRDefault="00513FDC" w:rsidP="00A70798">
            <w:pPr>
              <w:rPr>
                <w:szCs w:val="20"/>
              </w:rPr>
            </w:pPr>
            <w:r w:rsidRPr="00B901D7">
              <w:rPr>
                <w:szCs w:val="20"/>
              </w:rPr>
              <w:t>a</w:t>
            </w:r>
          </w:p>
        </w:tc>
        <w:tc>
          <w:tcPr>
            <w:tcW w:w="630" w:type="dxa"/>
            <w:noWrap/>
            <w:vAlign w:val="bottom"/>
            <w:hideMark/>
          </w:tcPr>
          <w:p w14:paraId="0D5B8507" w14:textId="77777777" w:rsidR="00513FDC" w:rsidRPr="00B901D7" w:rsidRDefault="00513FDC" w:rsidP="00A70798">
            <w:pPr>
              <w:rPr>
                <w:szCs w:val="20"/>
              </w:rPr>
            </w:pPr>
            <w:r w:rsidRPr="00B901D7">
              <w:rPr>
                <w:szCs w:val="20"/>
              </w:rPr>
              <w:t>C</w:t>
            </w:r>
          </w:p>
        </w:tc>
        <w:tc>
          <w:tcPr>
            <w:tcW w:w="720" w:type="dxa"/>
            <w:noWrap/>
            <w:vAlign w:val="bottom"/>
            <w:hideMark/>
          </w:tcPr>
          <w:p w14:paraId="0B0B1D3C" w14:textId="77777777" w:rsidR="00513FDC" w:rsidRPr="00B901D7" w:rsidRDefault="00513FDC" w:rsidP="00A70798">
            <w:pPr>
              <w:rPr>
                <w:szCs w:val="20"/>
              </w:rPr>
            </w:pPr>
            <w:r w:rsidRPr="00B901D7">
              <w:rPr>
                <w:szCs w:val="20"/>
              </w:rPr>
              <w:t>0.036</w:t>
            </w:r>
          </w:p>
        </w:tc>
        <w:tc>
          <w:tcPr>
            <w:tcW w:w="405" w:type="dxa"/>
            <w:noWrap/>
            <w:vAlign w:val="bottom"/>
            <w:hideMark/>
          </w:tcPr>
          <w:p w14:paraId="446D4968" w14:textId="77777777" w:rsidR="00513FDC" w:rsidRPr="00B901D7" w:rsidRDefault="00513FDC" w:rsidP="00A70798">
            <w:pPr>
              <w:rPr>
                <w:szCs w:val="20"/>
              </w:rPr>
            </w:pPr>
            <w:r w:rsidRPr="00B901D7">
              <w:rPr>
                <w:szCs w:val="20"/>
              </w:rPr>
              <w:t>c</w:t>
            </w:r>
          </w:p>
        </w:tc>
        <w:tc>
          <w:tcPr>
            <w:tcW w:w="675" w:type="dxa"/>
            <w:noWrap/>
            <w:vAlign w:val="bottom"/>
            <w:hideMark/>
          </w:tcPr>
          <w:p w14:paraId="2FA606FB" w14:textId="77777777" w:rsidR="00513FDC" w:rsidRPr="00B901D7" w:rsidRDefault="00513FDC" w:rsidP="00A70798">
            <w:pPr>
              <w:rPr>
                <w:szCs w:val="20"/>
              </w:rPr>
            </w:pPr>
            <w:r w:rsidRPr="00B901D7">
              <w:rPr>
                <w:szCs w:val="20"/>
              </w:rPr>
              <w:t>B</w:t>
            </w:r>
          </w:p>
        </w:tc>
        <w:tc>
          <w:tcPr>
            <w:tcW w:w="720" w:type="dxa"/>
            <w:noWrap/>
            <w:vAlign w:val="bottom"/>
            <w:hideMark/>
          </w:tcPr>
          <w:p w14:paraId="0F6689C1" w14:textId="77777777" w:rsidR="00513FDC" w:rsidRPr="00B901D7" w:rsidRDefault="00513FDC" w:rsidP="00A70798">
            <w:pPr>
              <w:rPr>
                <w:szCs w:val="20"/>
              </w:rPr>
            </w:pPr>
            <w:r w:rsidRPr="00B901D7">
              <w:rPr>
                <w:szCs w:val="20"/>
              </w:rPr>
              <w:t>0.084</w:t>
            </w:r>
          </w:p>
        </w:tc>
        <w:tc>
          <w:tcPr>
            <w:tcW w:w="360" w:type="dxa"/>
            <w:noWrap/>
            <w:vAlign w:val="bottom"/>
            <w:hideMark/>
          </w:tcPr>
          <w:p w14:paraId="6BBF57EC" w14:textId="77777777" w:rsidR="00513FDC" w:rsidRPr="00B901D7" w:rsidRDefault="00513FDC" w:rsidP="00A70798">
            <w:pPr>
              <w:rPr>
                <w:szCs w:val="20"/>
              </w:rPr>
            </w:pPr>
            <w:r w:rsidRPr="00B901D7">
              <w:rPr>
                <w:szCs w:val="20"/>
              </w:rPr>
              <w:t>d</w:t>
            </w:r>
          </w:p>
        </w:tc>
        <w:tc>
          <w:tcPr>
            <w:tcW w:w="720" w:type="dxa"/>
            <w:noWrap/>
            <w:vAlign w:val="bottom"/>
            <w:hideMark/>
          </w:tcPr>
          <w:p w14:paraId="269CFC63" w14:textId="77777777" w:rsidR="00513FDC" w:rsidRPr="00B901D7" w:rsidRDefault="00513FDC" w:rsidP="00A70798">
            <w:pPr>
              <w:rPr>
                <w:szCs w:val="20"/>
              </w:rPr>
            </w:pPr>
            <w:r w:rsidRPr="00B901D7">
              <w:rPr>
                <w:szCs w:val="20"/>
              </w:rPr>
              <w:t>A</w:t>
            </w:r>
          </w:p>
        </w:tc>
      </w:tr>
      <w:tr w:rsidR="00513FDC" w:rsidRPr="00CE3A2F" w14:paraId="5D96832A" w14:textId="77777777" w:rsidTr="00A70798">
        <w:trPr>
          <w:trHeight w:val="288"/>
          <w:jc w:val="center"/>
        </w:trPr>
        <w:tc>
          <w:tcPr>
            <w:tcW w:w="960" w:type="dxa"/>
            <w:vMerge/>
            <w:tcBorders>
              <w:bottom w:val="dotted" w:sz="4" w:space="0" w:color="auto"/>
            </w:tcBorders>
            <w:vAlign w:val="center"/>
            <w:hideMark/>
          </w:tcPr>
          <w:p w14:paraId="46971827" w14:textId="77777777" w:rsidR="00513FDC" w:rsidRPr="00B901D7" w:rsidRDefault="00513FDC" w:rsidP="00A70798">
            <w:pPr>
              <w:jc w:val="center"/>
              <w:rPr>
                <w:szCs w:val="20"/>
              </w:rPr>
            </w:pPr>
          </w:p>
        </w:tc>
        <w:tc>
          <w:tcPr>
            <w:tcW w:w="1020" w:type="dxa"/>
            <w:tcBorders>
              <w:bottom w:val="dotted" w:sz="4" w:space="0" w:color="auto"/>
            </w:tcBorders>
            <w:noWrap/>
            <w:vAlign w:val="bottom"/>
            <w:hideMark/>
          </w:tcPr>
          <w:p w14:paraId="2D866B82" w14:textId="77777777" w:rsidR="00513FDC" w:rsidRPr="00B901D7" w:rsidRDefault="00513FDC" w:rsidP="00A70798">
            <w:pPr>
              <w:jc w:val="center"/>
              <w:rPr>
                <w:szCs w:val="20"/>
              </w:rPr>
            </w:pPr>
            <w:r w:rsidRPr="00B901D7">
              <w:rPr>
                <w:szCs w:val="20"/>
              </w:rPr>
              <w:t>60-100</w:t>
            </w:r>
          </w:p>
        </w:tc>
        <w:tc>
          <w:tcPr>
            <w:tcW w:w="666" w:type="dxa"/>
            <w:tcBorders>
              <w:bottom w:val="dotted" w:sz="4" w:space="0" w:color="auto"/>
            </w:tcBorders>
            <w:noWrap/>
            <w:vAlign w:val="bottom"/>
            <w:hideMark/>
          </w:tcPr>
          <w:p w14:paraId="18D71DD1" w14:textId="77777777" w:rsidR="00513FDC" w:rsidRPr="00B901D7" w:rsidRDefault="00513FDC" w:rsidP="00A70798">
            <w:pPr>
              <w:rPr>
                <w:szCs w:val="20"/>
              </w:rPr>
            </w:pPr>
            <w:r w:rsidRPr="00B901D7">
              <w:rPr>
                <w:szCs w:val="20"/>
              </w:rPr>
              <w:t>0.012</w:t>
            </w:r>
          </w:p>
        </w:tc>
        <w:tc>
          <w:tcPr>
            <w:tcW w:w="324" w:type="dxa"/>
            <w:tcBorders>
              <w:bottom w:val="dotted" w:sz="4" w:space="0" w:color="auto"/>
            </w:tcBorders>
            <w:noWrap/>
            <w:vAlign w:val="bottom"/>
            <w:hideMark/>
          </w:tcPr>
          <w:p w14:paraId="0F9F8843" w14:textId="77777777" w:rsidR="00513FDC" w:rsidRPr="00B901D7" w:rsidRDefault="00513FDC" w:rsidP="00A70798">
            <w:pPr>
              <w:rPr>
                <w:szCs w:val="20"/>
              </w:rPr>
            </w:pPr>
            <w:r w:rsidRPr="00B901D7">
              <w:rPr>
                <w:szCs w:val="20"/>
              </w:rPr>
              <w:t>a</w:t>
            </w:r>
          </w:p>
        </w:tc>
        <w:tc>
          <w:tcPr>
            <w:tcW w:w="630" w:type="dxa"/>
            <w:tcBorders>
              <w:bottom w:val="dotted" w:sz="4" w:space="0" w:color="auto"/>
            </w:tcBorders>
            <w:noWrap/>
            <w:vAlign w:val="bottom"/>
            <w:hideMark/>
          </w:tcPr>
          <w:p w14:paraId="763B21B1" w14:textId="77777777" w:rsidR="00513FDC" w:rsidRPr="00B901D7" w:rsidRDefault="00513FDC" w:rsidP="00A70798">
            <w:pPr>
              <w:rPr>
                <w:szCs w:val="20"/>
              </w:rPr>
            </w:pPr>
            <w:r w:rsidRPr="00B901D7">
              <w:rPr>
                <w:szCs w:val="20"/>
              </w:rPr>
              <w:t>B</w:t>
            </w:r>
          </w:p>
        </w:tc>
        <w:tc>
          <w:tcPr>
            <w:tcW w:w="720" w:type="dxa"/>
            <w:tcBorders>
              <w:bottom w:val="dotted" w:sz="4" w:space="0" w:color="auto"/>
            </w:tcBorders>
            <w:noWrap/>
            <w:vAlign w:val="bottom"/>
            <w:hideMark/>
          </w:tcPr>
          <w:p w14:paraId="55887BB6" w14:textId="77777777" w:rsidR="00513FDC" w:rsidRPr="00B901D7" w:rsidRDefault="00513FDC" w:rsidP="00A70798">
            <w:pPr>
              <w:rPr>
                <w:szCs w:val="20"/>
              </w:rPr>
            </w:pPr>
            <w:r w:rsidRPr="00B901D7">
              <w:rPr>
                <w:szCs w:val="20"/>
              </w:rPr>
              <w:t>0.021</w:t>
            </w:r>
          </w:p>
        </w:tc>
        <w:tc>
          <w:tcPr>
            <w:tcW w:w="405" w:type="dxa"/>
            <w:tcBorders>
              <w:bottom w:val="dotted" w:sz="4" w:space="0" w:color="auto"/>
            </w:tcBorders>
            <w:noWrap/>
            <w:vAlign w:val="bottom"/>
            <w:hideMark/>
          </w:tcPr>
          <w:p w14:paraId="6FFECB0F" w14:textId="77777777" w:rsidR="00513FDC" w:rsidRPr="00B901D7" w:rsidRDefault="00513FDC" w:rsidP="00A70798">
            <w:pPr>
              <w:rPr>
                <w:szCs w:val="20"/>
              </w:rPr>
            </w:pPr>
            <w:r w:rsidRPr="00B901D7">
              <w:rPr>
                <w:szCs w:val="20"/>
              </w:rPr>
              <w:t>c</w:t>
            </w:r>
          </w:p>
        </w:tc>
        <w:tc>
          <w:tcPr>
            <w:tcW w:w="675" w:type="dxa"/>
            <w:tcBorders>
              <w:bottom w:val="dotted" w:sz="4" w:space="0" w:color="auto"/>
            </w:tcBorders>
            <w:noWrap/>
            <w:vAlign w:val="bottom"/>
            <w:hideMark/>
          </w:tcPr>
          <w:p w14:paraId="1CC0E567" w14:textId="77777777" w:rsidR="00513FDC" w:rsidRPr="00B901D7" w:rsidRDefault="00513FDC" w:rsidP="00A70798">
            <w:pPr>
              <w:rPr>
                <w:szCs w:val="20"/>
              </w:rPr>
            </w:pPr>
            <w:r w:rsidRPr="00B901D7">
              <w:rPr>
                <w:szCs w:val="20"/>
              </w:rPr>
              <w:t>AB</w:t>
            </w:r>
          </w:p>
        </w:tc>
        <w:tc>
          <w:tcPr>
            <w:tcW w:w="720" w:type="dxa"/>
            <w:tcBorders>
              <w:bottom w:val="dotted" w:sz="4" w:space="0" w:color="auto"/>
            </w:tcBorders>
            <w:noWrap/>
            <w:vAlign w:val="bottom"/>
            <w:hideMark/>
          </w:tcPr>
          <w:p w14:paraId="2F2D6A13" w14:textId="77777777" w:rsidR="00513FDC" w:rsidRPr="00B901D7" w:rsidRDefault="00513FDC" w:rsidP="00A70798">
            <w:pPr>
              <w:rPr>
                <w:szCs w:val="20"/>
              </w:rPr>
            </w:pPr>
            <w:r w:rsidRPr="00B901D7">
              <w:rPr>
                <w:szCs w:val="20"/>
              </w:rPr>
              <w:t>0.027</w:t>
            </w:r>
          </w:p>
        </w:tc>
        <w:tc>
          <w:tcPr>
            <w:tcW w:w="360" w:type="dxa"/>
            <w:tcBorders>
              <w:bottom w:val="dotted" w:sz="4" w:space="0" w:color="auto"/>
            </w:tcBorders>
            <w:noWrap/>
            <w:vAlign w:val="bottom"/>
            <w:hideMark/>
          </w:tcPr>
          <w:p w14:paraId="7C4B2394" w14:textId="77777777" w:rsidR="00513FDC" w:rsidRPr="00B901D7" w:rsidRDefault="00513FDC" w:rsidP="00A70798">
            <w:pPr>
              <w:rPr>
                <w:szCs w:val="20"/>
              </w:rPr>
            </w:pPr>
            <w:r w:rsidRPr="00B901D7">
              <w:rPr>
                <w:szCs w:val="20"/>
              </w:rPr>
              <w:t>e</w:t>
            </w:r>
          </w:p>
        </w:tc>
        <w:tc>
          <w:tcPr>
            <w:tcW w:w="720" w:type="dxa"/>
            <w:tcBorders>
              <w:bottom w:val="dotted" w:sz="4" w:space="0" w:color="auto"/>
            </w:tcBorders>
            <w:noWrap/>
            <w:vAlign w:val="bottom"/>
            <w:hideMark/>
          </w:tcPr>
          <w:p w14:paraId="69A0EC4F" w14:textId="77777777" w:rsidR="00513FDC" w:rsidRPr="00B901D7" w:rsidRDefault="00513FDC" w:rsidP="00A70798">
            <w:pPr>
              <w:rPr>
                <w:szCs w:val="20"/>
              </w:rPr>
            </w:pPr>
            <w:r w:rsidRPr="00B901D7">
              <w:rPr>
                <w:szCs w:val="20"/>
              </w:rPr>
              <w:t>A</w:t>
            </w:r>
          </w:p>
        </w:tc>
      </w:tr>
      <w:tr w:rsidR="00513FDC" w:rsidRPr="00CE3A2F" w14:paraId="604FCB4C" w14:textId="77777777" w:rsidTr="00A70798">
        <w:trPr>
          <w:trHeight w:val="288"/>
          <w:jc w:val="center"/>
        </w:trPr>
        <w:tc>
          <w:tcPr>
            <w:tcW w:w="960" w:type="dxa"/>
            <w:vMerge w:val="restart"/>
            <w:tcBorders>
              <w:top w:val="dotted" w:sz="4" w:space="0" w:color="auto"/>
              <w:bottom w:val="dotted" w:sz="4" w:space="0" w:color="auto"/>
            </w:tcBorders>
            <w:noWrap/>
            <w:vAlign w:val="center"/>
            <w:hideMark/>
          </w:tcPr>
          <w:p w14:paraId="7232D4BF" w14:textId="77777777" w:rsidR="00513FDC" w:rsidRPr="00B901D7" w:rsidRDefault="00513FDC" w:rsidP="00A70798">
            <w:pPr>
              <w:jc w:val="center"/>
              <w:rPr>
                <w:szCs w:val="20"/>
              </w:rPr>
            </w:pPr>
            <w:r w:rsidRPr="00B901D7">
              <w:rPr>
                <w:szCs w:val="20"/>
              </w:rPr>
              <w:t>2010</w:t>
            </w:r>
          </w:p>
        </w:tc>
        <w:tc>
          <w:tcPr>
            <w:tcW w:w="1020" w:type="dxa"/>
            <w:tcBorders>
              <w:top w:val="dotted" w:sz="4" w:space="0" w:color="auto"/>
            </w:tcBorders>
            <w:noWrap/>
            <w:vAlign w:val="bottom"/>
            <w:hideMark/>
          </w:tcPr>
          <w:p w14:paraId="23189235" w14:textId="77777777" w:rsidR="00513FDC" w:rsidRPr="00B901D7" w:rsidRDefault="00513FDC" w:rsidP="00A70798">
            <w:pPr>
              <w:jc w:val="center"/>
              <w:rPr>
                <w:szCs w:val="20"/>
              </w:rPr>
            </w:pPr>
            <w:r w:rsidRPr="00B901D7">
              <w:rPr>
                <w:szCs w:val="20"/>
              </w:rPr>
              <w:t>0-5</w:t>
            </w:r>
          </w:p>
        </w:tc>
        <w:tc>
          <w:tcPr>
            <w:tcW w:w="666" w:type="dxa"/>
            <w:tcBorders>
              <w:top w:val="dotted" w:sz="4" w:space="0" w:color="auto"/>
            </w:tcBorders>
            <w:noWrap/>
            <w:vAlign w:val="bottom"/>
            <w:hideMark/>
          </w:tcPr>
          <w:p w14:paraId="00ADC79C" w14:textId="77777777" w:rsidR="00513FDC" w:rsidRPr="00B901D7" w:rsidRDefault="00513FDC" w:rsidP="00A70798">
            <w:pPr>
              <w:rPr>
                <w:szCs w:val="20"/>
              </w:rPr>
            </w:pPr>
            <w:r w:rsidRPr="00B901D7">
              <w:rPr>
                <w:szCs w:val="20"/>
              </w:rPr>
              <w:t>0.013</w:t>
            </w:r>
          </w:p>
        </w:tc>
        <w:tc>
          <w:tcPr>
            <w:tcW w:w="324" w:type="dxa"/>
            <w:tcBorders>
              <w:top w:val="dotted" w:sz="4" w:space="0" w:color="auto"/>
            </w:tcBorders>
            <w:noWrap/>
            <w:vAlign w:val="bottom"/>
            <w:hideMark/>
          </w:tcPr>
          <w:p w14:paraId="25CF62AC" w14:textId="77777777" w:rsidR="00513FDC" w:rsidRPr="00B901D7" w:rsidRDefault="00513FDC" w:rsidP="00A70798">
            <w:pPr>
              <w:rPr>
                <w:szCs w:val="20"/>
              </w:rPr>
            </w:pPr>
            <w:r w:rsidRPr="00B901D7">
              <w:rPr>
                <w:szCs w:val="20"/>
              </w:rPr>
              <w:t>a</w:t>
            </w:r>
          </w:p>
        </w:tc>
        <w:tc>
          <w:tcPr>
            <w:tcW w:w="630" w:type="dxa"/>
            <w:tcBorders>
              <w:top w:val="dotted" w:sz="4" w:space="0" w:color="auto"/>
            </w:tcBorders>
            <w:noWrap/>
            <w:vAlign w:val="bottom"/>
            <w:hideMark/>
          </w:tcPr>
          <w:p w14:paraId="20092067" w14:textId="77777777" w:rsidR="00513FDC" w:rsidRPr="00B901D7" w:rsidRDefault="00513FDC" w:rsidP="00A70798">
            <w:pPr>
              <w:rPr>
                <w:szCs w:val="20"/>
              </w:rPr>
            </w:pPr>
            <w:r w:rsidRPr="00B901D7">
              <w:rPr>
                <w:szCs w:val="20"/>
              </w:rPr>
              <w:t>A</w:t>
            </w:r>
          </w:p>
        </w:tc>
        <w:tc>
          <w:tcPr>
            <w:tcW w:w="720" w:type="dxa"/>
            <w:tcBorders>
              <w:top w:val="dotted" w:sz="4" w:space="0" w:color="auto"/>
            </w:tcBorders>
            <w:noWrap/>
            <w:vAlign w:val="bottom"/>
            <w:hideMark/>
          </w:tcPr>
          <w:p w14:paraId="192CCC13" w14:textId="77777777" w:rsidR="00513FDC" w:rsidRPr="00B901D7" w:rsidRDefault="00513FDC" w:rsidP="00A70798">
            <w:pPr>
              <w:rPr>
                <w:szCs w:val="20"/>
              </w:rPr>
            </w:pPr>
            <w:r w:rsidRPr="00B901D7">
              <w:rPr>
                <w:szCs w:val="20"/>
              </w:rPr>
              <w:t>0.011</w:t>
            </w:r>
          </w:p>
        </w:tc>
        <w:tc>
          <w:tcPr>
            <w:tcW w:w="405" w:type="dxa"/>
            <w:tcBorders>
              <w:top w:val="dotted" w:sz="4" w:space="0" w:color="auto"/>
            </w:tcBorders>
            <w:noWrap/>
            <w:vAlign w:val="bottom"/>
            <w:hideMark/>
          </w:tcPr>
          <w:p w14:paraId="669DBD05" w14:textId="77777777" w:rsidR="00513FDC" w:rsidRPr="00B901D7" w:rsidRDefault="00513FDC" w:rsidP="00A70798">
            <w:pPr>
              <w:rPr>
                <w:szCs w:val="20"/>
              </w:rPr>
            </w:pPr>
            <w:r w:rsidRPr="00B901D7">
              <w:rPr>
                <w:szCs w:val="20"/>
              </w:rPr>
              <w:t>d</w:t>
            </w:r>
          </w:p>
        </w:tc>
        <w:tc>
          <w:tcPr>
            <w:tcW w:w="675" w:type="dxa"/>
            <w:tcBorders>
              <w:top w:val="dotted" w:sz="4" w:space="0" w:color="auto"/>
            </w:tcBorders>
            <w:noWrap/>
            <w:vAlign w:val="bottom"/>
            <w:hideMark/>
          </w:tcPr>
          <w:p w14:paraId="4C694F48" w14:textId="77777777" w:rsidR="00513FDC" w:rsidRPr="00B901D7" w:rsidRDefault="00513FDC" w:rsidP="00A70798">
            <w:pPr>
              <w:rPr>
                <w:szCs w:val="20"/>
              </w:rPr>
            </w:pPr>
            <w:r w:rsidRPr="00B901D7">
              <w:rPr>
                <w:szCs w:val="20"/>
              </w:rPr>
              <w:t>AB</w:t>
            </w:r>
          </w:p>
        </w:tc>
        <w:tc>
          <w:tcPr>
            <w:tcW w:w="720" w:type="dxa"/>
            <w:tcBorders>
              <w:top w:val="dotted" w:sz="4" w:space="0" w:color="auto"/>
            </w:tcBorders>
            <w:noWrap/>
            <w:vAlign w:val="bottom"/>
            <w:hideMark/>
          </w:tcPr>
          <w:p w14:paraId="7F1352DF" w14:textId="77777777" w:rsidR="00513FDC" w:rsidRPr="00B901D7" w:rsidRDefault="00513FDC" w:rsidP="00A70798">
            <w:pPr>
              <w:rPr>
                <w:szCs w:val="20"/>
              </w:rPr>
            </w:pPr>
            <w:r w:rsidRPr="00B901D7">
              <w:rPr>
                <w:szCs w:val="20"/>
              </w:rPr>
              <w:t>0.021</w:t>
            </w:r>
          </w:p>
        </w:tc>
        <w:tc>
          <w:tcPr>
            <w:tcW w:w="360" w:type="dxa"/>
            <w:tcBorders>
              <w:top w:val="dotted" w:sz="4" w:space="0" w:color="auto"/>
            </w:tcBorders>
            <w:noWrap/>
            <w:vAlign w:val="bottom"/>
            <w:hideMark/>
          </w:tcPr>
          <w:p w14:paraId="235F2D6C" w14:textId="77777777" w:rsidR="00513FDC" w:rsidRPr="00B901D7" w:rsidRDefault="00513FDC" w:rsidP="00A70798">
            <w:pPr>
              <w:rPr>
                <w:szCs w:val="20"/>
              </w:rPr>
            </w:pPr>
            <w:r w:rsidRPr="00B901D7">
              <w:rPr>
                <w:szCs w:val="20"/>
              </w:rPr>
              <w:t>d</w:t>
            </w:r>
          </w:p>
        </w:tc>
        <w:tc>
          <w:tcPr>
            <w:tcW w:w="720" w:type="dxa"/>
            <w:tcBorders>
              <w:top w:val="dotted" w:sz="4" w:space="0" w:color="auto"/>
            </w:tcBorders>
            <w:noWrap/>
            <w:vAlign w:val="bottom"/>
            <w:hideMark/>
          </w:tcPr>
          <w:p w14:paraId="155E5E2E" w14:textId="77777777" w:rsidR="00513FDC" w:rsidRPr="00B901D7" w:rsidRDefault="00513FDC" w:rsidP="00A70798">
            <w:pPr>
              <w:rPr>
                <w:szCs w:val="20"/>
              </w:rPr>
            </w:pPr>
            <w:r w:rsidRPr="00B901D7">
              <w:rPr>
                <w:szCs w:val="20"/>
              </w:rPr>
              <w:t>A</w:t>
            </w:r>
          </w:p>
        </w:tc>
      </w:tr>
      <w:tr w:rsidR="00513FDC" w:rsidRPr="00CE3A2F" w14:paraId="63662CA7" w14:textId="77777777" w:rsidTr="00A70798">
        <w:trPr>
          <w:trHeight w:val="288"/>
          <w:jc w:val="center"/>
        </w:trPr>
        <w:tc>
          <w:tcPr>
            <w:tcW w:w="960" w:type="dxa"/>
            <w:vMerge/>
            <w:tcBorders>
              <w:bottom w:val="dotted" w:sz="4" w:space="0" w:color="auto"/>
            </w:tcBorders>
            <w:vAlign w:val="center"/>
            <w:hideMark/>
          </w:tcPr>
          <w:p w14:paraId="7037127A" w14:textId="77777777" w:rsidR="00513FDC" w:rsidRPr="00B901D7" w:rsidRDefault="00513FDC" w:rsidP="00A70798">
            <w:pPr>
              <w:jc w:val="center"/>
              <w:rPr>
                <w:szCs w:val="20"/>
              </w:rPr>
            </w:pPr>
          </w:p>
        </w:tc>
        <w:tc>
          <w:tcPr>
            <w:tcW w:w="1020" w:type="dxa"/>
            <w:noWrap/>
            <w:vAlign w:val="bottom"/>
            <w:hideMark/>
          </w:tcPr>
          <w:p w14:paraId="0BCCB36E" w14:textId="77777777" w:rsidR="00513FDC" w:rsidRPr="00B901D7" w:rsidRDefault="00513FDC" w:rsidP="00A70798">
            <w:pPr>
              <w:jc w:val="center"/>
              <w:rPr>
                <w:szCs w:val="20"/>
              </w:rPr>
            </w:pPr>
            <w:r w:rsidRPr="00B901D7">
              <w:rPr>
                <w:szCs w:val="20"/>
              </w:rPr>
              <w:t>5-15</w:t>
            </w:r>
          </w:p>
        </w:tc>
        <w:tc>
          <w:tcPr>
            <w:tcW w:w="666" w:type="dxa"/>
            <w:noWrap/>
            <w:vAlign w:val="bottom"/>
            <w:hideMark/>
          </w:tcPr>
          <w:p w14:paraId="470C4606" w14:textId="77777777" w:rsidR="00513FDC" w:rsidRPr="00B901D7" w:rsidRDefault="00513FDC" w:rsidP="00A70798">
            <w:pPr>
              <w:rPr>
                <w:szCs w:val="20"/>
              </w:rPr>
            </w:pPr>
            <w:r w:rsidRPr="00B901D7">
              <w:rPr>
                <w:szCs w:val="20"/>
              </w:rPr>
              <w:t>0.024</w:t>
            </w:r>
          </w:p>
        </w:tc>
        <w:tc>
          <w:tcPr>
            <w:tcW w:w="324" w:type="dxa"/>
            <w:noWrap/>
            <w:vAlign w:val="bottom"/>
            <w:hideMark/>
          </w:tcPr>
          <w:p w14:paraId="3CE71D76" w14:textId="77777777" w:rsidR="00513FDC" w:rsidRPr="00B901D7" w:rsidRDefault="00513FDC" w:rsidP="00A70798">
            <w:pPr>
              <w:rPr>
                <w:szCs w:val="20"/>
              </w:rPr>
            </w:pPr>
            <w:r w:rsidRPr="00B901D7">
              <w:rPr>
                <w:szCs w:val="20"/>
              </w:rPr>
              <w:t>a</w:t>
            </w:r>
          </w:p>
        </w:tc>
        <w:tc>
          <w:tcPr>
            <w:tcW w:w="630" w:type="dxa"/>
            <w:noWrap/>
            <w:vAlign w:val="bottom"/>
            <w:hideMark/>
          </w:tcPr>
          <w:p w14:paraId="09620413" w14:textId="77777777" w:rsidR="00513FDC" w:rsidRPr="00B901D7" w:rsidRDefault="00513FDC" w:rsidP="00A70798">
            <w:pPr>
              <w:rPr>
                <w:szCs w:val="20"/>
              </w:rPr>
            </w:pPr>
            <w:r w:rsidRPr="00B901D7">
              <w:rPr>
                <w:szCs w:val="20"/>
              </w:rPr>
              <w:t>D</w:t>
            </w:r>
          </w:p>
        </w:tc>
        <w:tc>
          <w:tcPr>
            <w:tcW w:w="720" w:type="dxa"/>
            <w:noWrap/>
            <w:vAlign w:val="bottom"/>
            <w:hideMark/>
          </w:tcPr>
          <w:p w14:paraId="1042F5F7" w14:textId="77777777" w:rsidR="00513FDC" w:rsidRPr="00B901D7" w:rsidRDefault="00513FDC" w:rsidP="00A70798">
            <w:pPr>
              <w:rPr>
                <w:szCs w:val="20"/>
              </w:rPr>
            </w:pPr>
            <w:r w:rsidRPr="00B901D7">
              <w:rPr>
                <w:szCs w:val="20"/>
              </w:rPr>
              <w:t>0.117</w:t>
            </w:r>
          </w:p>
        </w:tc>
        <w:tc>
          <w:tcPr>
            <w:tcW w:w="405" w:type="dxa"/>
            <w:noWrap/>
            <w:vAlign w:val="bottom"/>
            <w:hideMark/>
          </w:tcPr>
          <w:p w14:paraId="73E2CCE2" w14:textId="77777777" w:rsidR="00513FDC" w:rsidRPr="00B901D7" w:rsidRDefault="00513FDC" w:rsidP="00A70798">
            <w:pPr>
              <w:rPr>
                <w:szCs w:val="20"/>
              </w:rPr>
            </w:pPr>
            <w:r w:rsidRPr="00B901D7">
              <w:rPr>
                <w:szCs w:val="20"/>
              </w:rPr>
              <w:t>a</w:t>
            </w:r>
          </w:p>
        </w:tc>
        <w:tc>
          <w:tcPr>
            <w:tcW w:w="675" w:type="dxa"/>
            <w:noWrap/>
            <w:vAlign w:val="bottom"/>
            <w:hideMark/>
          </w:tcPr>
          <w:p w14:paraId="5EDAF73B" w14:textId="77777777" w:rsidR="00513FDC" w:rsidRPr="00B901D7" w:rsidRDefault="00513FDC" w:rsidP="00A70798">
            <w:pPr>
              <w:rPr>
                <w:szCs w:val="20"/>
              </w:rPr>
            </w:pPr>
            <w:r w:rsidRPr="00B901D7">
              <w:rPr>
                <w:szCs w:val="20"/>
              </w:rPr>
              <w:t>B</w:t>
            </w:r>
          </w:p>
        </w:tc>
        <w:tc>
          <w:tcPr>
            <w:tcW w:w="720" w:type="dxa"/>
            <w:noWrap/>
            <w:vAlign w:val="bottom"/>
            <w:hideMark/>
          </w:tcPr>
          <w:p w14:paraId="114B7977" w14:textId="77777777" w:rsidR="00513FDC" w:rsidRPr="00B901D7" w:rsidRDefault="00513FDC" w:rsidP="00A70798">
            <w:pPr>
              <w:rPr>
                <w:szCs w:val="20"/>
              </w:rPr>
            </w:pPr>
            <w:r w:rsidRPr="00B901D7">
              <w:rPr>
                <w:szCs w:val="20"/>
              </w:rPr>
              <w:t>0.197</w:t>
            </w:r>
          </w:p>
        </w:tc>
        <w:tc>
          <w:tcPr>
            <w:tcW w:w="360" w:type="dxa"/>
            <w:noWrap/>
            <w:vAlign w:val="bottom"/>
            <w:hideMark/>
          </w:tcPr>
          <w:p w14:paraId="177F7458" w14:textId="77777777" w:rsidR="00513FDC" w:rsidRPr="00B901D7" w:rsidRDefault="00513FDC" w:rsidP="00A70798">
            <w:pPr>
              <w:rPr>
                <w:szCs w:val="20"/>
              </w:rPr>
            </w:pPr>
            <w:r w:rsidRPr="00B901D7">
              <w:rPr>
                <w:szCs w:val="20"/>
              </w:rPr>
              <w:t>a</w:t>
            </w:r>
          </w:p>
        </w:tc>
        <w:tc>
          <w:tcPr>
            <w:tcW w:w="720" w:type="dxa"/>
            <w:noWrap/>
            <w:vAlign w:val="bottom"/>
            <w:hideMark/>
          </w:tcPr>
          <w:p w14:paraId="0F9F0A98" w14:textId="77777777" w:rsidR="00513FDC" w:rsidRPr="00B901D7" w:rsidRDefault="00513FDC" w:rsidP="00A70798">
            <w:pPr>
              <w:rPr>
                <w:szCs w:val="20"/>
              </w:rPr>
            </w:pPr>
            <w:r w:rsidRPr="00B901D7">
              <w:rPr>
                <w:szCs w:val="20"/>
              </w:rPr>
              <w:t>A</w:t>
            </w:r>
          </w:p>
        </w:tc>
      </w:tr>
      <w:tr w:rsidR="00513FDC" w:rsidRPr="00CE3A2F" w14:paraId="1ACA68CF" w14:textId="77777777" w:rsidTr="00A70798">
        <w:trPr>
          <w:trHeight w:val="288"/>
          <w:jc w:val="center"/>
        </w:trPr>
        <w:tc>
          <w:tcPr>
            <w:tcW w:w="960" w:type="dxa"/>
            <w:vMerge/>
            <w:tcBorders>
              <w:bottom w:val="dotted" w:sz="4" w:space="0" w:color="auto"/>
            </w:tcBorders>
            <w:vAlign w:val="center"/>
            <w:hideMark/>
          </w:tcPr>
          <w:p w14:paraId="61CBEECA" w14:textId="77777777" w:rsidR="00513FDC" w:rsidRPr="00B901D7" w:rsidRDefault="00513FDC" w:rsidP="00A70798">
            <w:pPr>
              <w:jc w:val="center"/>
              <w:rPr>
                <w:szCs w:val="20"/>
              </w:rPr>
            </w:pPr>
          </w:p>
        </w:tc>
        <w:tc>
          <w:tcPr>
            <w:tcW w:w="1020" w:type="dxa"/>
            <w:noWrap/>
            <w:vAlign w:val="bottom"/>
            <w:hideMark/>
          </w:tcPr>
          <w:p w14:paraId="67949957" w14:textId="77777777" w:rsidR="00513FDC" w:rsidRPr="00B901D7" w:rsidRDefault="00513FDC" w:rsidP="00A70798">
            <w:pPr>
              <w:jc w:val="center"/>
              <w:rPr>
                <w:szCs w:val="20"/>
              </w:rPr>
            </w:pPr>
            <w:r w:rsidRPr="00B901D7">
              <w:rPr>
                <w:szCs w:val="20"/>
              </w:rPr>
              <w:t>15-30</w:t>
            </w:r>
          </w:p>
        </w:tc>
        <w:tc>
          <w:tcPr>
            <w:tcW w:w="666" w:type="dxa"/>
            <w:noWrap/>
            <w:vAlign w:val="bottom"/>
            <w:hideMark/>
          </w:tcPr>
          <w:p w14:paraId="4ACB9644" w14:textId="77777777" w:rsidR="00513FDC" w:rsidRPr="00B901D7" w:rsidRDefault="00513FDC" w:rsidP="00A70798">
            <w:pPr>
              <w:rPr>
                <w:szCs w:val="20"/>
              </w:rPr>
            </w:pPr>
            <w:r w:rsidRPr="00B901D7">
              <w:rPr>
                <w:szCs w:val="20"/>
              </w:rPr>
              <w:t>0.012</w:t>
            </w:r>
          </w:p>
        </w:tc>
        <w:tc>
          <w:tcPr>
            <w:tcW w:w="324" w:type="dxa"/>
            <w:noWrap/>
            <w:vAlign w:val="bottom"/>
            <w:hideMark/>
          </w:tcPr>
          <w:p w14:paraId="7F508B9C" w14:textId="77777777" w:rsidR="00513FDC" w:rsidRPr="00B901D7" w:rsidRDefault="00513FDC" w:rsidP="00A70798">
            <w:pPr>
              <w:rPr>
                <w:szCs w:val="20"/>
              </w:rPr>
            </w:pPr>
            <w:r w:rsidRPr="00B901D7">
              <w:rPr>
                <w:szCs w:val="20"/>
              </w:rPr>
              <w:t>a</w:t>
            </w:r>
          </w:p>
        </w:tc>
        <w:tc>
          <w:tcPr>
            <w:tcW w:w="630" w:type="dxa"/>
            <w:noWrap/>
            <w:vAlign w:val="bottom"/>
            <w:hideMark/>
          </w:tcPr>
          <w:p w14:paraId="5008E8DD" w14:textId="77777777" w:rsidR="00513FDC" w:rsidRPr="00B901D7" w:rsidRDefault="00513FDC" w:rsidP="00A70798">
            <w:pPr>
              <w:rPr>
                <w:szCs w:val="20"/>
              </w:rPr>
            </w:pPr>
            <w:r w:rsidRPr="00B901D7">
              <w:rPr>
                <w:szCs w:val="20"/>
              </w:rPr>
              <w:t>C</w:t>
            </w:r>
          </w:p>
        </w:tc>
        <w:tc>
          <w:tcPr>
            <w:tcW w:w="720" w:type="dxa"/>
            <w:noWrap/>
            <w:vAlign w:val="bottom"/>
            <w:hideMark/>
          </w:tcPr>
          <w:p w14:paraId="00DA569B" w14:textId="77777777" w:rsidR="00513FDC" w:rsidRPr="00B901D7" w:rsidRDefault="00513FDC" w:rsidP="00A70798">
            <w:pPr>
              <w:rPr>
                <w:szCs w:val="20"/>
              </w:rPr>
            </w:pPr>
            <w:r w:rsidRPr="00B901D7">
              <w:rPr>
                <w:szCs w:val="20"/>
              </w:rPr>
              <w:t>0.042</w:t>
            </w:r>
          </w:p>
        </w:tc>
        <w:tc>
          <w:tcPr>
            <w:tcW w:w="405" w:type="dxa"/>
            <w:noWrap/>
            <w:vAlign w:val="bottom"/>
            <w:hideMark/>
          </w:tcPr>
          <w:p w14:paraId="53393680" w14:textId="77777777" w:rsidR="00513FDC" w:rsidRPr="00B901D7" w:rsidRDefault="00513FDC" w:rsidP="00A70798">
            <w:pPr>
              <w:rPr>
                <w:szCs w:val="20"/>
              </w:rPr>
            </w:pPr>
            <w:r w:rsidRPr="00B901D7">
              <w:rPr>
                <w:szCs w:val="20"/>
              </w:rPr>
              <w:t>bc</w:t>
            </w:r>
          </w:p>
        </w:tc>
        <w:tc>
          <w:tcPr>
            <w:tcW w:w="675" w:type="dxa"/>
            <w:noWrap/>
            <w:vAlign w:val="bottom"/>
            <w:hideMark/>
          </w:tcPr>
          <w:p w14:paraId="54EC9D33" w14:textId="77777777" w:rsidR="00513FDC" w:rsidRPr="00B901D7" w:rsidRDefault="00513FDC" w:rsidP="00A70798">
            <w:pPr>
              <w:rPr>
                <w:szCs w:val="20"/>
              </w:rPr>
            </w:pPr>
            <w:r w:rsidRPr="00B901D7">
              <w:rPr>
                <w:szCs w:val="20"/>
              </w:rPr>
              <w:t>B</w:t>
            </w:r>
          </w:p>
        </w:tc>
        <w:tc>
          <w:tcPr>
            <w:tcW w:w="720" w:type="dxa"/>
            <w:noWrap/>
            <w:vAlign w:val="bottom"/>
            <w:hideMark/>
          </w:tcPr>
          <w:p w14:paraId="14578486" w14:textId="77777777" w:rsidR="00513FDC" w:rsidRPr="00B901D7" w:rsidRDefault="00513FDC" w:rsidP="00A70798">
            <w:pPr>
              <w:rPr>
                <w:szCs w:val="20"/>
              </w:rPr>
            </w:pPr>
            <w:r w:rsidRPr="00B901D7">
              <w:rPr>
                <w:szCs w:val="20"/>
              </w:rPr>
              <w:t>0.067</w:t>
            </w:r>
          </w:p>
        </w:tc>
        <w:tc>
          <w:tcPr>
            <w:tcW w:w="360" w:type="dxa"/>
            <w:noWrap/>
            <w:vAlign w:val="bottom"/>
            <w:hideMark/>
          </w:tcPr>
          <w:p w14:paraId="7C83B7BB" w14:textId="77777777" w:rsidR="00513FDC" w:rsidRPr="00B901D7" w:rsidRDefault="00513FDC" w:rsidP="00A70798">
            <w:pPr>
              <w:rPr>
                <w:szCs w:val="20"/>
              </w:rPr>
            </w:pPr>
            <w:r w:rsidRPr="00B901D7">
              <w:rPr>
                <w:szCs w:val="20"/>
              </w:rPr>
              <w:t>c</w:t>
            </w:r>
          </w:p>
        </w:tc>
        <w:tc>
          <w:tcPr>
            <w:tcW w:w="720" w:type="dxa"/>
            <w:noWrap/>
            <w:vAlign w:val="bottom"/>
            <w:hideMark/>
          </w:tcPr>
          <w:p w14:paraId="642C83D5" w14:textId="77777777" w:rsidR="00513FDC" w:rsidRPr="00B901D7" w:rsidRDefault="00513FDC" w:rsidP="00A70798">
            <w:pPr>
              <w:rPr>
                <w:szCs w:val="20"/>
              </w:rPr>
            </w:pPr>
            <w:r w:rsidRPr="00B901D7">
              <w:rPr>
                <w:szCs w:val="20"/>
              </w:rPr>
              <w:t>A</w:t>
            </w:r>
          </w:p>
        </w:tc>
      </w:tr>
      <w:tr w:rsidR="00513FDC" w:rsidRPr="00CE3A2F" w14:paraId="2E139DDB" w14:textId="77777777" w:rsidTr="00A70798">
        <w:trPr>
          <w:trHeight w:val="288"/>
          <w:jc w:val="center"/>
        </w:trPr>
        <w:tc>
          <w:tcPr>
            <w:tcW w:w="960" w:type="dxa"/>
            <w:vMerge/>
            <w:tcBorders>
              <w:bottom w:val="dotted" w:sz="4" w:space="0" w:color="auto"/>
            </w:tcBorders>
            <w:vAlign w:val="center"/>
            <w:hideMark/>
          </w:tcPr>
          <w:p w14:paraId="62238C49" w14:textId="77777777" w:rsidR="00513FDC" w:rsidRPr="00B901D7" w:rsidRDefault="00513FDC" w:rsidP="00A70798">
            <w:pPr>
              <w:jc w:val="center"/>
              <w:rPr>
                <w:szCs w:val="20"/>
              </w:rPr>
            </w:pPr>
          </w:p>
        </w:tc>
        <w:tc>
          <w:tcPr>
            <w:tcW w:w="1020" w:type="dxa"/>
            <w:noWrap/>
            <w:vAlign w:val="bottom"/>
            <w:hideMark/>
          </w:tcPr>
          <w:p w14:paraId="08C9CA7A" w14:textId="77777777" w:rsidR="00513FDC" w:rsidRPr="00B901D7" w:rsidRDefault="00513FDC" w:rsidP="00A70798">
            <w:pPr>
              <w:jc w:val="center"/>
              <w:rPr>
                <w:szCs w:val="20"/>
              </w:rPr>
            </w:pPr>
            <w:r w:rsidRPr="00B901D7">
              <w:rPr>
                <w:szCs w:val="20"/>
              </w:rPr>
              <w:t>30-60</w:t>
            </w:r>
          </w:p>
        </w:tc>
        <w:tc>
          <w:tcPr>
            <w:tcW w:w="666" w:type="dxa"/>
            <w:noWrap/>
            <w:vAlign w:val="bottom"/>
            <w:hideMark/>
          </w:tcPr>
          <w:p w14:paraId="40696AC2" w14:textId="77777777" w:rsidR="00513FDC" w:rsidRPr="00B901D7" w:rsidRDefault="00513FDC" w:rsidP="00A70798">
            <w:pPr>
              <w:rPr>
                <w:szCs w:val="20"/>
              </w:rPr>
            </w:pPr>
            <w:r w:rsidRPr="00B901D7">
              <w:rPr>
                <w:szCs w:val="20"/>
              </w:rPr>
              <w:t>0.020</w:t>
            </w:r>
          </w:p>
        </w:tc>
        <w:tc>
          <w:tcPr>
            <w:tcW w:w="324" w:type="dxa"/>
            <w:noWrap/>
            <w:vAlign w:val="bottom"/>
            <w:hideMark/>
          </w:tcPr>
          <w:p w14:paraId="27317669" w14:textId="77777777" w:rsidR="00513FDC" w:rsidRPr="00B901D7" w:rsidRDefault="00513FDC" w:rsidP="00A70798">
            <w:pPr>
              <w:rPr>
                <w:szCs w:val="20"/>
              </w:rPr>
            </w:pPr>
            <w:r w:rsidRPr="00B901D7">
              <w:rPr>
                <w:szCs w:val="20"/>
              </w:rPr>
              <w:t>a</w:t>
            </w:r>
          </w:p>
        </w:tc>
        <w:tc>
          <w:tcPr>
            <w:tcW w:w="630" w:type="dxa"/>
            <w:noWrap/>
            <w:vAlign w:val="bottom"/>
            <w:hideMark/>
          </w:tcPr>
          <w:p w14:paraId="2F985D22" w14:textId="77777777" w:rsidR="00513FDC" w:rsidRPr="00B901D7" w:rsidRDefault="00513FDC" w:rsidP="00A70798">
            <w:pPr>
              <w:rPr>
                <w:szCs w:val="20"/>
              </w:rPr>
            </w:pPr>
            <w:r w:rsidRPr="00B901D7">
              <w:rPr>
                <w:szCs w:val="20"/>
              </w:rPr>
              <w:t>C</w:t>
            </w:r>
          </w:p>
        </w:tc>
        <w:tc>
          <w:tcPr>
            <w:tcW w:w="720" w:type="dxa"/>
            <w:noWrap/>
            <w:vAlign w:val="bottom"/>
            <w:hideMark/>
          </w:tcPr>
          <w:p w14:paraId="0339A3AB" w14:textId="77777777" w:rsidR="00513FDC" w:rsidRPr="00B901D7" w:rsidRDefault="00513FDC" w:rsidP="00A70798">
            <w:pPr>
              <w:rPr>
                <w:szCs w:val="20"/>
              </w:rPr>
            </w:pPr>
            <w:r w:rsidRPr="00B901D7">
              <w:rPr>
                <w:szCs w:val="20"/>
              </w:rPr>
              <w:t>0.047</w:t>
            </w:r>
          </w:p>
        </w:tc>
        <w:tc>
          <w:tcPr>
            <w:tcW w:w="405" w:type="dxa"/>
            <w:noWrap/>
            <w:vAlign w:val="bottom"/>
            <w:hideMark/>
          </w:tcPr>
          <w:p w14:paraId="55488114" w14:textId="77777777" w:rsidR="00513FDC" w:rsidRPr="00B901D7" w:rsidRDefault="00513FDC" w:rsidP="00A70798">
            <w:pPr>
              <w:rPr>
                <w:szCs w:val="20"/>
              </w:rPr>
            </w:pPr>
            <w:r w:rsidRPr="00B901D7">
              <w:rPr>
                <w:szCs w:val="20"/>
              </w:rPr>
              <w:t>b</w:t>
            </w:r>
          </w:p>
        </w:tc>
        <w:tc>
          <w:tcPr>
            <w:tcW w:w="675" w:type="dxa"/>
            <w:noWrap/>
            <w:vAlign w:val="bottom"/>
            <w:hideMark/>
          </w:tcPr>
          <w:p w14:paraId="598CD1AE" w14:textId="77777777" w:rsidR="00513FDC" w:rsidRPr="00B901D7" w:rsidRDefault="00513FDC" w:rsidP="00A70798">
            <w:pPr>
              <w:rPr>
                <w:szCs w:val="20"/>
              </w:rPr>
            </w:pPr>
            <w:r w:rsidRPr="00B901D7">
              <w:rPr>
                <w:szCs w:val="20"/>
              </w:rPr>
              <w:t>B</w:t>
            </w:r>
          </w:p>
        </w:tc>
        <w:tc>
          <w:tcPr>
            <w:tcW w:w="720" w:type="dxa"/>
            <w:noWrap/>
            <w:vAlign w:val="bottom"/>
            <w:hideMark/>
          </w:tcPr>
          <w:p w14:paraId="0A54E2E5" w14:textId="77777777" w:rsidR="00513FDC" w:rsidRPr="00B901D7" w:rsidRDefault="00513FDC" w:rsidP="00A70798">
            <w:pPr>
              <w:rPr>
                <w:szCs w:val="20"/>
              </w:rPr>
            </w:pPr>
            <w:r w:rsidRPr="00B901D7">
              <w:rPr>
                <w:szCs w:val="20"/>
              </w:rPr>
              <w:t>0.090</w:t>
            </w:r>
          </w:p>
        </w:tc>
        <w:tc>
          <w:tcPr>
            <w:tcW w:w="360" w:type="dxa"/>
            <w:noWrap/>
            <w:vAlign w:val="bottom"/>
            <w:hideMark/>
          </w:tcPr>
          <w:p w14:paraId="75912722" w14:textId="77777777" w:rsidR="00513FDC" w:rsidRPr="00B901D7" w:rsidRDefault="00513FDC" w:rsidP="00A70798">
            <w:pPr>
              <w:rPr>
                <w:szCs w:val="20"/>
              </w:rPr>
            </w:pPr>
            <w:r w:rsidRPr="00B901D7">
              <w:rPr>
                <w:szCs w:val="20"/>
              </w:rPr>
              <w:t>b</w:t>
            </w:r>
          </w:p>
        </w:tc>
        <w:tc>
          <w:tcPr>
            <w:tcW w:w="720" w:type="dxa"/>
            <w:noWrap/>
            <w:vAlign w:val="bottom"/>
            <w:hideMark/>
          </w:tcPr>
          <w:p w14:paraId="5C97292D" w14:textId="77777777" w:rsidR="00513FDC" w:rsidRPr="00B901D7" w:rsidRDefault="00513FDC" w:rsidP="00A70798">
            <w:pPr>
              <w:rPr>
                <w:szCs w:val="20"/>
              </w:rPr>
            </w:pPr>
            <w:r w:rsidRPr="00B901D7">
              <w:rPr>
                <w:szCs w:val="20"/>
              </w:rPr>
              <w:t>A</w:t>
            </w:r>
          </w:p>
        </w:tc>
      </w:tr>
      <w:tr w:rsidR="00513FDC" w:rsidRPr="00CE3A2F" w14:paraId="2563D58C" w14:textId="77777777" w:rsidTr="00A70798">
        <w:trPr>
          <w:trHeight w:val="288"/>
          <w:jc w:val="center"/>
        </w:trPr>
        <w:tc>
          <w:tcPr>
            <w:tcW w:w="960" w:type="dxa"/>
            <w:vMerge/>
            <w:tcBorders>
              <w:bottom w:val="dotted" w:sz="4" w:space="0" w:color="auto"/>
            </w:tcBorders>
            <w:vAlign w:val="center"/>
            <w:hideMark/>
          </w:tcPr>
          <w:p w14:paraId="419BB3B9" w14:textId="77777777" w:rsidR="00513FDC" w:rsidRPr="00B901D7" w:rsidRDefault="00513FDC" w:rsidP="00A70798">
            <w:pPr>
              <w:jc w:val="center"/>
              <w:rPr>
                <w:szCs w:val="20"/>
              </w:rPr>
            </w:pPr>
          </w:p>
        </w:tc>
        <w:tc>
          <w:tcPr>
            <w:tcW w:w="1020" w:type="dxa"/>
            <w:tcBorders>
              <w:bottom w:val="dotted" w:sz="4" w:space="0" w:color="auto"/>
            </w:tcBorders>
            <w:noWrap/>
            <w:vAlign w:val="bottom"/>
            <w:hideMark/>
          </w:tcPr>
          <w:p w14:paraId="0D4A9FE5" w14:textId="77777777" w:rsidR="00513FDC" w:rsidRPr="00B901D7" w:rsidRDefault="00513FDC" w:rsidP="00A70798">
            <w:pPr>
              <w:jc w:val="center"/>
              <w:rPr>
                <w:szCs w:val="20"/>
              </w:rPr>
            </w:pPr>
            <w:r w:rsidRPr="00B901D7">
              <w:rPr>
                <w:szCs w:val="20"/>
              </w:rPr>
              <w:t>60-100</w:t>
            </w:r>
          </w:p>
        </w:tc>
        <w:tc>
          <w:tcPr>
            <w:tcW w:w="666" w:type="dxa"/>
            <w:tcBorders>
              <w:bottom w:val="dotted" w:sz="4" w:space="0" w:color="auto"/>
            </w:tcBorders>
            <w:noWrap/>
            <w:vAlign w:val="bottom"/>
            <w:hideMark/>
          </w:tcPr>
          <w:p w14:paraId="02E4C5F3" w14:textId="77777777" w:rsidR="00513FDC" w:rsidRPr="00B901D7" w:rsidRDefault="00513FDC" w:rsidP="00A70798">
            <w:pPr>
              <w:rPr>
                <w:szCs w:val="20"/>
              </w:rPr>
            </w:pPr>
            <w:r w:rsidRPr="00B901D7">
              <w:rPr>
                <w:szCs w:val="20"/>
              </w:rPr>
              <w:t>0.016</w:t>
            </w:r>
          </w:p>
        </w:tc>
        <w:tc>
          <w:tcPr>
            <w:tcW w:w="324" w:type="dxa"/>
            <w:tcBorders>
              <w:bottom w:val="dotted" w:sz="4" w:space="0" w:color="auto"/>
            </w:tcBorders>
            <w:noWrap/>
            <w:vAlign w:val="bottom"/>
            <w:hideMark/>
          </w:tcPr>
          <w:p w14:paraId="1D8A9FC5" w14:textId="77777777" w:rsidR="00513FDC" w:rsidRPr="00B901D7" w:rsidRDefault="00513FDC" w:rsidP="00A70798">
            <w:pPr>
              <w:rPr>
                <w:szCs w:val="20"/>
              </w:rPr>
            </w:pPr>
            <w:r w:rsidRPr="00B901D7">
              <w:rPr>
                <w:szCs w:val="20"/>
              </w:rPr>
              <w:t>a</w:t>
            </w:r>
          </w:p>
        </w:tc>
        <w:tc>
          <w:tcPr>
            <w:tcW w:w="630" w:type="dxa"/>
            <w:tcBorders>
              <w:bottom w:val="dotted" w:sz="4" w:space="0" w:color="auto"/>
            </w:tcBorders>
            <w:noWrap/>
            <w:vAlign w:val="bottom"/>
            <w:hideMark/>
          </w:tcPr>
          <w:p w14:paraId="6A200DA6" w14:textId="77777777" w:rsidR="00513FDC" w:rsidRPr="00B901D7" w:rsidRDefault="00513FDC" w:rsidP="00A70798">
            <w:pPr>
              <w:rPr>
                <w:szCs w:val="20"/>
              </w:rPr>
            </w:pPr>
            <w:r w:rsidRPr="00B901D7">
              <w:rPr>
                <w:szCs w:val="20"/>
              </w:rPr>
              <w:t>BC</w:t>
            </w:r>
          </w:p>
        </w:tc>
        <w:tc>
          <w:tcPr>
            <w:tcW w:w="720" w:type="dxa"/>
            <w:tcBorders>
              <w:bottom w:val="dotted" w:sz="4" w:space="0" w:color="auto"/>
            </w:tcBorders>
            <w:noWrap/>
            <w:vAlign w:val="bottom"/>
            <w:hideMark/>
          </w:tcPr>
          <w:p w14:paraId="6AB89C47" w14:textId="77777777" w:rsidR="00513FDC" w:rsidRPr="00B901D7" w:rsidRDefault="00513FDC" w:rsidP="00A70798">
            <w:pPr>
              <w:rPr>
                <w:szCs w:val="20"/>
              </w:rPr>
            </w:pPr>
            <w:r w:rsidRPr="00B901D7">
              <w:rPr>
                <w:szCs w:val="20"/>
              </w:rPr>
              <w:t>0.030</w:t>
            </w:r>
          </w:p>
        </w:tc>
        <w:tc>
          <w:tcPr>
            <w:tcW w:w="405" w:type="dxa"/>
            <w:tcBorders>
              <w:bottom w:val="dotted" w:sz="4" w:space="0" w:color="auto"/>
            </w:tcBorders>
            <w:noWrap/>
            <w:vAlign w:val="bottom"/>
            <w:hideMark/>
          </w:tcPr>
          <w:p w14:paraId="47503D1D" w14:textId="77777777" w:rsidR="00513FDC" w:rsidRPr="00B901D7" w:rsidRDefault="00513FDC" w:rsidP="00A70798">
            <w:pPr>
              <w:rPr>
                <w:szCs w:val="20"/>
              </w:rPr>
            </w:pPr>
            <w:r w:rsidRPr="00B901D7">
              <w:rPr>
                <w:szCs w:val="20"/>
              </w:rPr>
              <w:t>c</w:t>
            </w:r>
          </w:p>
        </w:tc>
        <w:tc>
          <w:tcPr>
            <w:tcW w:w="675" w:type="dxa"/>
            <w:tcBorders>
              <w:bottom w:val="dotted" w:sz="4" w:space="0" w:color="auto"/>
            </w:tcBorders>
            <w:noWrap/>
            <w:vAlign w:val="bottom"/>
            <w:hideMark/>
          </w:tcPr>
          <w:p w14:paraId="6C455BE5" w14:textId="77777777" w:rsidR="00513FDC" w:rsidRPr="00B901D7" w:rsidRDefault="00513FDC" w:rsidP="00A70798">
            <w:pPr>
              <w:rPr>
                <w:szCs w:val="20"/>
              </w:rPr>
            </w:pPr>
            <w:r w:rsidRPr="00B901D7">
              <w:rPr>
                <w:szCs w:val="20"/>
              </w:rPr>
              <w:t>AB</w:t>
            </w:r>
          </w:p>
        </w:tc>
        <w:tc>
          <w:tcPr>
            <w:tcW w:w="720" w:type="dxa"/>
            <w:tcBorders>
              <w:bottom w:val="dotted" w:sz="4" w:space="0" w:color="auto"/>
            </w:tcBorders>
            <w:noWrap/>
            <w:vAlign w:val="bottom"/>
            <w:hideMark/>
          </w:tcPr>
          <w:p w14:paraId="3BE362A4" w14:textId="77777777" w:rsidR="00513FDC" w:rsidRPr="00B901D7" w:rsidRDefault="00513FDC" w:rsidP="00A70798">
            <w:pPr>
              <w:rPr>
                <w:szCs w:val="20"/>
              </w:rPr>
            </w:pPr>
            <w:r w:rsidRPr="00B901D7">
              <w:rPr>
                <w:szCs w:val="20"/>
              </w:rPr>
              <w:t>0.037</w:t>
            </w:r>
          </w:p>
        </w:tc>
        <w:tc>
          <w:tcPr>
            <w:tcW w:w="360" w:type="dxa"/>
            <w:tcBorders>
              <w:bottom w:val="dotted" w:sz="4" w:space="0" w:color="auto"/>
            </w:tcBorders>
            <w:noWrap/>
            <w:vAlign w:val="bottom"/>
            <w:hideMark/>
          </w:tcPr>
          <w:p w14:paraId="1D4C1090" w14:textId="77777777" w:rsidR="00513FDC" w:rsidRPr="00B901D7" w:rsidRDefault="00513FDC" w:rsidP="00A70798">
            <w:pPr>
              <w:rPr>
                <w:szCs w:val="20"/>
              </w:rPr>
            </w:pPr>
            <w:r w:rsidRPr="00B901D7">
              <w:rPr>
                <w:szCs w:val="20"/>
              </w:rPr>
              <w:t>d</w:t>
            </w:r>
          </w:p>
        </w:tc>
        <w:tc>
          <w:tcPr>
            <w:tcW w:w="720" w:type="dxa"/>
            <w:tcBorders>
              <w:bottom w:val="dotted" w:sz="4" w:space="0" w:color="auto"/>
            </w:tcBorders>
            <w:noWrap/>
            <w:vAlign w:val="bottom"/>
            <w:hideMark/>
          </w:tcPr>
          <w:p w14:paraId="0A2415C5" w14:textId="77777777" w:rsidR="00513FDC" w:rsidRPr="00B901D7" w:rsidRDefault="00513FDC" w:rsidP="00A70798">
            <w:pPr>
              <w:rPr>
                <w:szCs w:val="20"/>
              </w:rPr>
            </w:pPr>
            <w:r w:rsidRPr="00B901D7">
              <w:rPr>
                <w:szCs w:val="20"/>
              </w:rPr>
              <w:t>A</w:t>
            </w:r>
          </w:p>
        </w:tc>
      </w:tr>
      <w:tr w:rsidR="00513FDC" w:rsidRPr="00CE3A2F" w14:paraId="219CCDDF" w14:textId="77777777" w:rsidTr="00A70798">
        <w:trPr>
          <w:trHeight w:val="288"/>
          <w:jc w:val="center"/>
        </w:trPr>
        <w:tc>
          <w:tcPr>
            <w:tcW w:w="960" w:type="dxa"/>
            <w:vMerge w:val="restart"/>
            <w:tcBorders>
              <w:top w:val="dotted" w:sz="4" w:space="0" w:color="auto"/>
              <w:bottom w:val="dotted" w:sz="4" w:space="0" w:color="auto"/>
            </w:tcBorders>
            <w:noWrap/>
            <w:vAlign w:val="center"/>
            <w:hideMark/>
          </w:tcPr>
          <w:p w14:paraId="0204316E" w14:textId="77777777" w:rsidR="00513FDC" w:rsidRPr="00B901D7" w:rsidRDefault="00513FDC" w:rsidP="00A70798">
            <w:pPr>
              <w:jc w:val="center"/>
              <w:rPr>
                <w:szCs w:val="20"/>
              </w:rPr>
            </w:pPr>
            <w:r w:rsidRPr="00B901D7">
              <w:rPr>
                <w:szCs w:val="20"/>
              </w:rPr>
              <w:t>2011</w:t>
            </w:r>
          </w:p>
        </w:tc>
        <w:tc>
          <w:tcPr>
            <w:tcW w:w="1020" w:type="dxa"/>
            <w:tcBorders>
              <w:top w:val="dotted" w:sz="4" w:space="0" w:color="auto"/>
            </w:tcBorders>
            <w:noWrap/>
            <w:vAlign w:val="bottom"/>
            <w:hideMark/>
          </w:tcPr>
          <w:p w14:paraId="75E90D11" w14:textId="77777777" w:rsidR="00513FDC" w:rsidRPr="00B901D7" w:rsidRDefault="00513FDC" w:rsidP="00A70798">
            <w:pPr>
              <w:jc w:val="center"/>
              <w:rPr>
                <w:szCs w:val="20"/>
              </w:rPr>
            </w:pPr>
            <w:r w:rsidRPr="00B901D7">
              <w:rPr>
                <w:szCs w:val="20"/>
              </w:rPr>
              <w:t>0-5</w:t>
            </w:r>
          </w:p>
        </w:tc>
        <w:tc>
          <w:tcPr>
            <w:tcW w:w="666" w:type="dxa"/>
            <w:tcBorders>
              <w:top w:val="dotted" w:sz="4" w:space="0" w:color="auto"/>
            </w:tcBorders>
            <w:noWrap/>
            <w:vAlign w:val="bottom"/>
            <w:hideMark/>
          </w:tcPr>
          <w:p w14:paraId="08A749A8" w14:textId="77777777" w:rsidR="00513FDC" w:rsidRPr="00B901D7" w:rsidRDefault="00513FDC" w:rsidP="00A70798">
            <w:pPr>
              <w:rPr>
                <w:szCs w:val="20"/>
              </w:rPr>
            </w:pPr>
            <w:r w:rsidRPr="00B901D7">
              <w:rPr>
                <w:szCs w:val="20"/>
              </w:rPr>
              <w:t>0.005</w:t>
            </w:r>
          </w:p>
        </w:tc>
        <w:tc>
          <w:tcPr>
            <w:tcW w:w="324" w:type="dxa"/>
            <w:tcBorders>
              <w:top w:val="dotted" w:sz="4" w:space="0" w:color="auto"/>
            </w:tcBorders>
            <w:noWrap/>
            <w:vAlign w:val="bottom"/>
            <w:hideMark/>
          </w:tcPr>
          <w:p w14:paraId="14C15B9F" w14:textId="77777777" w:rsidR="00513FDC" w:rsidRPr="00B901D7" w:rsidRDefault="00513FDC" w:rsidP="00A70798">
            <w:pPr>
              <w:rPr>
                <w:szCs w:val="20"/>
              </w:rPr>
            </w:pPr>
            <w:r w:rsidRPr="00B901D7">
              <w:rPr>
                <w:szCs w:val="20"/>
              </w:rPr>
              <w:t>a</w:t>
            </w:r>
          </w:p>
        </w:tc>
        <w:tc>
          <w:tcPr>
            <w:tcW w:w="630" w:type="dxa"/>
            <w:tcBorders>
              <w:top w:val="dotted" w:sz="4" w:space="0" w:color="auto"/>
            </w:tcBorders>
            <w:noWrap/>
            <w:vAlign w:val="bottom"/>
            <w:hideMark/>
          </w:tcPr>
          <w:p w14:paraId="58E48EF8" w14:textId="77777777" w:rsidR="00513FDC" w:rsidRPr="00B901D7" w:rsidRDefault="00513FDC" w:rsidP="00A70798">
            <w:pPr>
              <w:rPr>
                <w:szCs w:val="20"/>
              </w:rPr>
            </w:pPr>
            <w:r w:rsidRPr="00B901D7">
              <w:rPr>
                <w:szCs w:val="20"/>
              </w:rPr>
              <w:t>A</w:t>
            </w:r>
          </w:p>
        </w:tc>
        <w:tc>
          <w:tcPr>
            <w:tcW w:w="720" w:type="dxa"/>
            <w:tcBorders>
              <w:top w:val="dotted" w:sz="4" w:space="0" w:color="auto"/>
            </w:tcBorders>
            <w:noWrap/>
            <w:vAlign w:val="bottom"/>
            <w:hideMark/>
          </w:tcPr>
          <w:p w14:paraId="534DA060" w14:textId="77777777" w:rsidR="00513FDC" w:rsidRPr="00B901D7" w:rsidRDefault="00513FDC" w:rsidP="00A70798">
            <w:pPr>
              <w:rPr>
                <w:szCs w:val="20"/>
              </w:rPr>
            </w:pPr>
            <w:r w:rsidRPr="00B901D7">
              <w:rPr>
                <w:szCs w:val="20"/>
              </w:rPr>
              <w:t>0.000</w:t>
            </w:r>
          </w:p>
        </w:tc>
        <w:tc>
          <w:tcPr>
            <w:tcW w:w="405" w:type="dxa"/>
            <w:tcBorders>
              <w:top w:val="dotted" w:sz="4" w:space="0" w:color="auto"/>
            </w:tcBorders>
            <w:noWrap/>
            <w:vAlign w:val="bottom"/>
            <w:hideMark/>
          </w:tcPr>
          <w:p w14:paraId="640E6C5F" w14:textId="77777777" w:rsidR="00513FDC" w:rsidRPr="00B901D7" w:rsidRDefault="00513FDC" w:rsidP="00A70798">
            <w:pPr>
              <w:rPr>
                <w:szCs w:val="20"/>
              </w:rPr>
            </w:pPr>
            <w:r w:rsidRPr="00B901D7">
              <w:rPr>
                <w:szCs w:val="20"/>
              </w:rPr>
              <w:t>c</w:t>
            </w:r>
          </w:p>
        </w:tc>
        <w:tc>
          <w:tcPr>
            <w:tcW w:w="675" w:type="dxa"/>
            <w:tcBorders>
              <w:top w:val="dotted" w:sz="4" w:space="0" w:color="auto"/>
            </w:tcBorders>
            <w:noWrap/>
            <w:vAlign w:val="bottom"/>
            <w:hideMark/>
          </w:tcPr>
          <w:p w14:paraId="18606F20" w14:textId="77777777" w:rsidR="00513FDC" w:rsidRPr="00B901D7" w:rsidRDefault="00513FDC" w:rsidP="00A70798">
            <w:pPr>
              <w:rPr>
                <w:szCs w:val="20"/>
              </w:rPr>
            </w:pPr>
            <w:r w:rsidRPr="00B901D7">
              <w:rPr>
                <w:szCs w:val="20"/>
              </w:rPr>
              <w:t>AB</w:t>
            </w:r>
          </w:p>
        </w:tc>
        <w:tc>
          <w:tcPr>
            <w:tcW w:w="720" w:type="dxa"/>
            <w:tcBorders>
              <w:top w:val="dotted" w:sz="4" w:space="0" w:color="auto"/>
            </w:tcBorders>
            <w:noWrap/>
            <w:vAlign w:val="bottom"/>
            <w:hideMark/>
          </w:tcPr>
          <w:p w14:paraId="4693E6B5" w14:textId="77777777" w:rsidR="00513FDC" w:rsidRPr="00B901D7" w:rsidRDefault="00513FDC" w:rsidP="00A70798">
            <w:pPr>
              <w:rPr>
                <w:szCs w:val="20"/>
              </w:rPr>
            </w:pPr>
            <w:r w:rsidRPr="00B901D7">
              <w:rPr>
                <w:szCs w:val="20"/>
              </w:rPr>
              <w:t>0.000</w:t>
            </w:r>
          </w:p>
        </w:tc>
        <w:tc>
          <w:tcPr>
            <w:tcW w:w="360" w:type="dxa"/>
            <w:tcBorders>
              <w:top w:val="dotted" w:sz="4" w:space="0" w:color="auto"/>
            </w:tcBorders>
            <w:noWrap/>
            <w:vAlign w:val="bottom"/>
            <w:hideMark/>
          </w:tcPr>
          <w:p w14:paraId="33067D8E" w14:textId="77777777" w:rsidR="00513FDC" w:rsidRPr="00B901D7" w:rsidRDefault="00513FDC" w:rsidP="00A70798">
            <w:pPr>
              <w:rPr>
                <w:szCs w:val="20"/>
              </w:rPr>
            </w:pPr>
            <w:r w:rsidRPr="00B901D7">
              <w:rPr>
                <w:szCs w:val="20"/>
              </w:rPr>
              <w:t>e</w:t>
            </w:r>
          </w:p>
        </w:tc>
        <w:tc>
          <w:tcPr>
            <w:tcW w:w="720" w:type="dxa"/>
            <w:tcBorders>
              <w:top w:val="dotted" w:sz="4" w:space="0" w:color="auto"/>
            </w:tcBorders>
            <w:noWrap/>
            <w:vAlign w:val="bottom"/>
            <w:hideMark/>
          </w:tcPr>
          <w:p w14:paraId="1B0B7539" w14:textId="77777777" w:rsidR="00513FDC" w:rsidRPr="00B901D7" w:rsidRDefault="00513FDC" w:rsidP="00A70798">
            <w:pPr>
              <w:rPr>
                <w:szCs w:val="20"/>
              </w:rPr>
            </w:pPr>
            <w:r w:rsidRPr="00B901D7">
              <w:rPr>
                <w:szCs w:val="20"/>
              </w:rPr>
              <w:t>A</w:t>
            </w:r>
          </w:p>
        </w:tc>
      </w:tr>
      <w:tr w:rsidR="00513FDC" w:rsidRPr="00CE3A2F" w14:paraId="7297258D" w14:textId="77777777" w:rsidTr="00A70798">
        <w:trPr>
          <w:trHeight w:val="288"/>
          <w:jc w:val="center"/>
        </w:trPr>
        <w:tc>
          <w:tcPr>
            <w:tcW w:w="960" w:type="dxa"/>
            <w:vMerge/>
            <w:tcBorders>
              <w:bottom w:val="dotted" w:sz="4" w:space="0" w:color="auto"/>
            </w:tcBorders>
            <w:vAlign w:val="center"/>
            <w:hideMark/>
          </w:tcPr>
          <w:p w14:paraId="1792A667" w14:textId="77777777" w:rsidR="00513FDC" w:rsidRPr="00B901D7" w:rsidRDefault="00513FDC" w:rsidP="00A70798">
            <w:pPr>
              <w:jc w:val="center"/>
              <w:rPr>
                <w:szCs w:val="20"/>
              </w:rPr>
            </w:pPr>
          </w:p>
        </w:tc>
        <w:tc>
          <w:tcPr>
            <w:tcW w:w="1020" w:type="dxa"/>
            <w:noWrap/>
            <w:vAlign w:val="bottom"/>
            <w:hideMark/>
          </w:tcPr>
          <w:p w14:paraId="70066E58" w14:textId="77777777" w:rsidR="00513FDC" w:rsidRPr="00B901D7" w:rsidRDefault="00513FDC" w:rsidP="00A70798">
            <w:pPr>
              <w:jc w:val="center"/>
              <w:rPr>
                <w:szCs w:val="20"/>
              </w:rPr>
            </w:pPr>
            <w:r w:rsidRPr="00B901D7">
              <w:rPr>
                <w:szCs w:val="20"/>
              </w:rPr>
              <w:t>5-15</w:t>
            </w:r>
          </w:p>
        </w:tc>
        <w:tc>
          <w:tcPr>
            <w:tcW w:w="666" w:type="dxa"/>
            <w:noWrap/>
            <w:vAlign w:val="bottom"/>
            <w:hideMark/>
          </w:tcPr>
          <w:p w14:paraId="41C41743" w14:textId="77777777" w:rsidR="00513FDC" w:rsidRPr="00B901D7" w:rsidRDefault="00513FDC" w:rsidP="00A70798">
            <w:pPr>
              <w:rPr>
                <w:szCs w:val="20"/>
              </w:rPr>
            </w:pPr>
            <w:r w:rsidRPr="00B901D7">
              <w:rPr>
                <w:szCs w:val="20"/>
              </w:rPr>
              <w:t>0.022</w:t>
            </w:r>
          </w:p>
        </w:tc>
        <w:tc>
          <w:tcPr>
            <w:tcW w:w="324" w:type="dxa"/>
            <w:noWrap/>
            <w:vAlign w:val="bottom"/>
            <w:hideMark/>
          </w:tcPr>
          <w:p w14:paraId="1ABD3165" w14:textId="77777777" w:rsidR="00513FDC" w:rsidRPr="00B901D7" w:rsidRDefault="00513FDC" w:rsidP="00A70798">
            <w:pPr>
              <w:rPr>
                <w:szCs w:val="20"/>
              </w:rPr>
            </w:pPr>
            <w:r w:rsidRPr="00B901D7">
              <w:rPr>
                <w:szCs w:val="20"/>
              </w:rPr>
              <w:t>a</w:t>
            </w:r>
          </w:p>
        </w:tc>
        <w:tc>
          <w:tcPr>
            <w:tcW w:w="630" w:type="dxa"/>
            <w:noWrap/>
            <w:vAlign w:val="bottom"/>
            <w:hideMark/>
          </w:tcPr>
          <w:p w14:paraId="671CB12D" w14:textId="77777777" w:rsidR="00513FDC" w:rsidRPr="00B901D7" w:rsidRDefault="00513FDC" w:rsidP="00A70798">
            <w:pPr>
              <w:rPr>
                <w:szCs w:val="20"/>
              </w:rPr>
            </w:pPr>
            <w:r w:rsidRPr="00B901D7">
              <w:rPr>
                <w:szCs w:val="20"/>
              </w:rPr>
              <w:t>D</w:t>
            </w:r>
          </w:p>
        </w:tc>
        <w:tc>
          <w:tcPr>
            <w:tcW w:w="720" w:type="dxa"/>
            <w:noWrap/>
            <w:vAlign w:val="bottom"/>
            <w:hideMark/>
          </w:tcPr>
          <w:p w14:paraId="52C6021C" w14:textId="77777777" w:rsidR="00513FDC" w:rsidRPr="00B901D7" w:rsidRDefault="00513FDC" w:rsidP="00A70798">
            <w:pPr>
              <w:rPr>
                <w:szCs w:val="20"/>
              </w:rPr>
            </w:pPr>
            <w:r w:rsidRPr="00B901D7">
              <w:rPr>
                <w:szCs w:val="20"/>
              </w:rPr>
              <w:t>0.093</w:t>
            </w:r>
          </w:p>
        </w:tc>
        <w:tc>
          <w:tcPr>
            <w:tcW w:w="405" w:type="dxa"/>
            <w:noWrap/>
            <w:vAlign w:val="bottom"/>
            <w:hideMark/>
          </w:tcPr>
          <w:p w14:paraId="114BC231" w14:textId="77777777" w:rsidR="00513FDC" w:rsidRPr="00B901D7" w:rsidRDefault="00513FDC" w:rsidP="00A70798">
            <w:pPr>
              <w:rPr>
                <w:szCs w:val="20"/>
              </w:rPr>
            </w:pPr>
            <w:r w:rsidRPr="00B901D7">
              <w:rPr>
                <w:szCs w:val="20"/>
              </w:rPr>
              <w:t>a</w:t>
            </w:r>
          </w:p>
        </w:tc>
        <w:tc>
          <w:tcPr>
            <w:tcW w:w="675" w:type="dxa"/>
            <w:noWrap/>
            <w:vAlign w:val="bottom"/>
            <w:hideMark/>
          </w:tcPr>
          <w:p w14:paraId="2265995C" w14:textId="77777777" w:rsidR="00513FDC" w:rsidRPr="00B901D7" w:rsidRDefault="00513FDC" w:rsidP="00A70798">
            <w:pPr>
              <w:rPr>
                <w:szCs w:val="20"/>
              </w:rPr>
            </w:pPr>
            <w:r w:rsidRPr="00B901D7">
              <w:rPr>
                <w:szCs w:val="20"/>
              </w:rPr>
              <w:t>B</w:t>
            </w:r>
          </w:p>
        </w:tc>
        <w:tc>
          <w:tcPr>
            <w:tcW w:w="720" w:type="dxa"/>
            <w:noWrap/>
            <w:vAlign w:val="bottom"/>
            <w:hideMark/>
          </w:tcPr>
          <w:p w14:paraId="2EB923CF" w14:textId="77777777" w:rsidR="00513FDC" w:rsidRPr="00B901D7" w:rsidRDefault="00513FDC" w:rsidP="00A70798">
            <w:pPr>
              <w:rPr>
                <w:szCs w:val="20"/>
              </w:rPr>
            </w:pPr>
            <w:r w:rsidRPr="00B901D7">
              <w:rPr>
                <w:szCs w:val="20"/>
              </w:rPr>
              <w:t>0.131</w:t>
            </w:r>
          </w:p>
        </w:tc>
        <w:tc>
          <w:tcPr>
            <w:tcW w:w="360" w:type="dxa"/>
            <w:noWrap/>
            <w:vAlign w:val="bottom"/>
            <w:hideMark/>
          </w:tcPr>
          <w:p w14:paraId="0F9F7752" w14:textId="77777777" w:rsidR="00513FDC" w:rsidRPr="00B901D7" w:rsidRDefault="00513FDC" w:rsidP="00A70798">
            <w:pPr>
              <w:rPr>
                <w:szCs w:val="20"/>
              </w:rPr>
            </w:pPr>
            <w:r w:rsidRPr="00B901D7">
              <w:rPr>
                <w:szCs w:val="20"/>
              </w:rPr>
              <w:t>a</w:t>
            </w:r>
          </w:p>
        </w:tc>
        <w:tc>
          <w:tcPr>
            <w:tcW w:w="720" w:type="dxa"/>
            <w:noWrap/>
            <w:vAlign w:val="bottom"/>
            <w:hideMark/>
          </w:tcPr>
          <w:p w14:paraId="73B14453" w14:textId="77777777" w:rsidR="00513FDC" w:rsidRPr="00B901D7" w:rsidRDefault="00513FDC" w:rsidP="00A70798">
            <w:pPr>
              <w:rPr>
                <w:szCs w:val="20"/>
              </w:rPr>
            </w:pPr>
            <w:r w:rsidRPr="00B901D7">
              <w:rPr>
                <w:szCs w:val="20"/>
              </w:rPr>
              <w:t>A</w:t>
            </w:r>
          </w:p>
        </w:tc>
      </w:tr>
      <w:tr w:rsidR="00513FDC" w:rsidRPr="00CE3A2F" w14:paraId="31E80F9E" w14:textId="77777777" w:rsidTr="00A70798">
        <w:trPr>
          <w:trHeight w:val="288"/>
          <w:jc w:val="center"/>
        </w:trPr>
        <w:tc>
          <w:tcPr>
            <w:tcW w:w="960" w:type="dxa"/>
            <w:vMerge/>
            <w:tcBorders>
              <w:bottom w:val="dotted" w:sz="4" w:space="0" w:color="auto"/>
            </w:tcBorders>
            <w:vAlign w:val="center"/>
            <w:hideMark/>
          </w:tcPr>
          <w:p w14:paraId="2B8886BD" w14:textId="77777777" w:rsidR="00513FDC" w:rsidRPr="00B901D7" w:rsidRDefault="00513FDC" w:rsidP="00A70798">
            <w:pPr>
              <w:jc w:val="center"/>
              <w:rPr>
                <w:szCs w:val="20"/>
              </w:rPr>
            </w:pPr>
          </w:p>
        </w:tc>
        <w:tc>
          <w:tcPr>
            <w:tcW w:w="1020" w:type="dxa"/>
            <w:noWrap/>
            <w:vAlign w:val="bottom"/>
            <w:hideMark/>
          </w:tcPr>
          <w:p w14:paraId="2FA5C585" w14:textId="77777777" w:rsidR="00513FDC" w:rsidRPr="00B901D7" w:rsidRDefault="00513FDC" w:rsidP="00A70798">
            <w:pPr>
              <w:jc w:val="center"/>
              <w:rPr>
                <w:szCs w:val="20"/>
              </w:rPr>
            </w:pPr>
            <w:r w:rsidRPr="00B901D7">
              <w:rPr>
                <w:szCs w:val="20"/>
              </w:rPr>
              <w:t>15-30</w:t>
            </w:r>
          </w:p>
        </w:tc>
        <w:tc>
          <w:tcPr>
            <w:tcW w:w="666" w:type="dxa"/>
            <w:noWrap/>
            <w:vAlign w:val="bottom"/>
            <w:hideMark/>
          </w:tcPr>
          <w:p w14:paraId="05975663" w14:textId="77777777" w:rsidR="00513FDC" w:rsidRPr="00B901D7" w:rsidRDefault="00513FDC" w:rsidP="00A70798">
            <w:pPr>
              <w:rPr>
                <w:szCs w:val="20"/>
              </w:rPr>
            </w:pPr>
            <w:r w:rsidRPr="00B901D7">
              <w:rPr>
                <w:szCs w:val="20"/>
              </w:rPr>
              <w:t>0.018</w:t>
            </w:r>
          </w:p>
        </w:tc>
        <w:tc>
          <w:tcPr>
            <w:tcW w:w="324" w:type="dxa"/>
            <w:noWrap/>
            <w:vAlign w:val="bottom"/>
            <w:hideMark/>
          </w:tcPr>
          <w:p w14:paraId="19D9C9FE" w14:textId="77777777" w:rsidR="00513FDC" w:rsidRPr="00B901D7" w:rsidRDefault="00513FDC" w:rsidP="00A70798">
            <w:pPr>
              <w:rPr>
                <w:szCs w:val="20"/>
              </w:rPr>
            </w:pPr>
            <w:r w:rsidRPr="00B901D7">
              <w:rPr>
                <w:szCs w:val="20"/>
              </w:rPr>
              <w:t>a</w:t>
            </w:r>
          </w:p>
        </w:tc>
        <w:tc>
          <w:tcPr>
            <w:tcW w:w="630" w:type="dxa"/>
            <w:noWrap/>
            <w:vAlign w:val="bottom"/>
            <w:hideMark/>
          </w:tcPr>
          <w:p w14:paraId="5326C753" w14:textId="77777777" w:rsidR="00513FDC" w:rsidRPr="00B901D7" w:rsidRDefault="00513FDC" w:rsidP="00A70798">
            <w:pPr>
              <w:rPr>
                <w:szCs w:val="20"/>
              </w:rPr>
            </w:pPr>
            <w:r w:rsidRPr="00B901D7">
              <w:rPr>
                <w:szCs w:val="20"/>
              </w:rPr>
              <w:t>C</w:t>
            </w:r>
          </w:p>
        </w:tc>
        <w:tc>
          <w:tcPr>
            <w:tcW w:w="720" w:type="dxa"/>
            <w:noWrap/>
            <w:vAlign w:val="bottom"/>
            <w:hideMark/>
          </w:tcPr>
          <w:p w14:paraId="11B9A1E2" w14:textId="77777777" w:rsidR="00513FDC" w:rsidRPr="00B901D7" w:rsidRDefault="00513FDC" w:rsidP="00A70798">
            <w:pPr>
              <w:rPr>
                <w:szCs w:val="20"/>
              </w:rPr>
            </w:pPr>
            <w:r w:rsidRPr="00B901D7">
              <w:rPr>
                <w:szCs w:val="20"/>
              </w:rPr>
              <w:t>0.058</w:t>
            </w:r>
          </w:p>
        </w:tc>
        <w:tc>
          <w:tcPr>
            <w:tcW w:w="405" w:type="dxa"/>
            <w:noWrap/>
            <w:vAlign w:val="bottom"/>
            <w:hideMark/>
          </w:tcPr>
          <w:p w14:paraId="19840FB4" w14:textId="77777777" w:rsidR="00513FDC" w:rsidRPr="00B901D7" w:rsidRDefault="00513FDC" w:rsidP="00A70798">
            <w:pPr>
              <w:rPr>
                <w:szCs w:val="20"/>
              </w:rPr>
            </w:pPr>
            <w:r w:rsidRPr="00B901D7">
              <w:rPr>
                <w:szCs w:val="20"/>
              </w:rPr>
              <w:t>b</w:t>
            </w:r>
          </w:p>
        </w:tc>
        <w:tc>
          <w:tcPr>
            <w:tcW w:w="675" w:type="dxa"/>
            <w:noWrap/>
            <w:vAlign w:val="bottom"/>
            <w:hideMark/>
          </w:tcPr>
          <w:p w14:paraId="7A5B337F" w14:textId="77777777" w:rsidR="00513FDC" w:rsidRPr="00B901D7" w:rsidRDefault="00513FDC" w:rsidP="00A70798">
            <w:pPr>
              <w:rPr>
                <w:szCs w:val="20"/>
              </w:rPr>
            </w:pPr>
            <w:r w:rsidRPr="00B901D7">
              <w:rPr>
                <w:szCs w:val="20"/>
              </w:rPr>
              <w:t>B</w:t>
            </w:r>
          </w:p>
        </w:tc>
        <w:tc>
          <w:tcPr>
            <w:tcW w:w="720" w:type="dxa"/>
            <w:noWrap/>
            <w:vAlign w:val="bottom"/>
            <w:hideMark/>
          </w:tcPr>
          <w:p w14:paraId="17D37771" w14:textId="77777777" w:rsidR="00513FDC" w:rsidRPr="00B901D7" w:rsidRDefault="00513FDC" w:rsidP="00A70798">
            <w:pPr>
              <w:rPr>
                <w:szCs w:val="20"/>
              </w:rPr>
            </w:pPr>
            <w:r w:rsidRPr="00B901D7">
              <w:rPr>
                <w:szCs w:val="20"/>
              </w:rPr>
              <w:t>0.082</w:t>
            </w:r>
          </w:p>
        </w:tc>
        <w:tc>
          <w:tcPr>
            <w:tcW w:w="360" w:type="dxa"/>
            <w:noWrap/>
            <w:vAlign w:val="bottom"/>
            <w:hideMark/>
          </w:tcPr>
          <w:p w14:paraId="2699D789" w14:textId="77777777" w:rsidR="00513FDC" w:rsidRPr="00B901D7" w:rsidRDefault="00513FDC" w:rsidP="00A70798">
            <w:pPr>
              <w:rPr>
                <w:szCs w:val="20"/>
              </w:rPr>
            </w:pPr>
            <w:r w:rsidRPr="00B901D7">
              <w:rPr>
                <w:szCs w:val="20"/>
              </w:rPr>
              <w:t>b</w:t>
            </w:r>
          </w:p>
        </w:tc>
        <w:tc>
          <w:tcPr>
            <w:tcW w:w="720" w:type="dxa"/>
            <w:noWrap/>
            <w:vAlign w:val="bottom"/>
            <w:hideMark/>
          </w:tcPr>
          <w:p w14:paraId="76EE600F" w14:textId="77777777" w:rsidR="00513FDC" w:rsidRPr="00B901D7" w:rsidRDefault="00513FDC" w:rsidP="00A70798">
            <w:pPr>
              <w:rPr>
                <w:szCs w:val="20"/>
              </w:rPr>
            </w:pPr>
            <w:r w:rsidRPr="00B901D7">
              <w:rPr>
                <w:szCs w:val="20"/>
              </w:rPr>
              <w:t>A</w:t>
            </w:r>
          </w:p>
        </w:tc>
      </w:tr>
      <w:tr w:rsidR="00513FDC" w:rsidRPr="00CE3A2F" w14:paraId="5254DDD7" w14:textId="77777777" w:rsidTr="00A70798">
        <w:trPr>
          <w:trHeight w:val="288"/>
          <w:jc w:val="center"/>
        </w:trPr>
        <w:tc>
          <w:tcPr>
            <w:tcW w:w="960" w:type="dxa"/>
            <w:vMerge/>
            <w:tcBorders>
              <w:bottom w:val="dotted" w:sz="4" w:space="0" w:color="auto"/>
            </w:tcBorders>
            <w:vAlign w:val="center"/>
            <w:hideMark/>
          </w:tcPr>
          <w:p w14:paraId="2EABF718" w14:textId="77777777" w:rsidR="00513FDC" w:rsidRPr="00B901D7" w:rsidRDefault="00513FDC" w:rsidP="00A70798">
            <w:pPr>
              <w:jc w:val="center"/>
              <w:rPr>
                <w:szCs w:val="20"/>
              </w:rPr>
            </w:pPr>
          </w:p>
        </w:tc>
        <w:tc>
          <w:tcPr>
            <w:tcW w:w="1020" w:type="dxa"/>
            <w:noWrap/>
            <w:vAlign w:val="bottom"/>
            <w:hideMark/>
          </w:tcPr>
          <w:p w14:paraId="16330D44" w14:textId="77777777" w:rsidR="00513FDC" w:rsidRPr="00B901D7" w:rsidRDefault="00513FDC" w:rsidP="00A70798">
            <w:pPr>
              <w:jc w:val="center"/>
              <w:rPr>
                <w:szCs w:val="20"/>
              </w:rPr>
            </w:pPr>
            <w:r w:rsidRPr="00B901D7">
              <w:rPr>
                <w:szCs w:val="20"/>
              </w:rPr>
              <w:t>30-60</w:t>
            </w:r>
          </w:p>
        </w:tc>
        <w:tc>
          <w:tcPr>
            <w:tcW w:w="666" w:type="dxa"/>
            <w:noWrap/>
            <w:vAlign w:val="bottom"/>
            <w:hideMark/>
          </w:tcPr>
          <w:p w14:paraId="3F90B05C" w14:textId="77777777" w:rsidR="00513FDC" w:rsidRPr="00B901D7" w:rsidRDefault="00513FDC" w:rsidP="00A70798">
            <w:pPr>
              <w:rPr>
                <w:szCs w:val="20"/>
              </w:rPr>
            </w:pPr>
            <w:r w:rsidRPr="00B901D7">
              <w:rPr>
                <w:szCs w:val="20"/>
              </w:rPr>
              <w:t>0.027</w:t>
            </w:r>
          </w:p>
        </w:tc>
        <w:tc>
          <w:tcPr>
            <w:tcW w:w="324" w:type="dxa"/>
            <w:noWrap/>
            <w:vAlign w:val="bottom"/>
            <w:hideMark/>
          </w:tcPr>
          <w:p w14:paraId="2CCA9E47" w14:textId="77777777" w:rsidR="00513FDC" w:rsidRPr="00B901D7" w:rsidRDefault="00513FDC" w:rsidP="00A70798">
            <w:pPr>
              <w:rPr>
                <w:szCs w:val="20"/>
              </w:rPr>
            </w:pPr>
            <w:r w:rsidRPr="00B901D7">
              <w:rPr>
                <w:szCs w:val="20"/>
              </w:rPr>
              <w:t>a</w:t>
            </w:r>
          </w:p>
        </w:tc>
        <w:tc>
          <w:tcPr>
            <w:tcW w:w="630" w:type="dxa"/>
            <w:noWrap/>
            <w:vAlign w:val="bottom"/>
            <w:hideMark/>
          </w:tcPr>
          <w:p w14:paraId="7426CFFF" w14:textId="77777777" w:rsidR="00513FDC" w:rsidRPr="00B901D7" w:rsidRDefault="00513FDC" w:rsidP="00A70798">
            <w:pPr>
              <w:rPr>
                <w:szCs w:val="20"/>
              </w:rPr>
            </w:pPr>
            <w:r w:rsidRPr="00B901D7">
              <w:rPr>
                <w:szCs w:val="20"/>
              </w:rPr>
              <w:t>C</w:t>
            </w:r>
          </w:p>
        </w:tc>
        <w:tc>
          <w:tcPr>
            <w:tcW w:w="720" w:type="dxa"/>
            <w:noWrap/>
            <w:vAlign w:val="bottom"/>
            <w:hideMark/>
          </w:tcPr>
          <w:p w14:paraId="10067169" w14:textId="77777777" w:rsidR="00513FDC" w:rsidRPr="00B901D7" w:rsidRDefault="00513FDC" w:rsidP="00A70798">
            <w:pPr>
              <w:rPr>
                <w:szCs w:val="20"/>
              </w:rPr>
            </w:pPr>
            <w:r w:rsidRPr="00B901D7">
              <w:rPr>
                <w:szCs w:val="20"/>
              </w:rPr>
              <w:t>0.056</w:t>
            </w:r>
          </w:p>
        </w:tc>
        <w:tc>
          <w:tcPr>
            <w:tcW w:w="405" w:type="dxa"/>
            <w:noWrap/>
            <w:vAlign w:val="bottom"/>
            <w:hideMark/>
          </w:tcPr>
          <w:p w14:paraId="623981B7" w14:textId="77777777" w:rsidR="00513FDC" w:rsidRPr="00B901D7" w:rsidRDefault="00513FDC" w:rsidP="00A70798">
            <w:pPr>
              <w:rPr>
                <w:szCs w:val="20"/>
              </w:rPr>
            </w:pPr>
            <w:r w:rsidRPr="00B901D7">
              <w:rPr>
                <w:szCs w:val="20"/>
              </w:rPr>
              <w:t>b</w:t>
            </w:r>
          </w:p>
        </w:tc>
        <w:tc>
          <w:tcPr>
            <w:tcW w:w="675" w:type="dxa"/>
            <w:noWrap/>
            <w:vAlign w:val="bottom"/>
            <w:hideMark/>
          </w:tcPr>
          <w:p w14:paraId="533228A3" w14:textId="77777777" w:rsidR="00513FDC" w:rsidRPr="00B901D7" w:rsidRDefault="00513FDC" w:rsidP="00A70798">
            <w:pPr>
              <w:rPr>
                <w:szCs w:val="20"/>
              </w:rPr>
            </w:pPr>
            <w:r w:rsidRPr="00B901D7">
              <w:rPr>
                <w:szCs w:val="20"/>
              </w:rPr>
              <w:t>B</w:t>
            </w:r>
          </w:p>
        </w:tc>
        <w:tc>
          <w:tcPr>
            <w:tcW w:w="720" w:type="dxa"/>
            <w:noWrap/>
            <w:vAlign w:val="bottom"/>
            <w:hideMark/>
          </w:tcPr>
          <w:p w14:paraId="464DE947" w14:textId="77777777" w:rsidR="00513FDC" w:rsidRPr="00B901D7" w:rsidRDefault="00513FDC" w:rsidP="00A70798">
            <w:pPr>
              <w:rPr>
                <w:szCs w:val="20"/>
              </w:rPr>
            </w:pPr>
            <w:r w:rsidRPr="00B901D7">
              <w:rPr>
                <w:szCs w:val="20"/>
              </w:rPr>
              <w:t>0.068</w:t>
            </w:r>
          </w:p>
        </w:tc>
        <w:tc>
          <w:tcPr>
            <w:tcW w:w="360" w:type="dxa"/>
            <w:noWrap/>
            <w:vAlign w:val="bottom"/>
            <w:hideMark/>
          </w:tcPr>
          <w:p w14:paraId="35FB307F" w14:textId="77777777" w:rsidR="00513FDC" w:rsidRPr="00B901D7" w:rsidRDefault="00513FDC" w:rsidP="00A70798">
            <w:pPr>
              <w:rPr>
                <w:szCs w:val="20"/>
              </w:rPr>
            </w:pPr>
            <w:r w:rsidRPr="00B901D7">
              <w:rPr>
                <w:szCs w:val="20"/>
              </w:rPr>
              <w:t>c</w:t>
            </w:r>
          </w:p>
        </w:tc>
        <w:tc>
          <w:tcPr>
            <w:tcW w:w="720" w:type="dxa"/>
            <w:noWrap/>
            <w:vAlign w:val="bottom"/>
            <w:hideMark/>
          </w:tcPr>
          <w:p w14:paraId="00803A9A" w14:textId="77777777" w:rsidR="00513FDC" w:rsidRPr="00B901D7" w:rsidRDefault="00513FDC" w:rsidP="00A70798">
            <w:pPr>
              <w:rPr>
                <w:szCs w:val="20"/>
              </w:rPr>
            </w:pPr>
            <w:r w:rsidRPr="00B901D7">
              <w:rPr>
                <w:szCs w:val="20"/>
              </w:rPr>
              <w:t>A</w:t>
            </w:r>
          </w:p>
        </w:tc>
      </w:tr>
      <w:tr w:rsidR="00513FDC" w:rsidRPr="00CE3A2F" w14:paraId="49E76F75" w14:textId="77777777" w:rsidTr="00A70798">
        <w:trPr>
          <w:trHeight w:val="288"/>
          <w:jc w:val="center"/>
        </w:trPr>
        <w:tc>
          <w:tcPr>
            <w:tcW w:w="960" w:type="dxa"/>
            <w:vMerge/>
            <w:tcBorders>
              <w:bottom w:val="dotted" w:sz="4" w:space="0" w:color="auto"/>
            </w:tcBorders>
            <w:vAlign w:val="center"/>
            <w:hideMark/>
          </w:tcPr>
          <w:p w14:paraId="1CCF6E48" w14:textId="77777777" w:rsidR="00513FDC" w:rsidRPr="00B901D7" w:rsidRDefault="00513FDC" w:rsidP="00A70798">
            <w:pPr>
              <w:jc w:val="center"/>
              <w:rPr>
                <w:szCs w:val="20"/>
              </w:rPr>
            </w:pPr>
          </w:p>
        </w:tc>
        <w:tc>
          <w:tcPr>
            <w:tcW w:w="1020" w:type="dxa"/>
            <w:tcBorders>
              <w:bottom w:val="dotted" w:sz="4" w:space="0" w:color="auto"/>
            </w:tcBorders>
            <w:noWrap/>
            <w:vAlign w:val="bottom"/>
            <w:hideMark/>
          </w:tcPr>
          <w:p w14:paraId="5CC671AF" w14:textId="77777777" w:rsidR="00513FDC" w:rsidRPr="00B901D7" w:rsidRDefault="00513FDC" w:rsidP="00A70798">
            <w:pPr>
              <w:jc w:val="center"/>
              <w:rPr>
                <w:szCs w:val="20"/>
              </w:rPr>
            </w:pPr>
            <w:r w:rsidRPr="00B901D7">
              <w:rPr>
                <w:szCs w:val="20"/>
              </w:rPr>
              <w:t>60-100</w:t>
            </w:r>
          </w:p>
        </w:tc>
        <w:tc>
          <w:tcPr>
            <w:tcW w:w="666" w:type="dxa"/>
            <w:tcBorders>
              <w:bottom w:val="dotted" w:sz="4" w:space="0" w:color="auto"/>
            </w:tcBorders>
            <w:noWrap/>
            <w:vAlign w:val="bottom"/>
            <w:hideMark/>
          </w:tcPr>
          <w:p w14:paraId="440422E3" w14:textId="77777777" w:rsidR="00513FDC" w:rsidRPr="00B901D7" w:rsidRDefault="00513FDC" w:rsidP="00A70798">
            <w:pPr>
              <w:rPr>
                <w:szCs w:val="20"/>
              </w:rPr>
            </w:pPr>
            <w:r w:rsidRPr="00B901D7">
              <w:rPr>
                <w:szCs w:val="20"/>
              </w:rPr>
              <w:t>0.023</w:t>
            </w:r>
          </w:p>
        </w:tc>
        <w:tc>
          <w:tcPr>
            <w:tcW w:w="324" w:type="dxa"/>
            <w:tcBorders>
              <w:bottom w:val="dotted" w:sz="4" w:space="0" w:color="auto"/>
            </w:tcBorders>
            <w:noWrap/>
            <w:vAlign w:val="bottom"/>
            <w:hideMark/>
          </w:tcPr>
          <w:p w14:paraId="6DBB2FE9" w14:textId="77777777" w:rsidR="00513FDC" w:rsidRPr="00B901D7" w:rsidRDefault="00513FDC" w:rsidP="00A70798">
            <w:pPr>
              <w:rPr>
                <w:szCs w:val="20"/>
              </w:rPr>
            </w:pPr>
            <w:r w:rsidRPr="00B901D7">
              <w:rPr>
                <w:szCs w:val="20"/>
              </w:rPr>
              <w:t>a</w:t>
            </w:r>
          </w:p>
        </w:tc>
        <w:tc>
          <w:tcPr>
            <w:tcW w:w="630" w:type="dxa"/>
            <w:tcBorders>
              <w:bottom w:val="dotted" w:sz="4" w:space="0" w:color="auto"/>
            </w:tcBorders>
            <w:noWrap/>
            <w:vAlign w:val="bottom"/>
            <w:hideMark/>
          </w:tcPr>
          <w:p w14:paraId="4129E87E" w14:textId="77777777" w:rsidR="00513FDC" w:rsidRPr="00B901D7" w:rsidRDefault="00513FDC" w:rsidP="00A70798">
            <w:pPr>
              <w:rPr>
                <w:szCs w:val="20"/>
              </w:rPr>
            </w:pPr>
            <w:r w:rsidRPr="00B901D7">
              <w:rPr>
                <w:szCs w:val="20"/>
              </w:rPr>
              <w:t>C</w:t>
            </w:r>
          </w:p>
        </w:tc>
        <w:tc>
          <w:tcPr>
            <w:tcW w:w="720" w:type="dxa"/>
            <w:tcBorders>
              <w:bottom w:val="dotted" w:sz="4" w:space="0" w:color="auto"/>
            </w:tcBorders>
            <w:noWrap/>
            <w:vAlign w:val="bottom"/>
            <w:hideMark/>
          </w:tcPr>
          <w:p w14:paraId="7FC90482" w14:textId="77777777" w:rsidR="00513FDC" w:rsidRPr="00B901D7" w:rsidRDefault="00513FDC" w:rsidP="00A70798">
            <w:pPr>
              <w:rPr>
                <w:szCs w:val="20"/>
              </w:rPr>
            </w:pPr>
            <w:r w:rsidRPr="00B901D7">
              <w:rPr>
                <w:szCs w:val="20"/>
              </w:rPr>
              <w:t>0.041</w:t>
            </w:r>
          </w:p>
        </w:tc>
        <w:tc>
          <w:tcPr>
            <w:tcW w:w="405" w:type="dxa"/>
            <w:tcBorders>
              <w:bottom w:val="dotted" w:sz="4" w:space="0" w:color="auto"/>
            </w:tcBorders>
            <w:noWrap/>
            <w:vAlign w:val="bottom"/>
            <w:hideMark/>
          </w:tcPr>
          <w:p w14:paraId="5DBEEE27" w14:textId="77777777" w:rsidR="00513FDC" w:rsidRPr="00B901D7" w:rsidRDefault="00513FDC" w:rsidP="00A70798">
            <w:pPr>
              <w:rPr>
                <w:szCs w:val="20"/>
              </w:rPr>
            </w:pPr>
            <w:r w:rsidRPr="00B901D7">
              <w:rPr>
                <w:szCs w:val="20"/>
              </w:rPr>
              <w:t>b</w:t>
            </w:r>
          </w:p>
        </w:tc>
        <w:tc>
          <w:tcPr>
            <w:tcW w:w="675" w:type="dxa"/>
            <w:tcBorders>
              <w:bottom w:val="dotted" w:sz="4" w:space="0" w:color="auto"/>
            </w:tcBorders>
            <w:noWrap/>
            <w:vAlign w:val="bottom"/>
            <w:hideMark/>
          </w:tcPr>
          <w:p w14:paraId="00C342FC" w14:textId="77777777" w:rsidR="00513FDC" w:rsidRPr="00B901D7" w:rsidRDefault="00513FDC" w:rsidP="00A70798">
            <w:pPr>
              <w:rPr>
                <w:szCs w:val="20"/>
              </w:rPr>
            </w:pPr>
            <w:r w:rsidRPr="00B901D7">
              <w:rPr>
                <w:szCs w:val="20"/>
              </w:rPr>
              <w:t>AB</w:t>
            </w:r>
          </w:p>
        </w:tc>
        <w:tc>
          <w:tcPr>
            <w:tcW w:w="720" w:type="dxa"/>
            <w:tcBorders>
              <w:bottom w:val="dotted" w:sz="4" w:space="0" w:color="auto"/>
            </w:tcBorders>
            <w:noWrap/>
            <w:vAlign w:val="bottom"/>
            <w:hideMark/>
          </w:tcPr>
          <w:p w14:paraId="5DED77D7" w14:textId="77777777" w:rsidR="00513FDC" w:rsidRPr="00B901D7" w:rsidRDefault="00513FDC" w:rsidP="00A70798">
            <w:pPr>
              <w:rPr>
                <w:szCs w:val="20"/>
              </w:rPr>
            </w:pPr>
            <w:r w:rsidRPr="00B901D7">
              <w:rPr>
                <w:szCs w:val="20"/>
              </w:rPr>
              <w:t>0.051</w:t>
            </w:r>
          </w:p>
        </w:tc>
        <w:tc>
          <w:tcPr>
            <w:tcW w:w="360" w:type="dxa"/>
            <w:tcBorders>
              <w:bottom w:val="dotted" w:sz="4" w:space="0" w:color="auto"/>
            </w:tcBorders>
            <w:noWrap/>
            <w:vAlign w:val="bottom"/>
            <w:hideMark/>
          </w:tcPr>
          <w:p w14:paraId="7A1B5915" w14:textId="77777777" w:rsidR="00513FDC" w:rsidRPr="00B901D7" w:rsidRDefault="00513FDC" w:rsidP="00A70798">
            <w:pPr>
              <w:rPr>
                <w:szCs w:val="20"/>
              </w:rPr>
            </w:pPr>
            <w:r w:rsidRPr="00B901D7">
              <w:rPr>
                <w:szCs w:val="20"/>
              </w:rPr>
              <w:t>d</w:t>
            </w:r>
          </w:p>
        </w:tc>
        <w:tc>
          <w:tcPr>
            <w:tcW w:w="720" w:type="dxa"/>
            <w:tcBorders>
              <w:bottom w:val="dotted" w:sz="4" w:space="0" w:color="auto"/>
            </w:tcBorders>
            <w:noWrap/>
            <w:vAlign w:val="bottom"/>
            <w:hideMark/>
          </w:tcPr>
          <w:p w14:paraId="0635681A" w14:textId="77777777" w:rsidR="00513FDC" w:rsidRPr="00B901D7" w:rsidRDefault="00513FDC" w:rsidP="00A70798">
            <w:pPr>
              <w:rPr>
                <w:szCs w:val="20"/>
              </w:rPr>
            </w:pPr>
            <w:r w:rsidRPr="00B901D7">
              <w:rPr>
                <w:szCs w:val="20"/>
              </w:rPr>
              <w:t>A</w:t>
            </w:r>
          </w:p>
        </w:tc>
      </w:tr>
      <w:tr w:rsidR="00513FDC" w:rsidRPr="00CE3A2F" w14:paraId="0AEC1F1F" w14:textId="77777777" w:rsidTr="00A70798">
        <w:trPr>
          <w:trHeight w:val="288"/>
          <w:jc w:val="center"/>
        </w:trPr>
        <w:tc>
          <w:tcPr>
            <w:tcW w:w="960" w:type="dxa"/>
            <w:vMerge w:val="restart"/>
            <w:tcBorders>
              <w:top w:val="dotted" w:sz="4" w:space="0" w:color="auto"/>
              <w:bottom w:val="dotted" w:sz="4" w:space="0" w:color="auto"/>
            </w:tcBorders>
            <w:noWrap/>
            <w:vAlign w:val="center"/>
            <w:hideMark/>
          </w:tcPr>
          <w:p w14:paraId="4EABB651" w14:textId="77777777" w:rsidR="00513FDC" w:rsidRPr="00B901D7" w:rsidRDefault="00513FDC" w:rsidP="00A70798">
            <w:pPr>
              <w:jc w:val="center"/>
              <w:rPr>
                <w:szCs w:val="20"/>
              </w:rPr>
            </w:pPr>
            <w:r w:rsidRPr="00B901D7">
              <w:rPr>
                <w:szCs w:val="20"/>
              </w:rPr>
              <w:t>2012</w:t>
            </w:r>
          </w:p>
        </w:tc>
        <w:tc>
          <w:tcPr>
            <w:tcW w:w="1020" w:type="dxa"/>
            <w:tcBorders>
              <w:top w:val="dotted" w:sz="4" w:space="0" w:color="auto"/>
            </w:tcBorders>
            <w:noWrap/>
            <w:vAlign w:val="bottom"/>
            <w:hideMark/>
          </w:tcPr>
          <w:p w14:paraId="2C7E20F6" w14:textId="77777777" w:rsidR="00513FDC" w:rsidRPr="00B901D7" w:rsidRDefault="00513FDC" w:rsidP="00A70798">
            <w:pPr>
              <w:jc w:val="center"/>
              <w:rPr>
                <w:szCs w:val="20"/>
              </w:rPr>
            </w:pPr>
            <w:r w:rsidRPr="00B901D7">
              <w:rPr>
                <w:szCs w:val="20"/>
              </w:rPr>
              <w:t>0-5</w:t>
            </w:r>
          </w:p>
        </w:tc>
        <w:tc>
          <w:tcPr>
            <w:tcW w:w="666" w:type="dxa"/>
            <w:tcBorders>
              <w:top w:val="dotted" w:sz="4" w:space="0" w:color="auto"/>
            </w:tcBorders>
            <w:noWrap/>
            <w:vAlign w:val="bottom"/>
            <w:hideMark/>
          </w:tcPr>
          <w:p w14:paraId="7DC3478B" w14:textId="77777777" w:rsidR="00513FDC" w:rsidRPr="00B901D7" w:rsidRDefault="00513FDC" w:rsidP="00A70798">
            <w:pPr>
              <w:rPr>
                <w:szCs w:val="20"/>
              </w:rPr>
            </w:pPr>
            <w:r w:rsidRPr="00B901D7">
              <w:rPr>
                <w:szCs w:val="20"/>
              </w:rPr>
              <w:t>0.001</w:t>
            </w:r>
          </w:p>
        </w:tc>
        <w:tc>
          <w:tcPr>
            <w:tcW w:w="324" w:type="dxa"/>
            <w:tcBorders>
              <w:top w:val="dotted" w:sz="4" w:space="0" w:color="auto"/>
            </w:tcBorders>
            <w:noWrap/>
            <w:vAlign w:val="bottom"/>
            <w:hideMark/>
          </w:tcPr>
          <w:p w14:paraId="479C98F4" w14:textId="77777777" w:rsidR="00513FDC" w:rsidRPr="00B901D7" w:rsidRDefault="00513FDC" w:rsidP="00A70798">
            <w:pPr>
              <w:rPr>
                <w:szCs w:val="20"/>
              </w:rPr>
            </w:pPr>
            <w:r w:rsidRPr="00B901D7">
              <w:rPr>
                <w:szCs w:val="20"/>
              </w:rPr>
              <w:t>c</w:t>
            </w:r>
          </w:p>
        </w:tc>
        <w:tc>
          <w:tcPr>
            <w:tcW w:w="630" w:type="dxa"/>
            <w:tcBorders>
              <w:top w:val="dotted" w:sz="4" w:space="0" w:color="auto"/>
            </w:tcBorders>
            <w:noWrap/>
            <w:vAlign w:val="bottom"/>
            <w:hideMark/>
          </w:tcPr>
          <w:p w14:paraId="5DA4B369" w14:textId="77777777" w:rsidR="00513FDC" w:rsidRPr="00B901D7" w:rsidRDefault="00513FDC" w:rsidP="00A70798">
            <w:pPr>
              <w:rPr>
                <w:szCs w:val="20"/>
              </w:rPr>
            </w:pPr>
            <w:r w:rsidRPr="00B901D7">
              <w:rPr>
                <w:szCs w:val="20"/>
              </w:rPr>
              <w:t>A</w:t>
            </w:r>
          </w:p>
        </w:tc>
        <w:tc>
          <w:tcPr>
            <w:tcW w:w="720" w:type="dxa"/>
            <w:tcBorders>
              <w:top w:val="dotted" w:sz="4" w:space="0" w:color="auto"/>
            </w:tcBorders>
            <w:noWrap/>
            <w:vAlign w:val="bottom"/>
            <w:hideMark/>
          </w:tcPr>
          <w:p w14:paraId="1283BD22" w14:textId="77777777" w:rsidR="00513FDC" w:rsidRPr="00B901D7" w:rsidRDefault="00513FDC" w:rsidP="00A70798">
            <w:pPr>
              <w:rPr>
                <w:szCs w:val="20"/>
              </w:rPr>
            </w:pPr>
            <w:r w:rsidRPr="00B901D7">
              <w:rPr>
                <w:szCs w:val="20"/>
              </w:rPr>
              <w:t>0.000</w:t>
            </w:r>
          </w:p>
        </w:tc>
        <w:tc>
          <w:tcPr>
            <w:tcW w:w="405" w:type="dxa"/>
            <w:tcBorders>
              <w:top w:val="dotted" w:sz="4" w:space="0" w:color="auto"/>
            </w:tcBorders>
            <w:noWrap/>
            <w:vAlign w:val="bottom"/>
            <w:hideMark/>
          </w:tcPr>
          <w:p w14:paraId="62FB69BC" w14:textId="77777777" w:rsidR="00513FDC" w:rsidRPr="00B901D7" w:rsidRDefault="00513FDC" w:rsidP="00A70798">
            <w:pPr>
              <w:rPr>
                <w:szCs w:val="20"/>
              </w:rPr>
            </w:pPr>
            <w:r w:rsidRPr="00B901D7">
              <w:rPr>
                <w:szCs w:val="20"/>
              </w:rPr>
              <w:t>c</w:t>
            </w:r>
          </w:p>
        </w:tc>
        <w:tc>
          <w:tcPr>
            <w:tcW w:w="675" w:type="dxa"/>
            <w:tcBorders>
              <w:top w:val="dotted" w:sz="4" w:space="0" w:color="auto"/>
            </w:tcBorders>
            <w:noWrap/>
            <w:vAlign w:val="bottom"/>
            <w:hideMark/>
          </w:tcPr>
          <w:p w14:paraId="62144DD3" w14:textId="77777777" w:rsidR="00513FDC" w:rsidRPr="00B901D7" w:rsidRDefault="00513FDC" w:rsidP="00A70798">
            <w:pPr>
              <w:rPr>
                <w:szCs w:val="20"/>
              </w:rPr>
            </w:pPr>
            <w:r w:rsidRPr="00B901D7">
              <w:rPr>
                <w:szCs w:val="20"/>
              </w:rPr>
              <w:t>A</w:t>
            </w:r>
          </w:p>
        </w:tc>
        <w:tc>
          <w:tcPr>
            <w:tcW w:w="720" w:type="dxa"/>
            <w:tcBorders>
              <w:top w:val="dotted" w:sz="4" w:space="0" w:color="auto"/>
            </w:tcBorders>
            <w:noWrap/>
            <w:vAlign w:val="bottom"/>
            <w:hideMark/>
          </w:tcPr>
          <w:p w14:paraId="3FFA9382" w14:textId="77777777" w:rsidR="00513FDC" w:rsidRPr="00B901D7" w:rsidRDefault="00513FDC" w:rsidP="00A70798">
            <w:pPr>
              <w:rPr>
                <w:szCs w:val="20"/>
              </w:rPr>
            </w:pPr>
            <w:r w:rsidRPr="00B901D7">
              <w:rPr>
                <w:szCs w:val="20"/>
              </w:rPr>
              <w:t>0.000</w:t>
            </w:r>
          </w:p>
        </w:tc>
        <w:tc>
          <w:tcPr>
            <w:tcW w:w="360" w:type="dxa"/>
            <w:tcBorders>
              <w:top w:val="dotted" w:sz="4" w:space="0" w:color="auto"/>
            </w:tcBorders>
            <w:noWrap/>
            <w:vAlign w:val="bottom"/>
            <w:hideMark/>
          </w:tcPr>
          <w:p w14:paraId="0AF9C5BC" w14:textId="77777777" w:rsidR="00513FDC" w:rsidRPr="00B901D7" w:rsidRDefault="00513FDC" w:rsidP="00A70798">
            <w:pPr>
              <w:rPr>
                <w:szCs w:val="20"/>
              </w:rPr>
            </w:pPr>
            <w:r w:rsidRPr="00B901D7">
              <w:rPr>
                <w:szCs w:val="20"/>
              </w:rPr>
              <w:t>d</w:t>
            </w:r>
          </w:p>
        </w:tc>
        <w:tc>
          <w:tcPr>
            <w:tcW w:w="720" w:type="dxa"/>
            <w:tcBorders>
              <w:top w:val="dotted" w:sz="4" w:space="0" w:color="auto"/>
            </w:tcBorders>
            <w:noWrap/>
            <w:vAlign w:val="bottom"/>
            <w:hideMark/>
          </w:tcPr>
          <w:p w14:paraId="2B23792B" w14:textId="77777777" w:rsidR="00513FDC" w:rsidRPr="00B901D7" w:rsidRDefault="00513FDC" w:rsidP="00A70798">
            <w:pPr>
              <w:rPr>
                <w:szCs w:val="20"/>
              </w:rPr>
            </w:pPr>
            <w:r w:rsidRPr="00B901D7">
              <w:rPr>
                <w:szCs w:val="20"/>
              </w:rPr>
              <w:t>A</w:t>
            </w:r>
          </w:p>
        </w:tc>
      </w:tr>
      <w:tr w:rsidR="00513FDC" w:rsidRPr="00CE3A2F" w14:paraId="56DFA39F" w14:textId="77777777" w:rsidTr="00A70798">
        <w:trPr>
          <w:trHeight w:val="288"/>
          <w:jc w:val="center"/>
        </w:trPr>
        <w:tc>
          <w:tcPr>
            <w:tcW w:w="960" w:type="dxa"/>
            <w:vMerge/>
            <w:tcBorders>
              <w:bottom w:val="dotted" w:sz="4" w:space="0" w:color="auto"/>
            </w:tcBorders>
            <w:vAlign w:val="center"/>
            <w:hideMark/>
          </w:tcPr>
          <w:p w14:paraId="1F729A17" w14:textId="77777777" w:rsidR="00513FDC" w:rsidRPr="00B901D7" w:rsidRDefault="00513FDC" w:rsidP="00A70798">
            <w:pPr>
              <w:jc w:val="center"/>
              <w:rPr>
                <w:szCs w:val="20"/>
              </w:rPr>
            </w:pPr>
          </w:p>
        </w:tc>
        <w:tc>
          <w:tcPr>
            <w:tcW w:w="1020" w:type="dxa"/>
            <w:noWrap/>
            <w:vAlign w:val="bottom"/>
            <w:hideMark/>
          </w:tcPr>
          <w:p w14:paraId="0A8E362E" w14:textId="77777777" w:rsidR="00513FDC" w:rsidRPr="00B901D7" w:rsidRDefault="00513FDC" w:rsidP="00A70798">
            <w:pPr>
              <w:jc w:val="center"/>
              <w:rPr>
                <w:szCs w:val="20"/>
              </w:rPr>
            </w:pPr>
            <w:r w:rsidRPr="00B901D7">
              <w:rPr>
                <w:szCs w:val="20"/>
              </w:rPr>
              <w:t>5-15</w:t>
            </w:r>
          </w:p>
        </w:tc>
        <w:tc>
          <w:tcPr>
            <w:tcW w:w="666" w:type="dxa"/>
            <w:noWrap/>
            <w:vAlign w:val="bottom"/>
            <w:hideMark/>
          </w:tcPr>
          <w:p w14:paraId="0CC143AD" w14:textId="77777777" w:rsidR="00513FDC" w:rsidRPr="00B901D7" w:rsidRDefault="00513FDC" w:rsidP="00A70798">
            <w:pPr>
              <w:rPr>
                <w:szCs w:val="20"/>
              </w:rPr>
            </w:pPr>
            <w:r w:rsidRPr="00B901D7">
              <w:rPr>
                <w:szCs w:val="20"/>
              </w:rPr>
              <w:t>0.012</w:t>
            </w:r>
          </w:p>
        </w:tc>
        <w:tc>
          <w:tcPr>
            <w:tcW w:w="324" w:type="dxa"/>
            <w:noWrap/>
            <w:vAlign w:val="bottom"/>
            <w:hideMark/>
          </w:tcPr>
          <w:p w14:paraId="6D4E09D4" w14:textId="77777777" w:rsidR="00513FDC" w:rsidRPr="00B901D7" w:rsidRDefault="00513FDC" w:rsidP="00A70798">
            <w:pPr>
              <w:rPr>
                <w:szCs w:val="20"/>
              </w:rPr>
            </w:pPr>
            <w:r w:rsidRPr="00B901D7">
              <w:rPr>
                <w:szCs w:val="20"/>
              </w:rPr>
              <w:t>b</w:t>
            </w:r>
          </w:p>
        </w:tc>
        <w:tc>
          <w:tcPr>
            <w:tcW w:w="630" w:type="dxa"/>
            <w:noWrap/>
            <w:vAlign w:val="bottom"/>
            <w:hideMark/>
          </w:tcPr>
          <w:p w14:paraId="65DBFCE1" w14:textId="77777777" w:rsidR="00513FDC" w:rsidRPr="00B901D7" w:rsidRDefault="00513FDC" w:rsidP="00A70798">
            <w:pPr>
              <w:rPr>
                <w:szCs w:val="20"/>
              </w:rPr>
            </w:pPr>
            <w:r w:rsidRPr="00B901D7">
              <w:rPr>
                <w:szCs w:val="20"/>
              </w:rPr>
              <w:t>D</w:t>
            </w:r>
          </w:p>
        </w:tc>
        <w:tc>
          <w:tcPr>
            <w:tcW w:w="720" w:type="dxa"/>
            <w:noWrap/>
            <w:vAlign w:val="bottom"/>
            <w:hideMark/>
          </w:tcPr>
          <w:p w14:paraId="43812F1C" w14:textId="77777777" w:rsidR="00513FDC" w:rsidRPr="00B901D7" w:rsidRDefault="00513FDC" w:rsidP="00A70798">
            <w:pPr>
              <w:rPr>
                <w:szCs w:val="20"/>
              </w:rPr>
            </w:pPr>
            <w:r w:rsidRPr="00B901D7">
              <w:rPr>
                <w:szCs w:val="20"/>
              </w:rPr>
              <w:t>0.048</w:t>
            </w:r>
          </w:p>
        </w:tc>
        <w:tc>
          <w:tcPr>
            <w:tcW w:w="405" w:type="dxa"/>
            <w:noWrap/>
            <w:vAlign w:val="bottom"/>
            <w:hideMark/>
          </w:tcPr>
          <w:p w14:paraId="4DF92A2D" w14:textId="77777777" w:rsidR="00513FDC" w:rsidRPr="00B901D7" w:rsidRDefault="00513FDC" w:rsidP="00A70798">
            <w:pPr>
              <w:rPr>
                <w:szCs w:val="20"/>
              </w:rPr>
            </w:pPr>
            <w:r w:rsidRPr="00B901D7">
              <w:rPr>
                <w:szCs w:val="20"/>
              </w:rPr>
              <w:t>b</w:t>
            </w:r>
          </w:p>
        </w:tc>
        <w:tc>
          <w:tcPr>
            <w:tcW w:w="675" w:type="dxa"/>
            <w:noWrap/>
            <w:vAlign w:val="bottom"/>
            <w:hideMark/>
          </w:tcPr>
          <w:p w14:paraId="6AD3D47D" w14:textId="77777777" w:rsidR="00513FDC" w:rsidRPr="00B901D7" w:rsidRDefault="00513FDC" w:rsidP="00A70798">
            <w:pPr>
              <w:rPr>
                <w:szCs w:val="20"/>
              </w:rPr>
            </w:pPr>
            <w:r w:rsidRPr="00B901D7">
              <w:rPr>
                <w:szCs w:val="20"/>
              </w:rPr>
              <w:t>B</w:t>
            </w:r>
          </w:p>
        </w:tc>
        <w:tc>
          <w:tcPr>
            <w:tcW w:w="720" w:type="dxa"/>
            <w:noWrap/>
            <w:vAlign w:val="bottom"/>
            <w:hideMark/>
          </w:tcPr>
          <w:p w14:paraId="5B8BBEF0" w14:textId="77777777" w:rsidR="00513FDC" w:rsidRPr="00B901D7" w:rsidRDefault="00513FDC" w:rsidP="00A70798">
            <w:pPr>
              <w:rPr>
                <w:szCs w:val="20"/>
              </w:rPr>
            </w:pPr>
            <w:r w:rsidRPr="00B901D7">
              <w:rPr>
                <w:szCs w:val="20"/>
              </w:rPr>
              <w:t>0.061</w:t>
            </w:r>
          </w:p>
        </w:tc>
        <w:tc>
          <w:tcPr>
            <w:tcW w:w="360" w:type="dxa"/>
            <w:noWrap/>
            <w:vAlign w:val="bottom"/>
            <w:hideMark/>
          </w:tcPr>
          <w:p w14:paraId="1B28DD06" w14:textId="77777777" w:rsidR="00513FDC" w:rsidRPr="00B901D7" w:rsidRDefault="00513FDC" w:rsidP="00A70798">
            <w:pPr>
              <w:rPr>
                <w:szCs w:val="20"/>
              </w:rPr>
            </w:pPr>
            <w:r w:rsidRPr="00B901D7">
              <w:rPr>
                <w:szCs w:val="20"/>
              </w:rPr>
              <w:t>b</w:t>
            </w:r>
          </w:p>
        </w:tc>
        <w:tc>
          <w:tcPr>
            <w:tcW w:w="720" w:type="dxa"/>
            <w:noWrap/>
            <w:vAlign w:val="bottom"/>
            <w:hideMark/>
          </w:tcPr>
          <w:p w14:paraId="09B3EEDF" w14:textId="77777777" w:rsidR="00513FDC" w:rsidRPr="00B901D7" w:rsidRDefault="00513FDC" w:rsidP="00A70798">
            <w:pPr>
              <w:rPr>
                <w:szCs w:val="20"/>
              </w:rPr>
            </w:pPr>
            <w:r w:rsidRPr="00B901D7">
              <w:rPr>
                <w:szCs w:val="20"/>
              </w:rPr>
              <w:t>A</w:t>
            </w:r>
          </w:p>
        </w:tc>
      </w:tr>
      <w:tr w:rsidR="00513FDC" w:rsidRPr="00CE3A2F" w14:paraId="521A0E8B" w14:textId="77777777" w:rsidTr="00A70798">
        <w:trPr>
          <w:trHeight w:val="288"/>
          <w:jc w:val="center"/>
        </w:trPr>
        <w:tc>
          <w:tcPr>
            <w:tcW w:w="960" w:type="dxa"/>
            <w:vMerge/>
            <w:tcBorders>
              <w:bottom w:val="dotted" w:sz="4" w:space="0" w:color="auto"/>
            </w:tcBorders>
            <w:vAlign w:val="center"/>
            <w:hideMark/>
          </w:tcPr>
          <w:p w14:paraId="5C94F6F5" w14:textId="77777777" w:rsidR="00513FDC" w:rsidRPr="00B901D7" w:rsidRDefault="00513FDC" w:rsidP="00A70798">
            <w:pPr>
              <w:jc w:val="center"/>
              <w:rPr>
                <w:szCs w:val="20"/>
              </w:rPr>
            </w:pPr>
          </w:p>
        </w:tc>
        <w:tc>
          <w:tcPr>
            <w:tcW w:w="1020" w:type="dxa"/>
            <w:noWrap/>
            <w:vAlign w:val="bottom"/>
            <w:hideMark/>
          </w:tcPr>
          <w:p w14:paraId="59D2F9EE" w14:textId="77777777" w:rsidR="00513FDC" w:rsidRPr="00B901D7" w:rsidRDefault="00513FDC" w:rsidP="00A70798">
            <w:pPr>
              <w:jc w:val="center"/>
              <w:rPr>
                <w:szCs w:val="20"/>
              </w:rPr>
            </w:pPr>
            <w:r w:rsidRPr="00B901D7">
              <w:rPr>
                <w:szCs w:val="20"/>
              </w:rPr>
              <w:t>15-30</w:t>
            </w:r>
          </w:p>
        </w:tc>
        <w:tc>
          <w:tcPr>
            <w:tcW w:w="666" w:type="dxa"/>
            <w:noWrap/>
            <w:vAlign w:val="bottom"/>
            <w:hideMark/>
          </w:tcPr>
          <w:p w14:paraId="0DCB1301" w14:textId="77777777" w:rsidR="00513FDC" w:rsidRPr="00B901D7" w:rsidRDefault="00513FDC" w:rsidP="00A70798">
            <w:pPr>
              <w:rPr>
                <w:szCs w:val="20"/>
              </w:rPr>
            </w:pPr>
            <w:r w:rsidRPr="00B901D7">
              <w:rPr>
                <w:szCs w:val="20"/>
              </w:rPr>
              <w:t>0.028</w:t>
            </w:r>
          </w:p>
        </w:tc>
        <w:tc>
          <w:tcPr>
            <w:tcW w:w="324" w:type="dxa"/>
            <w:noWrap/>
            <w:vAlign w:val="bottom"/>
            <w:hideMark/>
          </w:tcPr>
          <w:p w14:paraId="42A4C449" w14:textId="77777777" w:rsidR="00513FDC" w:rsidRPr="00B901D7" w:rsidRDefault="00513FDC" w:rsidP="00A70798">
            <w:pPr>
              <w:rPr>
                <w:szCs w:val="20"/>
              </w:rPr>
            </w:pPr>
            <w:r w:rsidRPr="00B901D7">
              <w:rPr>
                <w:szCs w:val="20"/>
              </w:rPr>
              <w:t>a</w:t>
            </w:r>
          </w:p>
        </w:tc>
        <w:tc>
          <w:tcPr>
            <w:tcW w:w="630" w:type="dxa"/>
            <w:noWrap/>
            <w:vAlign w:val="bottom"/>
            <w:hideMark/>
          </w:tcPr>
          <w:p w14:paraId="460B03D4" w14:textId="77777777" w:rsidR="00513FDC" w:rsidRPr="00B901D7" w:rsidRDefault="00513FDC" w:rsidP="00A70798">
            <w:pPr>
              <w:rPr>
                <w:szCs w:val="20"/>
              </w:rPr>
            </w:pPr>
            <w:r w:rsidRPr="00B901D7">
              <w:rPr>
                <w:szCs w:val="20"/>
              </w:rPr>
              <w:t>D</w:t>
            </w:r>
          </w:p>
        </w:tc>
        <w:tc>
          <w:tcPr>
            <w:tcW w:w="720" w:type="dxa"/>
            <w:noWrap/>
            <w:vAlign w:val="bottom"/>
            <w:hideMark/>
          </w:tcPr>
          <w:p w14:paraId="2F9EB7A7" w14:textId="77777777" w:rsidR="00513FDC" w:rsidRPr="00B901D7" w:rsidRDefault="00513FDC" w:rsidP="00A70798">
            <w:pPr>
              <w:rPr>
                <w:szCs w:val="20"/>
              </w:rPr>
            </w:pPr>
            <w:r w:rsidRPr="00B901D7">
              <w:rPr>
                <w:szCs w:val="20"/>
              </w:rPr>
              <w:t>0.074</w:t>
            </w:r>
          </w:p>
        </w:tc>
        <w:tc>
          <w:tcPr>
            <w:tcW w:w="405" w:type="dxa"/>
            <w:noWrap/>
            <w:vAlign w:val="bottom"/>
            <w:hideMark/>
          </w:tcPr>
          <w:p w14:paraId="76F86120" w14:textId="77777777" w:rsidR="00513FDC" w:rsidRPr="00B901D7" w:rsidRDefault="00513FDC" w:rsidP="00A70798">
            <w:pPr>
              <w:rPr>
                <w:szCs w:val="20"/>
              </w:rPr>
            </w:pPr>
            <w:r w:rsidRPr="00B901D7">
              <w:rPr>
                <w:szCs w:val="20"/>
              </w:rPr>
              <w:t>a</w:t>
            </w:r>
          </w:p>
        </w:tc>
        <w:tc>
          <w:tcPr>
            <w:tcW w:w="675" w:type="dxa"/>
            <w:noWrap/>
            <w:vAlign w:val="bottom"/>
            <w:hideMark/>
          </w:tcPr>
          <w:p w14:paraId="31B2F233" w14:textId="77777777" w:rsidR="00513FDC" w:rsidRPr="00B901D7" w:rsidRDefault="00513FDC" w:rsidP="00A70798">
            <w:pPr>
              <w:rPr>
                <w:szCs w:val="20"/>
              </w:rPr>
            </w:pPr>
            <w:r w:rsidRPr="00B901D7">
              <w:rPr>
                <w:szCs w:val="20"/>
              </w:rPr>
              <w:t>B</w:t>
            </w:r>
          </w:p>
        </w:tc>
        <w:tc>
          <w:tcPr>
            <w:tcW w:w="720" w:type="dxa"/>
            <w:noWrap/>
            <w:vAlign w:val="bottom"/>
            <w:hideMark/>
          </w:tcPr>
          <w:p w14:paraId="390265D2" w14:textId="77777777" w:rsidR="00513FDC" w:rsidRPr="00B901D7" w:rsidRDefault="00513FDC" w:rsidP="00A70798">
            <w:pPr>
              <w:rPr>
                <w:szCs w:val="20"/>
              </w:rPr>
            </w:pPr>
            <w:r w:rsidRPr="00B901D7">
              <w:rPr>
                <w:szCs w:val="20"/>
              </w:rPr>
              <w:t>0.089</w:t>
            </w:r>
          </w:p>
        </w:tc>
        <w:tc>
          <w:tcPr>
            <w:tcW w:w="360" w:type="dxa"/>
            <w:noWrap/>
            <w:vAlign w:val="bottom"/>
            <w:hideMark/>
          </w:tcPr>
          <w:p w14:paraId="2C08F438" w14:textId="77777777" w:rsidR="00513FDC" w:rsidRPr="00B901D7" w:rsidRDefault="00513FDC" w:rsidP="00A70798">
            <w:pPr>
              <w:rPr>
                <w:szCs w:val="20"/>
              </w:rPr>
            </w:pPr>
            <w:r w:rsidRPr="00B901D7">
              <w:rPr>
                <w:szCs w:val="20"/>
              </w:rPr>
              <w:t>a</w:t>
            </w:r>
          </w:p>
        </w:tc>
        <w:tc>
          <w:tcPr>
            <w:tcW w:w="720" w:type="dxa"/>
            <w:noWrap/>
            <w:vAlign w:val="bottom"/>
            <w:hideMark/>
          </w:tcPr>
          <w:p w14:paraId="6E8DD465" w14:textId="77777777" w:rsidR="00513FDC" w:rsidRPr="00B901D7" w:rsidRDefault="00513FDC" w:rsidP="00A70798">
            <w:pPr>
              <w:rPr>
                <w:szCs w:val="20"/>
              </w:rPr>
            </w:pPr>
            <w:r w:rsidRPr="00B901D7">
              <w:rPr>
                <w:szCs w:val="20"/>
              </w:rPr>
              <w:t>A</w:t>
            </w:r>
          </w:p>
        </w:tc>
      </w:tr>
      <w:tr w:rsidR="00513FDC" w:rsidRPr="00CE3A2F" w14:paraId="7126FA02" w14:textId="77777777" w:rsidTr="00A70798">
        <w:trPr>
          <w:trHeight w:val="288"/>
          <w:jc w:val="center"/>
        </w:trPr>
        <w:tc>
          <w:tcPr>
            <w:tcW w:w="960" w:type="dxa"/>
            <w:vMerge/>
            <w:tcBorders>
              <w:bottom w:val="dotted" w:sz="4" w:space="0" w:color="auto"/>
            </w:tcBorders>
            <w:vAlign w:val="center"/>
            <w:hideMark/>
          </w:tcPr>
          <w:p w14:paraId="4CACBB0B" w14:textId="77777777" w:rsidR="00513FDC" w:rsidRPr="00B901D7" w:rsidRDefault="00513FDC" w:rsidP="00A70798">
            <w:pPr>
              <w:jc w:val="center"/>
              <w:rPr>
                <w:szCs w:val="20"/>
              </w:rPr>
            </w:pPr>
          </w:p>
        </w:tc>
        <w:tc>
          <w:tcPr>
            <w:tcW w:w="1020" w:type="dxa"/>
            <w:noWrap/>
            <w:vAlign w:val="bottom"/>
            <w:hideMark/>
          </w:tcPr>
          <w:p w14:paraId="199078F4" w14:textId="77777777" w:rsidR="00513FDC" w:rsidRPr="00B901D7" w:rsidRDefault="00513FDC" w:rsidP="00A70798">
            <w:pPr>
              <w:jc w:val="center"/>
              <w:rPr>
                <w:szCs w:val="20"/>
              </w:rPr>
            </w:pPr>
            <w:r w:rsidRPr="00B901D7">
              <w:rPr>
                <w:szCs w:val="20"/>
              </w:rPr>
              <w:t>30-60</w:t>
            </w:r>
          </w:p>
        </w:tc>
        <w:tc>
          <w:tcPr>
            <w:tcW w:w="666" w:type="dxa"/>
            <w:noWrap/>
            <w:vAlign w:val="bottom"/>
            <w:hideMark/>
          </w:tcPr>
          <w:p w14:paraId="567CE7F4" w14:textId="77777777" w:rsidR="00513FDC" w:rsidRPr="00B901D7" w:rsidRDefault="00513FDC" w:rsidP="00A70798">
            <w:pPr>
              <w:rPr>
                <w:szCs w:val="20"/>
              </w:rPr>
            </w:pPr>
            <w:r w:rsidRPr="00B901D7">
              <w:rPr>
                <w:szCs w:val="20"/>
              </w:rPr>
              <w:t>0.034</w:t>
            </w:r>
          </w:p>
        </w:tc>
        <w:tc>
          <w:tcPr>
            <w:tcW w:w="324" w:type="dxa"/>
            <w:noWrap/>
            <w:vAlign w:val="bottom"/>
            <w:hideMark/>
          </w:tcPr>
          <w:p w14:paraId="10DB6824" w14:textId="77777777" w:rsidR="00513FDC" w:rsidRPr="00B901D7" w:rsidRDefault="00513FDC" w:rsidP="00A70798">
            <w:pPr>
              <w:rPr>
                <w:szCs w:val="20"/>
              </w:rPr>
            </w:pPr>
            <w:r w:rsidRPr="00B901D7">
              <w:rPr>
                <w:szCs w:val="20"/>
              </w:rPr>
              <w:t>a</w:t>
            </w:r>
          </w:p>
        </w:tc>
        <w:tc>
          <w:tcPr>
            <w:tcW w:w="630" w:type="dxa"/>
            <w:noWrap/>
            <w:vAlign w:val="bottom"/>
            <w:hideMark/>
          </w:tcPr>
          <w:p w14:paraId="4C36E127" w14:textId="77777777" w:rsidR="00513FDC" w:rsidRPr="00B901D7" w:rsidRDefault="00513FDC" w:rsidP="00A70798">
            <w:pPr>
              <w:rPr>
                <w:szCs w:val="20"/>
              </w:rPr>
            </w:pPr>
            <w:r w:rsidRPr="00B901D7">
              <w:rPr>
                <w:szCs w:val="20"/>
              </w:rPr>
              <w:t>B</w:t>
            </w:r>
          </w:p>
        </w:tc>
        <w:tc>
          <w:tcPr>
            <w:tcW w:w="720" w:type="dxa"/>
            <w:noWrap/>
            <w:vAlign w:val="bottom"/>
            <w:hideMark/>
          </w:tcPr>
          <w:p w14:paraId="70687838" w14:textId="77777777" w:rsidR="00513FDC" w:rsidRPr="00B901D7" w:rsidRDefault="00513FDC" w:rsidP="00A70798">
            <w:pPr>
              <w:rPr>
                <w:szCs w:val="20"/>
              </w:rPr>
            </w:pPr>
            <w:r w:rsidRPr="00B901D7">
              <w:rPr>
                <w:szCs w:val="20"/>
              </w:rPr>
              <w:t>0.058</w:t>
            </w:r>
          </w:p>
        </w:tc>
        <w:tc>
          <w:tcPr>
            <w:tcW w:w="405" w:type="dxa"/>
            <w:noWrap/>
            <w:vAlign w:val="bottom"/>
            <w:hideMark/>
          </w:tcPr>
          <w:p w14:paraId="72D9017D" w14:textId="77777777" w:rsidR="00513FDC" w:rsidRPr="00B901D7" w:rsidRDefault="00513FDC" w:rsidP="00A70798">
            <w:pPr>
              <w:rPr>
                <w:szCs w:val="20"/>
              </w:rPr>
            </w:pPr>
            <w:r w:rsidRPr="00B901D7">
              <w:rPr>
                <w:szCs w:val="20"/>
              </w:rPr>
              <w:t>b</w:t>
            </w:r>
          </w:p>
        </w:tc>
        <w:tc>
          <w:tcPr>
            <w:tcW w:w="675" w:type="dxa"/>
            <w:noWrap/>
            <w:vAlign w:val="bottom"/>
            <w:hideMark/>
          </w:tcPr>
          <w:p w14:paraId="0A1B1013" w14:textId="77777777" w:rsidR="00513FDC" w:rsidRPr="00B901D7" w:rsidRDefault="00513FDC" w:rsidP="00A70798">
            <w:pPr>
              <w:rPr>
                <w:szCs w:val="20"/>
              </w:rPr>
            </w:pPr>
            <w:r w:rsidRPr="00B901D7">
              <w:rPr>
                <w:szCs w:val="20"/>
              </w:rPr>
              <w:t>A</w:t>
            </w:r>
          </w:p>
        </w:tc>
        <w:tc>
          <w:tcPr>
            <w:tcW w:w="720" w:type="dxa"/>
            <w:noWrap/>
            <w:vAlign w:val="bottom"/>
            <w:hideMark/>
          </w:tcPr>
          <w:p w14:paraId="4B445F86" w14:textId="77777777" w:rsidR="00513FDC" w:rsidRPr="00B901D7" w:rsidRDefault="00513FDC" w:rsidP="00A70798">
            <w:pPr>
              <w:rPr>
                <w:szCs w:val="20"/>
              </w:rPr>
            </w:pPr>
            <w:r w:rsidRPr="00B901D7">
              <w:rPr>
                <w:szCs w:val="20"/>
              </w:rPr>
              <w:t>0.041</w:t>
            </w:r>
          </w:p>
        </w:tc>
        <w:tc>
          <w:tcPr>
            <w:tcW w:w="360" w:type="dxa"/>
            <w:noWrap/>
            <w:vAlign w:val="bottom"/>
            <w:hideMark/>
          </w:tcPr>
          <w:p w14:paraId="1911817B" w14:textId="77777777" w:rsidR="00513FDC" w:rsidRPr="00B901D7" w:rsidRDefault="00513FDC" w:rsidP="00A70798">
            <w:pPr>
              <w:rPr>
                <w:szCs w:val="20"/>
              </w:rPr>
            </w:pPr>
            <w:r w:rsidRPr="00B901D7">
              <w:rPr>
                <w:szCs w:val="20"/>
              </w:rPr>
              <w:t>c</w:t>
            </w:r>
          </w:p>
        </w:tc>
        <w:tc>
          <w:tcPr>
            <w:tcW w:w="720" w:type="dxa"/>
            <w:noWrap/>
            <w:vAlign w:val="bottom"/>
            <w:hideMark/>
          </w:tcPr>
          <w:p w14:paraId="4FA11171" w14:textId="77777777" w:rsidR="00513FDC" w:rsidRPr="00B901D7" w:rsidRDefault="00513FDC" w:rsidP="00A70798">
            <w:pPr>
              <w:rPr>
                <w:szCs w:val="20"/>
              </w:rPr>
            </w:pPr>
            <w:r w:rsidRPr="00B901D7">
              <w:rPr>
                <w:szCs w:val="20"/>
              </w:rPr>
              <w:t>B</w:t>
            </w:r>
          </w:p>
        </w:tc>
      </w:tr>
      <w:tr w:rsidR="00513FDC" w:rsidRPr="00CE3A2F" w14:paraId="22968510" w14:textId="77777777" w:rsidTr="00A70798">
        <w:trPr>
          <w:trHeight w:val="288"/>
          <w:jc w:val="center"/>
        </w:trPr>
        <w:tc>
          <w:tcPr>
            <w:tcW w:w="960" w:type="dxa"/>
            <w:vMerge/>
            <w:tcBorders>
              <w:bottom w:val="dotted" w:sz="4" w:space="0" w:color="auto"/>
            </w:tcBorders>
            <w:vAlign w:val="center"/>
            <w:hideMark/>
          </w:tcPr>
          <w:p w14:paraId="7F521662" w14:textId="77777777" w:rsidR="00513FDC" w:rsidRPr="00B901D7" w:rsidRDefault="00513FDC" w:rsidP="00A70798">
            <w:pPr>
              <w:jc w:val="center"/>
              <w:rPr>
                <w:szCs w:val="20"/>
              </w:rPr>
            </w:pPr>
          </w:p>
        </w:tc>
        <w:tc>
          <w:tcPr>
            <w:tcW w:w="1020" w:type="dxa"/>
            <w:tcBorders>
              <w:bottom w:val="dotted" w:sz="4" w:space="0" w:color="auto"/>
            </w:tcBorders>
            <w:noWrap/>
            <w:vAlign w:val="bottom"/>
            <w:hideMark/>
          </w:tcPr>
          <w:p w14:paraId="0B31B0F4" w14:textId="77777777" w:rsidR="00513FDC" w:rsidRPr="00B901D7" w:rsidRDefault="00513FDC" w:rsidP="00A70798">
            <w:pPr>
              <w:jc w:val="center"/>
              <w:rPr>
                <w:szCs w:val="20"/>
              </w:rPr>
            </w:pPr>
            <w:r w:rsidRPr="00B901D7">
              <w:rPr>
                <w:szCs w:val="20"/>
              </w:rPr>
              <w:t>60-100</w:t>
            </w:r>
          </w:p>
        </w:tc>
        <w:tc>
          <w:tcPr>
            <w:tcW w:w="666" w:type="dxa"/>
            <w:tcBorders>
              <w:bottom w:val="dotted" w:sz="4" w:space="0" w:color="auto"/>
            </w:tcBorders>
            <w:noWrap/>
            <w:vAlign w:val="bottom"/>
            <w:hideMark/>
          </w:tcPr>
          <w:p w14:paraId="0C5E4428" w14:textId="77777777" w:rsidR="00513FDC" w:rsidRPr="00B901D7" w:rsidRDefault="00513FDC" w:rsidP="00A70798">
            <w:pPr>
              <w:rPr>
                <w:szCs w:val="20"/>
              </w:rPr>
            </w:pPr>
            <w:r w:rsidRPr="00B901D7">
              <w:rPr>
                <w:szCs w:val="20"/>
              </w:rPr>
              <w:t>0.033</w:t>
            </w:r>
          </w:p>
        </w:tc>
        <w:tc>
          <w:tcPr>
            <w:tcW w:w="324" w:type="dxa"/>
            <w:tcBorders>
              <w:bottom w:val="dotted" w:sz="4" w:space="0" w:color="auto"/>
            </w:tcBorders>
            <w:noWrap/>
            <w:vAlign w:val="bottom"/>
            <w:hideMark/>
          </w:tcPr>
          <w:p w14:paraId="176958E6" w14:textId="77777777" w:rsidR="00513FDC" w:rsidRPr="00B901D7" w:rsidRDefault="00513FDC" w:rsidP="00A70798">
            <w:pPr>
              <w:rPr>
                <w:szCs w:val="20"/>
              </w:rPr>
            </w:pPr>
            <w:r w:rsidRPr="00B901D7">
              <w:rPr>
                <w:szCs w:val="20"/>
              </w:rPr>
              <w:t>a</w:t>
            </w:r>
          </w:p>
        </w:tc>
        <w:tc>
          <w:tcPr>
            <w:tcW w:w="630" w:type="dxa"/>
            <w:tcBorders>
              <w:bottom w:val="dotted" w:sz="4" w:space="0" w:color="auto"/>
            </w:tcBorders>
            <w:noWrap/>
            <w:vAlign w:val="bottom"/>
            <w:hideMark/>
          </w:tcPr>
          <w:p w14:paraId="3F842308" w14:textId="77777777" w:rsidR="00513FDC" w:rsidRPr="00B901D7" w:rsidRDefault="00513FDC" w:rsidP="00A70798">
            <w:pPr>
              <w:rPr>
                <w:szCs w:val="20"/>
              </w:rPr>
            </w:pPr>
            <w:r w:rsidRPr="00B901D7">
              <w:rPr>
                <w:szCs w:val="20"/>
              </w:rPr>
              <w:t>D</w:t>
            </w:r>
          </w:p>
        </w:tc>
        <w:tc>
          <w:tcPr>
            <w:tcW w:w="720" w:type="dxa"/>
            <w:tcBorders>
              <w:bottom w:val="dotted" w:sz="4" w:space="0" w:color="auto"/>
            </w:tcBorders>
            <w:noWrap/>
            <w:vAlign w:val="bottom"/>
            <w:hideMark/>
          </w:tcPr>
          <w:p w14:paraId="4B40BB94" w14:textId="77777777" w:rsidR="00513FDC" w:rsidRPr="00B901D7" w:rsidRDefault="00513FDC" w:rsidP="00A70798">
            <w:pPr>
              <w:rPr>
                <w:szCs w:val="20"/>
              </w:rPr>
            </w:pPr>
            <w:r w:rsidRPr="00B901D7">
              <w:rPr>
                <w:szCs w:val="20"/>
              </w:rPr>
              <w:t>0.056</w:t>
            </w:r>
          </w:p>
        </w:tc>
        <w:tc>
          <w:tcPr>
            <w:tcW w:w="405" w:type="dxa"/>
            <w:tcBorders>
              <w:bottom w:val="dotted" w:sz="4" w:space="0" w:color="auto"/>
            </w:tcBorders>
            <w:noWrap/>
            <w:vAlign w:val="bottom"/>
            <w:hideMark/>
          </w:tcPr>
          <w:p w14:paraId="0D68F629" w14:textId="77777777" w:rsidR="00513FDC" w:rsidRPr="00B901D7" w:rsidRDefault="00513FDC" w:rsidP="00A70798">
            <w:pPr>
              <w:rPr>
                <w:szCs w:val="20"/>
              </w:rPr>
            </w:pPr>
            <w:r w:rsidRPr="00B901D7">
              <w:rPr>
                <w:szCs w:val="20"/>
              </w:rPr>
              <w:t>b</w:t>
            </w:r>
          </w:p>
        </w:tc>
        <w:tc>
          <w:tcPr>
            <w:tcW w:w="675" w:type="dxa"/>
            <w:tcBorders>
              <w:bottom w:val="dotted" w:sz="4" w:space="0" w:color="auto"/>
            </w:tcBorders>
            <w:noWrap/>
            <w:vAlign w:val="bottom"/>
            <w:hideMark/>
          </w:tcPr>
          <w:p w14:paraId="0EB82AC2" w14:textId="77777777" w:rsidR="00513FDC" w:rsidRPr="00B901D7" w:rsidRDefault="00513FDC" w:rsidP="00A70798">
            <w:pPr>
              <w:rPr>
                <w:szCs w:val="20"/>
              </w:rPr>
            </w:pPr>
            <w:r w:rsidRPr="00B901D7">
              <w:rPr>
                <w:szCs w:val="20"/>
              </w:rPr>
              <w:t>B</w:t>
            </w:r>
          </w:p>
        </w:tc>
        <w:tc>
          <w:tcPr>
            <w:tcW w:w="720" w:type="dxa"/>
            <w:tcBorders>
              <w:bottom w:val="dotted" w:sz="4" w:space="0" w:color="auto"/>
            </w:tcBorders>
            <w:noWrap/>
            <w:vAlign w:val="bottom"/>
            <w:hideMark/>
          </w:tcPr>
          <w:p w14:paraId="4A4D203B" w14:textId="77777777" w:rsidR="00513FDC" w:rsidRPr="00B901D7" w:rsidRDefault="00513FDC" w:rsidP="00A70798">
            <w:pPr>
              <w:rPr>
                <w:szCs w:val="20"/>
              </w:rPr>
            </w:pPr>
            <w:r w:rsidRPr="00B901D7">
              <w:rPr>
                <w:szCs w:val="20"/>
              </w:rPr>
              <w:t>0.068</w:t>
            </w:r>
          </w:p>
        </w:tc>
        <w:tc>
          <w:tcPr>
            <w:tcW w:w="360" w:type="dxa"/>
            <w:tcBorders>
              <w:bottom w:val="dotted" w:sz="4" w:space="0" w:color="auto"/>
            </w:tcBorders>
            <w:noWrap/>
            <w:vAlign w:val="bottom"/>
            <w:hideMark/>
          </w:tcPr>
          <w:p w14:paraId="0BDA436A" w14:textId="77777777" w:rsidR="00513FDC" w:rsidRPr="00B901D7" w:rsidRDefault="00513FDC" w:rsidP="00A70798">
            <w:pPr>
              <w:rPr>
                <w:szCs w:val="20"/>
              </w:rPr>
            </w:pPr>
            <w:r w:rsidRPr="00B901D7">
              <w:rPr>
                <w:szCs w:val="20"/>
              </w:rPr>
              <w:t>b</w:t>
            </w:r>
          </w:p>
        </w:tc>
        <w:tc>
          <w:tcPr>
            <w:tcW w:w="720" w:type="dxa"/>
            <w:tcBorders>
              <w:bottom w:val="dotted" w:sz="4" w:space="0" w:color="auto"/>
            </w:tcBorders>
            <w:noWrap/>
            <w:vAlign w:val="bottom"/>
            <w:hideMark/>
          </w:tcPr>
          <w:p w14:paraId="4F58F407" w14:textId="77777777" w:rsidR="00513FDC" w:rsidRPr="00B901D7" w:rsidRDefault="00513FDC" w:rsidP="00A70798">
            <w:pPr>
              <w:rPr>
                <w:szCs w:val="20"/>
              </w:rPr>
            </w:pPr>
            <w:r w:rsidRPr="00B901D7">
              <w:rPr>
                <w:szCs w:val="20"/>
              </w:rPr>
              <w:t>A</w:t>
            </w:r>
          </w:p>
        </w:tc>
      </w:tr>
      <w:tr w:rsidR="00513FDC" w:rsidRPr="00CE3A2F" w14:paraId="2EF5509D" w14:textId="77777777" w:rsidTr="00A70798">
        <w:trPr>
          <w:trHeight w:val="288"/>
          <w:jc w:val="center"/>
        </w:trPr>
        <w:tc>
          <w:tcPr>
            <w:tcW w:w="960" w:type="dxa"/>
            <w:vMerge w:val="restart"/>
            <w:tcBorders>
              <w:top w:val="dotted" w:sz="4" w:space="0" w:color="auto"/>
              <w:bottom w:val="single" w:sz="4" w:space="0" w:color="auto"/>
            </w:tcBorders>
            <w:noWrap/>
            <w:vAlign w:val="center"/>
            <w:hideMark/>
          </w:tcPr>
          <w:p w14:paraId="037B8C76" w14:textId="77777777" w:rsidR="00513FDC" w:rsidRPr="00B901D7" w:rsidRDefault="00513FDC" w:rsidP="00A70798">
            <w:pPr>
              <w:jc w:val="center"/>
              <w:rPr>
                <w:szCs w:val="20"/>
              </w:rPr>
            </w:pPr>
            <w:r w:rsidRPr="00B901D7">
              <w:rPr>
                <w:szCs w:val="20"/>
              </w:rPr>
              <w:t>2013</w:t>
            </w:r>
          </w:p>
        </w:tc>
        <w:tc>
          <w:tcPr>
            <w:tcW w:w="1020" w:type="dxa"/>
            <w:tcBorders>
              <w:top w:val="dotted" w:sz="4" w:space="0" w:color="auto"/>
            </w:tcBorders>
            <w:noWrap/>
            <w:vAlign w:val="bottom"/>
            <w:hideMark/>
          </w:tcPr>
          <w:p w14:paraId="35C82F95" w14:textId="77777777" w:rsidR="00513FDC" w:rsidRPr="00B901D7" w:rsidRDefault="00513FDC" w:rsidP="00A70798">
            <w:pPr>
              <w:jc w:val="center"/>
              <w:rPr>
                <w:szCs w:val="20"/>
              </w:rPr>
            </w:pPr>
            <w:r w:rsidRPr="00B901D7">
              <w:rPr>
                <w:szCs w:val="20"/>
              </w:rPr>
              <w:t>0-5</w:t>
            </w:r>
          </w:p>
        </w:tc>
        <w:tc>
          <w:tcPr>
            <w:tcW w:w="666" w:type="dxa"/>
            <w:tcBorders>
              <w:top w:val="dotted" w:sz="4" w:space="0" w:color="auto"/>
            </w:tcBorders>
            <w:noWrap/>
            <w:vAlign w:val="bottom"/>
            <w:hideMark/>
          </w:tcPr>
          <w:p w14:paraId="5BD6411E" w14:textId="77777777" w:rsidR="00513FDC" w:rsidRPr="00B901D7" w:rsidRDefault="00513FDC" w:rsidP="00A70798">
            <w:pPr>
              <w:rPr>
                <w:szCs w:val="20"/>
              </w:rPr>
            </w:pPr>
            <w:r w:rsidRPr="00B901D7">
              <w:rPr>
                <w:szCs w:val="20"/>
              </w:rPr>
              <w:t>0.000</w:t>
            </w:r>
          </w:p>
        </w:tc>
        <w:tc>
          <w:tcPr>
            <w:tcW w:w="324" w:type="dxa"/>
            <w:tcBorders>
              <w:top w:val="dotted" w:sz="4" w:space="0" w:color="auto"/>
            </w:tcBorders>
            <w:noWrap/>
            <w:vAlign w:val="bottom"/>
            <w:hideMark/>
          </w:tcPr>
          <w:p w14:paraId="458CFB82" w14:textId="77777777" w:rsidR="00513FDC" w:rsidRPr="00B901D7" w:rsidRDefault="00513FDC" w:rsidP="00A70798">
            <w:pPr>
              <w:rPr>
                <w:szCs w:val="20"/>
              </w:rPr>
            </w:pPr>
            <w:r w:rsidRPr="00B901D7">
              <w:rPr>
                <w:szCs w:val="20"/>
              </w:rPr>
              <w:t>b</w:t>
            </w:r>
          </w:p>
        </w:tc>
        <w:tc>
          <w:tcPr>
            <w:tcW w:w="630" w:type="dxa"/>
            <w:tcBorders>
              <w:top w:val="dotted" w:sz="4" w:space="0" w:color="auto"/>
            </w:tcBorders>
            <w:noWrap/>
            <w:vAlign w:val="bottom"/>
            <w:hideMark/>
          </w:tcPr>
          <w:p w14:paraId="4C997B60" w14:textId="77777777" w:rsidR="00513FDC" w:rsidRPr="00B901D7" w:rsidRDefault="00513FDC" w:rsidP="00A70798">
            <w:pPr>
              <w:rPr>
                <w:szCs w:val="20"/>
              </w:rPr>
            </w:pPr>
            <w:r w:rsidRPr="00B901D7">
              <w:rPr>
                <w:szCs w:val="20"/>
              </w:rPr>
              <w:t>A</w:t>
            </w:r>
          </w:p>
        </w:tc>
        <w:tc>
          <w:tcPr>
            <w:tcW w:w="720" w:type="dxa"/>
            <w:tcBorders>
              <w:top w:val="dotted" w:sz="4" w:space="0" w:color="auto"/>
            </w:tcBorders>
            <w:noWrap/>
            <w:vAlign w:val="bottom"/>
            <w:hideMark/>
          </w:tcPr>
          <w:p w14:paraId="371EE0DA" w14:textId="77777777" w:rsidR="00513FDC" w:rsidRPr="00B901D7" w:rsidRDefault="00513FDC" w:rsidP="00A70798">
            <w:pPr>
              <w:rPr>
                <w:szCs w:val="20"/>
              </w:rPr>
            </w:pPr>
            <w:r w:rsidRPr="00B901D7">
              <w:rPr>
                <w:szCs w:val="20"/>
              </w:rPr>
              <w:t>0.000</w:t>
            </w:r>
          </w:p>
        </w:tc>
        <w:tc>
          <w:tcPr>
            <w:tcW w:w="405" w:type="dxa"/>
            <w:tcBorders>
              <w:top w:val="dotted" w:sz="4" w:space="0" w:color="auto"/>
            </w:tcBorders>
            <w:noWrap/>
            <w:vAlign w:val="bottom"/>
            <w:hideMark/>
          </w:tcPr>
          <w:p w14:paraId="36A4CFE8" w14:textId="77777777" w:rsidR="00513FDC" w:rsidRPr="00B901D7" w:rsidRDefault="00513FDC" w:rsidP="00A70798">
            <w:pPr>
              <w:rPr>
                <w:szCs w:val="20"/>
              </w:rPr>
            </w:pPr>
            <w:r w:rsidRPr="00B901D7">
              <w:rPr>
                <w:szCs w:val="20"/>
              </w:rPr>
              <w:t>e</w:t>
            </w:r>
          </w:p>
        </w:tc>
        <w:tc>
          <w:tcPr>
            <w:tcW w:w="675" w:type="dxa"/>
            <w:tcBorders>
              <w:top w:val="dotted" w:sz="4" w:space="0" w:color="auto"/>
            </w:tcBorders>
            <w:noWrap/>
            <w:vAlign w:val="bottom"/>
            <w:hideMark/>
          </w:tcPr>
          <w:p w14:paraId="6BC8C069" w14:textId="77777777" w:rsidR="00513FDC" w:rsidRPr="00B901D7" w:rsidRDefault="00513FDC" w:rsidP="00A70798">
            <w:pPr>
              <w:rPr>
                <w:szCs w:val="20"/>
              </w:rPr>
            </w:pPr>
            <w:r w:rsidRPr="00B901D7">
              <w:rPr>
                <w:szCs w:val="20"/>
              </w:rPr>
              <w:t>A</w:t>
            </w:r>
          </w:p>
        </w:tc>
        <w:tc>
          <w:tcPr>
            <w:tcW w:w="720" w:type="dxa"/>
            <w:tcBorders>
              <w:top w:val="dotted" w:sz="4" w:space="0" w:color="auto"/>
            </w:tcBorders>
            <w:noWrap/>
            <w:vAlign w:val="bottom"/>
            <w:hideMark/>
          </w:tcPr>
          <w:p w14:paraId="0F8A60C7" w14:textId="77777777" w:rsidR="00513FDC" w:rsidRPr="00B901D7" w:rsidRDefault="00513FDC" w:rsidP="00A70798">
            <w:pPr>
              <w:rPr>
                <w:szCs w:val="20"/>
              </w:rPr>
            </w:pPr>
            <w:r w:rsidRPr="00B901D7">
              <w:rPr>
                <w:szCs w:val="20"/>
              </w:rPr>
              <w:t>0.000</w:t>
            </w:r>
          </w:p>
        </w:tc>
        <w:tc>
          <w:tcPr>
            <w:tcW w:w="360" w:type="dxa"/>
            <w:tcBorders>
              <w:top w:val="dotted" w:sz="4" w:space="0" w:color="auto"/>
            </w:tcBorders>
            <w:noWrap/>
            <w:vAlign w:val="bottom"/>
            <w:hideMark/>
          </w:tcPr>
          <w:p w14:paraId="4AAF63AC" w14:textId="77777777" w:rsidR="00513FDC" w:rsidRPr="00B901D7" w:rsidRDefault="00513FDC" w:rsidP="00A70798">
            <w:pPr>
              <w:rPr>
                <w:szCs w:val="20"/>
              </w:rPr>
            </w:pPr>
            <w:r w:rsidRPr="00B901D7">
              <w:rPr>
                <w:szCs w:val="20"/>
              </w:rPr>
              <w:t>c</w:t>
            </w:r>
          </w:p>
        </w:tc>
        <w:tc>
          <w:tcPr>
            <w:tcW w:w="720" w:type="dxa"/>
            <w:tcBorders>
              <w:top w:val="dotted" w:sz="4" w:space="0" w:color="auto"/>
            </w:tcBorders>
            <w:noWrap/>
            <w:vAlign w:val="bottom"/>
            <w:hideMark/>
          </w:tcPr>
          <w:p w14:paraId="458F8BDC" w14:textId="77777777" w:rsidR="00513FDC" w:rsidRPr="00B901D7" w:rsidRDefault="00513FDC" w:rsidP="00A70798">
            <w:pPr>
              <w:rPr>
                <w:szCs w:val="20"/>
              </w:rPr>
            </w:pPr>
            <w:r w:rsidRPr="00B901D7">
              <w:rPr>
                <w:szCs w:val="20"/>
              </w:rPr>
              <w:t>A</w:t>
            </w:r>
          </w:p>
        </w:tc>
      </w:tr>
      <w:tr w:rsidR="00513FDC" w:rsidRPr="00CE3A2F" w14:paraId="070C97D6" w14:textId="77777777" w:rsidTr="00A70798">
        <w:trPr>
          <w:trHeight w:val="288"/>
          <w:jc w:val="center"/>
        </w:trPr>
        <w:tc>
          <w:tcPr>
            <w:tcW w:w="960" w:type="dxa"/>
            <w:vMerge/>
            <w:tcBorders>
              <w:bottom w:val="single" w:sz="4" w:space="0" w:color="auto"/>
            </w:tcBorders>
            <w:vAlign w:val="center"/>
            <w:hideMark/>
          </w:tcPr>
          <w:p w14:paraId="14225AC6" w14:textId="77777777" w:rsidR="00513FDC" w:rsidRPr="00B901D7" w:rsidRDefault="00513FDC" w:rsidP="00A70798">
            <w:pPr>
              <w:rPr>
                <w:szCs w:val="20"/>
              </w:rPr>
            </w:pPr>
          </w:p>
        </w:tc>
        <w:tc>
          <w:tcPr>
            <w:tcW w:w="1020" w:type="dxa"/>
            <w:noWrap/>
            <w:vAlign w:val="bottom"/>
            <w:hideMark/>
          </w:tcPr>
          <w:p w14:paraId="05011934" w14:textId="77777777" w:rsidR="00513FDC" w:rsidRPr="00B901D7" w:rsidRDefault="00513FDC" w:rsidP="00A70798">
            <w:pPr>
              <w:jc w:val="center"/>
              <w:rPr>
                <w:szCs w:val="20"/>
              </w:rPr>
            </w:pPr>
            <w:r w:rsidRPr="00B901D7">
              <w:rPr>
                <w:szCs w:val="20"/>
              </w:rPr>
              <w:t>5-15</w:t>
            </w:r>
          </w:p>
        </w:tc>
        <w:tc>
          <w:tcPr>
            <w:tcW w:w="666" w:type="dxa"/>
            <w:noWrap/>
            <w:vAlign w:val="bottom"/>
            <w:hideMark/>
          </w:tcPr>
          <w:p w14:paraId="16308702" w14:textId="77777777" w:rsidR="00513FDC" w:rsidRPr="00B901D7" w:rsidRDefault="00513FDC" w:rsidP="00A70798">
            <w:pPr>
              <w:rPr>
                <w:szCs w:val="20"/>
              </w:rPr>
            </w:pPr>
            <w:r w:rsidRPr="00B901D7">
              <w:rPr>
                <w:szCs w:val="20"/>
              </w:rPr>
              <w:t>0.005</w:t>
            </w:r>
          </w:p>
        </w:tc>
        <w:tc>
          <w:tcPr>
            <w:tcW w:w="324" w:type="dxa"/>
            <w:noWrap/>
            <w:vAlign w:val="bottom"/>
            <w:hideMark/>
          </w:tcPr>
          <w:p w14:paraId="5EB80428" w14:textId="77777777" w:rsidR="00513FDC" w:rsidRPr="00B901D7" w:rsidRDefault="00513FDC" w:rsidP="00A70798">
            <w:pPr>
              <w:rPr>
                <w:szCs w:val="20"/>
              </w:rPr>
            </w:pPr>
            <w:r w:rsidRPr="00B901D7">
              <w:rPr>
                <w:szCs w:val="20"/>
              </w:rPr>
              <w:t>b</w:t>
            </w:r>
          </w:p>
        </w:tc>
        <w:tc>
          <w:tcPr>
            <w:tcW w:w="630" w:type="dxa"/>
            <w:noWrap/>
            <w:vAlign w:val="bottom"/>
            <w:hideMark/>
          </w:tcPr>
          <w:p w14:paraId="548467B8" w14:textId="77777777" w:rsidR="00513FDC" w:rsidRPr="00B901D7" w:rsidRDefault="00513FDC" w:rsidP="00A70798">
            <w:pPr>
              <w:rPr>
                <w:szCs w:val="20"/>
              </w:rPr>
            </w:pPr>
            <w:r w:rsidRPr="00B901D7">
              <w:rPr>
                <w:szCs w:val="20"/>
              </w:rPr>
              <w:t>B</w:t>
            </w:r>
          </w:p>
        </w:tc>
        <w:tc>
          <w:tcPr>
            <w:tcW w:w="720" w:type="dxa"/>
            <w:noWrap/>
            <w:vAlign w:val="bottom"/>
            <w:hideMark/>
          </w:tcPr>
          <w:p w14:paraId="768BDAFA" w14:textId="77777777" w:rsidR="00513FDC" w:rsidRPr="00B901D7" w:rsidRDefault="00513FDC" w:rsidP="00A70798">
            <w:pPr>
              <w:rPr>
                <w:szCs w:val="20"/>
              </w:rPr>
            </w:pPr>
            <w:r w:rsidRPr="00B901D7">
              <w:rPr>
                <w:szCs w:val="20"/>
              </w:rPr>
              <w:t>0.019</w:t>
            </w:r>
          </w:p>
        </w:tc>
        <w:tc>
          <w:tcPr>
            <w:tcW w:w="405" w:type="dxa"/>
            <w:noWrap/>
            <w:vAlign w:val="bottom"/>
            <w:hideMark/>
          </w:tcPr>
          <w:p w14:paraId="6E5CA08E" w14:textId="77777777" w:rsidR="00513FDC" w:rsidRPr="00B901D7" w:rsidRDefault="00513FDC" w:rsidP="00A70798">
            <w:pPr>
              <w:rPr>
                <w:szCs w:val="20"/>
              </w:rPr>
            </w:pPr>
            <w:r w:rsidRPr="00B901D7">
              <w:rPr>
                <w:szCs w:val="20"/>
              </w:rPr>
              <w:t>d</w:t>
            </w:r>
          </w:p>
        </w:tc>
        <w:tc>
          <w:tcPr>
            <w:tcW w:w="675" w:type="dxa"/>
            <w:noWrap/>
            <w:vAlign w:val="bottom"/>
            <w:hideMark/>
          </w:tcPr>
          <w:p w14:paraId="72884B9D" w14:textId="77777777" w:rsidR="00513FDC" w:rsidRPr="00B901D7" w:rsidRDefault="00513FDC" w:rsidP="00A70798">
            <w:pPr>
              <w:rPr>
                <w:szCs w:val="20"/>
              </w:rPr>
            </w:pPr>
            <w:r w:rsidRPr="00B901D7">
              <w:rPr>
                <w:szCs w:val="20"/>
              </w:rPr>
              <w:t>A</w:t>
            </w:r>
          </w:p>
        </w:tc>
        <w:tc>
          <w:tcPr>
            <w:tcW w:w="720" w:type="dxa"/>
            <w:noWrap/>
            <w:vAlign w:val="bottom"/>
            <w:hideMark/>
          </w:tcPr>
          <w:p w14:paraId="71C9B2C1" w14:textId="77777777" w:rsidR="00513FDC" w:rsidRPr="00B901D7" w:rsidRDefault="00513FDC" w:rsidP="00A70798">
            <w:pPr>
              <w:rPr>
                <w:szCs w:val="20"/>
              </w:rPr>
            </w:pPr>
            <w:r w:rsidRPr="00B901D7">
              <w:rPr>
                <w:szCs w:val="20"/>
              </w:rPr>
              <w:t>0.023</w:t>
            </w:r>
          </w:p>
        </w:tc>
        <w:tc>
          <w:tcPr>
            <w:tcW w:w="360" w:type="dxa"/>
            <w:noWrap/>
            <w:vAlign w:val="bottom"/>
            <w:hideMark/>
          </w:tcPr>
          <w:p w14:paraId="61DB8588" w14:textId="77777777" w:rsidR="00513FDC" w:rsidRPr="00B901D7" w:rsidRDefault="00513FDC" w:rsidP="00A70798">
            <w:pPr>
              <w:rPr>
                <w:szCs w:val="20"/>
              </w:rPr>
            </w:pPr>
            <w:r w:rsidRPr="00B901D7">
              <w:rPr>
                <w:szCs w:val="20"/>
              </w:rPr>
              <w:t>b</w:t>
            </w:r>
          </w:p>
        </w:tc>
        <w:tc>
          <w:tcPr>
            <w:tcW w:w="720" w:type="dxa"/>
            <w:noWrap/>
            <w:vAlign w:val="bottom"/>
            <w:hideMark/>
          </w:tcPr>
          <w:p w14:paraId="3D9E9024" w14:textId="77777777" w:rsidR="00513FDC" w:rsidRPr="00B901D7" w:rsidRDefault="00513FDC" w:rsidP="00A70798">
            <w:pPr>
              <w:rPr>
                <w:szCs w:val="20"/>
              </w:rPr>
            </w:pPr>
            <w:r w:rsidRPr="00B901D7">
              <w:rPr>
                <w:szCs w:val="20"/>
              </w:rPr>
              <w:t>A</w:t>
            </w:r>
          </w:p>
        </w:tc>
      </w:tr>
      <w:tr w:rsidR="00513FDC" w:rsidRPr="00CE3A2F" w14:paraId="2EE0FCB2" w14:textId="77777777" w:rsidTr="00A70798">
        <w:trPr>
          <w:trHeight w:val="288"/>
          <w:jc w:val="center"/>
        </w:trPr>
        <w:tc>
          <w:tcPr>
            <w:tcW w:w="960" w:type="dxa"/>
            <w:vMerge/>
            <w:tcBorders>
              <w:bottom w:val="single" w:sz="4" w:space="0" w:color="auto"/>
            </w:tcBorders>
            <w:vAlign w:val="center"/>
            <w:hideMark/>
          </w:tcPr>
          <w:p w14:paraId="0929AFA8" w14:textId="77777777" w:rsidR="00513FDC" w:rsidRPr="00B901D7" w:rsidRDefault="00513FDC" w:rsidP="00A70798">
            <w:pPr>
              <w:rPr>
                <w:szCs w:val="20"/>
              </w:rPr>
            </w:pPr>
          </w:p>
        </w:tc>
        <w:tc>
          <w:tcPr>
            <w:tcW w:w="1020" w:type="dxa"/>
            <w:noWrap/>
            <w:vAlign w:val="bottom"/>
            <w:hideMark/>
          </w:tcPr>
          <w:p w14:paraId="1F447B60" w14:textId="77777777" w:rsidR="00513FDC" w:rsidRPr="00B901D7" w:rsidRDefault="00513FDC" w:rsidP="00A70798">
            <w:pPr>
              <w:jc w:val="center"/>
              <w:rPr>
                <w:szCs w:val="20"/>
              </w:rPr>
            </w:pPr>
            <w:r w:rsidRPr="00B901D7">
              <w:rPr>
                <w:szCs w:val="20"/>
              </w:rPr>
              <w:t>15-30</w:t>
            </w:r>
          </w:p>
        </w:tc>
        <w:tc>
          <w:tcPr>
            <w:tcW w:w="666" w:type="dxa"/>
            <w:noWrap/>
            <w:vAlign w:val="bottom"/>
            <w:hideMark/>
          </w:tcPr>
          <w:p w14:paraId="213DE652" w14:textId="77777777" w:rsidR="00513FDC" w:rsidRPr="00B901D7" w:rsidRDefault="00513FDC" w:rsidP="00A70798">
            <w:pPr>
              <w:rPr>
                <w:szCs w:val="20"/>
              </w:rPr>
            </w:pPr>
            <w:r w:rsidRPr="00B901D7">
              <w:rPr>
                <w:szCs w:val="20"/>
              </w:rPr>
              <w:t>0.041</w:t>
            </w:r>
          </w:p>
        </w:tc>
        <w:tc>
          <w:tcPr>
            <w:tcW w:w="324" w:type="dxa"/>
            <w:noWrap/>
            <w:vAlign w:val="bottom"/>
            <w:hideMark/>
          </w:tcPr>
          <w:p w14:paraId="5EB9A676" w14:textId="77777777" w:rsidR="00513FDC" w:rsidRPr="00B901D7" w:rsidRDefault="00513FDC" w:rsidP="00A70798">
            <w:pPr>
              <w:rPr>
                <w:szCs w:val="20"/>
              </w:rPr>
            </w:pPr>
            <w:r w:rsidRPr="00B901D7">
              <w:rPr>
                <w:szCs w:val="20"/>
              </w:rPr>
              <w:t>a</w:t>
            </w:r>
          </w:p>
        </w:tc>
        <w:tc>
          <w:tcPr>
            <w:tcW w:w="630" w:type="dxa"/>
            <w:noWrap/>
            <w:vAlign w:val="bottom"/>
            <w:hideMark/>
          </w:tcPr>
          <w:p w14:paraId="1333F26F" w14:textId="77777777" w:rsidR="00513FDC" w:rsidRPr="00B901D7" w:rsidRDefault="00513FDC" w:rsidP="00A70798">
            <w:pPr>
              <w:rPr>
                <w:szCs w:val="20"/>
              </w:rPr>
            </w:pPr>
            <w:r w:rsidRPr="00B901D7">
              <w:rPr>
                <w:szCs w:val="20"/>
              </w:rPr>
              <w:t>D</w:t>
            </w:r>
          </w:p>
        </w:tc>
        <w:tc>
          <w:tcPr>
            <w:tcW w:w="720" w:type="dxa"/>
            <w:noWrap/>
            <w:vAlign w:val="bottom"/>
            <w:hideMark/>
          </w:tcPr>
          <w:p w14:paraId="4AE83F93" w14:textId="77777777" w:rsidR="00513FDC" w:rsidRPr="00B901D7" w:rsidRDefault="00513FDC" w:rsidP="00A70798">
            <w:pPr>
              <w:rPr>
                <w:szCs w:val="20"/>
              </w:rPr>
            </w:pPr>
            <w:r w:rsidRPr="00B901D7">
              <w:rPr>
                <w:szCs w:val="20"/>
              </w:rPr>
              <w:t>0.086</w:t>
            </w:r>
          </w:p>
        </w:tc>
        <w:tc>
          <w:tcPr>
            <w:tcW w:w="405" w:type="dxa"/>
            <w:noWrap/>
            <w:vAlign w:val="bottom"/>
            <w:hideMark/>
          </w:tcPr>
          <w:p w14:paraId="4ADBCD88" w14:textId="77777777" w:rsidR="00513FDC" w:rsidRPr="00B901D7" w:rsidRDefault="00513FDC" w:rsidP="00A70798">
            <w:pPr>
              <w:rPr>
                <w:szCs w:val="20"/>
              </w:rPr>
            </w:pPr>
            <w:r w:rsidRPr="00B901D7">
              <w:rPr>
                <w:szCs w:val="20"/>
              </w:rPr>
              <w:t>a</w:t>
            </w:r>
          </w:p>
        </w:tc>
        <w:tc>
          <w:tcPr>
            <w:tcW w:w="675" w:type="dxa"/>
            <w:noWrap/>
            <w:vAlign w:val="bottom"/>
            <w:hideMark/>
          </w:tcPr>
          <w:p w14:paraId="6D68C028" w14:textId="77777777" w:rsidR="00513FDC" w:rsidRPr="00B901D7" w:rsidRDefault="00513FDC" w:rsidP="00A70798">
            <w:pPr>
              <w:rPr>
                <w:szCs w:val="20"/>
              </w:rPr>
            </w:pPr>
            <w:r w:rsidRPr="00B901D7">
              <w:rPr>
                <w:szCs w:val="20"/>
              </w:rPr>
              <w:t>A</w:t>
            </w:r>
          </w:p>
        </w:tc>
        <w:tc>
          <w:tcPr>
            <w:tcW w:w="720" w:type="dxa"/>
            <w:noWrap/>
            <w:vAlign w:val="bottom"/>
            <w:hideMark/>
          </w:tcPr>
          <w:p w14:paraId="66A0B1FE" w14:textId="77777777" w:rsidR="00513FDC" w:rsidRPr="00B901D7" w:rsidRDefault="00513FDC" w:rsidP="00A70798">
            <w:pPr>
              <w:rPr>
                <w:szCs w:val="20"/>
              </w:rPr>
            </w:pPr>
            <w:r w:rsidRPr="00B901D7">
              <w:rPr>
                <w:szCs w:val="20"/>
              </w:rPr>
              <w:t>0.087</w:t>
            </w:r>
          </w:p>
        </w:tc>
        <w:tc>
          <w:tcPr>
            <w:tcW w:w="360" w:type="dxa"/>
            <w:noWrap/>
            <w:vAlign w:val="bottom"/>
            <w:hideMark/>
          </w:tcPr>
          <w:p w14:paraId="3DD95A08" w14:textId="77777777" w:rsidR="00513FDC" w:rsidRPr="00B901D7" w:rsidRDefault="00513FDC" w:rsidP="00A70798">
            <w:pPr>
              <w:rPr>
                <w:szCs w:val="20"/>
              </w:rPr>
            </w:pPr>
            <w:r w:rsidRPr="00B901D7">
              <w:rPr>
                <w:szCs w:val="20"/>
              </w:rPr>
              <w:t>a</w:t>
            </w:r>
          </w:p>
        </w:tc>
        <w:tc>
          <w:tcPr>
            <w:tcW w:w="720" w:type="dxa"/>
            <w:noWrap/>
            <w:vAlign w:val="bottom"/>
            <w:hideMark/>
          </w:tcPr>
          <w:p w14:paraId="565FA8F1" w14:textId="77777777" w:rsidR="00513FDC" w:rsidRPr="00B901D7" w:rsidRDefault="00513FDC" w:rsidP="00A70798">
            <w:pPr>
              <w:rPr>
                <w:szCs w:val="20"/>
              </w:rPr>
            </w:pPr>
            <w:r w:rsidRPr="00B901D7">
              <w:rPr>
                <w:szCs w:val="20"/>
              </w:rPr>
              <w:t>A</w:t>
            </w:r>
          </w:p>
        </w:tc>
      </w:tr>
      <w:tr w:rsidR="00513FDC" w:rsidRPr="00CE3A2F" w14:paraId="2432D807" w14:textId="77777777" w:rsidTr="00A70798">
        <w:trPr>
          <w:trHeight w:val="288"/>
          <w:jc w:val="center"/>
        </w:trPr>
        <w:tc>
          <w:tcPr>
            <w:tcW w:w="960" w:type="dxa"/>
            <w:vMerge/>
            <w:tcBorders>
              <w:bottom w:val="single" w:sz="4" w:space="0" w:color="auto"/>
            </w:tcBorders>
            <w:vAlign w:val="center"/>
            <w:hideMark/>
          </w:tcPr>
          <w:p w14:paraId="084AF5A9" w14:textId="77777777" w:rsidR="00513FDC" w:rsidRPr="00B901D7" w:rsidRDefault="00513FDC" w:rsidP="00A70798">
            <w:pPr>
              <w:rPr>
                <w:szCs w:val="20"/>
              </w:rPr>
            </w:pPr>
          </w:p>
        </w:tc>
        <w:tc>
          <w:tcPr>
            <w:tcW w:w="1020" w:type="dxa"/>
            <w:noWrap/>
            <w:vAlign w:val="bottom"/>
            <w:hideMark/>
          </w:tcPr>
          <w:p w14:paraId="3EBF0253" w14:textId="77777777" w:rsidR="00513FDC" w:rsidRPr="00B901D7" w:rsidRDefault="00513FDC" w:rsidP="00A70798">
            <w:pPr>
              <w:jc w:val="center"/>
              <w:rPr>
                <w:szCs w:val="20"/>
              </w:rPr>
            </w:pPr>
            <w:r w:rsidRPr="00B901D7">
              <w:rPr>
                <w:szCs w:val="20"/>
              </w:rPr>
              <w:t>30-60</w:t>
            </w:r>
          </w:p>
        </w:tc>
        <w:tc>
          <w:tcPr>
            <w:tcW w:w="666" w:type="dxa"/>
            <w:noWrap/>
            <w:vAlign w:val="bottom"/>
            <w:hideMark/>
          </w:tcPr>
          <w:p w14:paraId="40C91141" w14:textId="77777777" w:rsidR="00513FDC" w:rsidRPr="00B901D7" w:rsidRDefault="00513FDC" w:rsidP="00A70798">
            <w:pPr>
              <w:rPr>
                <w:szCs w:val="20"/>
              </w:rPr>
            </w:pPr>
            <w:r w:rsidRPr="00B901D7">
              <w:rPr>
                <w:szCs w:val="20"/>
              </w:rPr>
              <w:t>0.041</w:t>
            </w:r>
          </w:p>
        </w:tc>
        <w:tc>
          <w:tcPr>
            <w:tcW w:w="324" w:type="dxa"/>
            <w:noWrap/>
            <w:vAlign w:val="bottom"/>
            <w:hideMark/>
          </w:tcPr>
          <w:p w14:paraId="7CA7C20D" w14:textId="77777777" w:rsidR="00513FDC" w:rsidRPr="00B901D7" w:rsidRDefault="00513FDC" w:rsidP="00A70798">
            <w:pPr>
              <w:rPr>
                <w:szCs w:val="20"/>
              </w:rPr>
            </w:pPr>
            <w:r w:rsidRPr="00B901D7">
              <w:rPr>
                <w:szCs w:val="20"/>
              </w:rPr>
              <w:t>a</w:t>
            </w:r>
          </w:p>
        </w:tc>
        <w:tc>
          <w:tcPr>
            <w:tcW w:w="630" w:type="dxa"/>
            <w:noWrap/>
            <w:vAlign w:val="bottom"/>
            <w:hideMark/>
          </w:tcPr>
          <w:p w14:paraId="4ACC6BF3" w14:textId="77777777" w:rsidR="00513FDC" w:rsidRPr="00B901D7" w:rsidRDefault="00513FDC" w:rsidP="00A70798">
            <w:pPr>
              <w:rPr>
                <w:szCs w:val="20"/>
              </w:rPr>
            </w:pPr>
            <w:r w:rsidRPr="00B901D7">
              <w:rPr>
                <w:szCs w:val="20"/>
              </w:rPr>
              <w:t>B</w:t>
            </w:r>
          </w:p>
        </w:tc>
        <w:tc>
          <w:tcPr>
            <w:tcW w:w="720" w:type="dxa"/>
            <w:noWrap/>
            <w:vAlign w:val="bottom"/>
            <w:hideMark/>
          </w:tcPr>
          <w:p w14:paraId="1F56339A" w14:textId="77777777" w:rsidR="00513FDC" w:rsidRPr="00B901D7" w:rsidRDefault="00513FDC" w:rsidP="00A70798">
            <w:pPr>
              <w:rPr>
                <w:szCs w:val="20"/>
              </w:rPr>
            </w:pPr>
            <w:r w:rsidRPr="00B901D7">
              <w:rPr>
                <w:szCs w:val="20"/>
              </w:rPr>
              <w:t>0.052</w:t>
            </w:r>
          </w:p>
        </w:tc>
        <w:tc>
          <w:tcPr>
            <w:tcW w:w="405" w:type="dxa"/>
            <w:noWrap/>
            <w:vAlign w:val="bottom"/>
            <w:hideMark/>
          </w:tcPr>
          <w:p w14:paraId="49066B1E" w14:textId="77777777" w:rsidR="00513FDC" w:rsidRPr="00B901D7" w:rsidRDefault="00513FDC" w:rsidP="00A70798">
            <w:pPr>
              <w:rPr>
                <w:szCs w:val="20"/>
              </w:rPr>
            </w:pPr>
            <w:r w:rsidRPr="00B901D7">
              <w:rPr>
                <w:szCs w:val="20"/>
              </w:rPr>
              <w:t>c</w:t>
            </w:r>
          </w:p>
        </w:tc>
        <w:tc>
          <w:tcPr>
            <w:tcW w:w="675" w:type="dxa"/>
            <w:noWrap/>
            <w:vAlign w:val="bottom"/>
            <w:hideMark/>
          </w:tcPr>
          <w:p w14:paraId="16484561" w14:textId="77777777" w:rsidR="00513FDC" w:rsidRPr="00B901D7" w:rsidRDefault="00513FDC" w:rsidP="00A70798">
            <w:pPr>
              <w:rPr>
                <w:szCs w:val="20"/>
              </w:rPr>
            </w:pPr>
            <w:r w:rsidRPr="00B901D7">
              <w:rPr>
                <w:szCs w:val="20"/>
              </w:rPr>
              <w:t>A</w:t>
            </w:r>
          </w:p>
        </w:tc>
        <w:tc>
          <w:tcPr>
            <w:tcW w:w="720" w:type="dxa"/>
            <w:noWrap/>
            <w:vAlign w:val="bottom"/>
            <w:hideMark/>
          </w:tcPr>
          <w:p w14:paraId="6D9A47CB" w14:textId="77777777" w:rsidR="00513FDC" w:rsidRPr="00B901D7" w:rsidRDefault="00513FDC" w:rsidP="00A70798">
            <w:pPr>
              <w:rPr>
                <w:szCs w:val="20"/>
              </w:rPr>
            </w:pPr>
            <w:r w:rsidRPr="00B901D7">
              <w:rPr>
                <w:szCs w:val="20"/>
              </w:rPr>
              <w:t>0.022</w:t>
            </w:r>
          </w:p>
        </w:tc>
        <w:tc>
          <w:tcPr>
            <w:tcW w:w="360" w:type="dxa"/>
            <w:noWrap/>
            <w:vAlign w:val="bottom"/>
            <w:hideMark/>
          </w:tcPr>
          <w:p w14:paraId="52C1215E" w14:textId="77777777" w:rsidR="00513FDC" w:rsidRPr="00B901D7" w:rsidRDefault="00513FDC" w:rsidP="00A70798">
            <w:pPr>
              <w:rPr>
                <w:szCs w:val="20"/>
              </w:rPr>
            </w:pPr>
            <w:r w:rsidRPr="00B901D7">
              <w:rPr>
                <w:szCs w:val="20"/>
              </w:rPr>
              <w:t>b</w:t>
            </w:r>
          </w:p>
        </w:tc>
        <w:tc>
          <w:tcPr>
            <w:tcW w:w="720" w:type="dxa"/>
            <w:noWrap/>
            <w:vAlign w:val="bottom"/>
            <w:hideMark/>
          </w:tcPr>
          <w:p w14:paraId="5629FF45" w14:textId="77777777" w:rsidR="00513FDC" w:rsidRPr="00B901D7" w:rsidRDefault="00513FDC" w:rsidP="00A70798">
            <w:pPr>
              <w:rPr>
                <w:szCs w:val="20"/>
              </w:rPr>
            </w:pPr>
            <w:r w:rsidRPr="00B901D7">
              <w:rPr>
                <w:szCs w:val="20"/>
              </w:rPr>
              <w:t>C</w:t>
            </w:r>
          </w:p>
        </w:tc>
      </w:tr>
      <w:tr w:rsidR="00513FDC" w:rsidRPr="00CE3A2F" w14:paraId="60F000EF" w14:textId="77777777" w:rsidTr="00A70798">
        <w:trPr>
          <w:trHeight w:val="300"/>
          <w:jc w:val="center"/>
        </w:trPr>
        <w:tc>
          <w:tcPr>
            <w:tcW w:w="960" w:type="dxa"/>
            <w:vMerge/>
            <w:tcBorders>
              <w:bottom w:val="single" w:sz="4" w:space="0" w:color="auto"/>
            </w:tcBorders>
            <w:vAlign w:val="center"/>
            <w:hideMark/>
          </w:tcPr>
          <w:p w14:paraId="4D9655D7" w14:textId="77777777" w:rsidR="00513FDC" w:rsidRPr="00B901D7" w:rsidRDefault="00513FDC" w:rsidP="00A70798">
            <w:pPr>
              <w:rPr>
                <w:szCs w:val="20"/>
              </w:rPr>
            </w:pPr>
          </w:p>
        </w:tc>
        <w:tc>
          <w:tcPr>
            <w:tcW w:w="1020" w:type="dxa"/>
            <w:tcBorders>
              <w:bottom w:val="single" w:sz="4" w:space="0" w:color="auto"/>
            </w:tcBorders>
            <w:noWrap/>
            <w:vAlign w:val="bottom"/>
            <w:hideMark/>
          </w:tcPr>
          <w:p w14:paraId="1B67F605" w14:textId="77777777" w:rsidR="00513FDC" w:rsidRPr="00B901D7" w:rsidRDefault="00513FDC" w:rsidP="00A70798">
            <w:pPr>
              <w:jc w:val="center"/>
              <w:rPr>
                <w:szCs w:val="20"/>
              </w:rPr>
            </w:pPr>
            <w:r w:rsidRPr="00B901D7">
              <w:rPr>
                <w:szCs w:val="20"/>
              </w:rPr>
              <w:t>60-100</w:t>
            </w:r>
          </w:p>
        </w:tc>
        <w:tc>
          <w:tcPr>
            <w:tcW w:w="666" w:type="dxa"/>
            <w:tcBorders>
              <w:bottom w:val="single" w:sz="4" w:space="0" w:color="auto"/>
            </w:tcBorders>
            <w:noWrap/>
            <w:vAlign w:val="bottom"/>
            <w:hideMark/>
          </w:tcPr>
          <w:p w14:paraId="7E55DA48" w14:textId="77777777" w:rsidR="00513FDC" w:rsidRPr="00B901D7" w:rsidRDefault="00513FDC" w:rsidP="00A70798">
            <w:pPr>
              <w:rPr>
                <w:szCs w:val="20"/>
              </w:rPr>
            </w:pPr>
            <w:r w:rsidRPr="00B901D7">
              <w:rPr>
                <w:szCs w:val="20"/>
              </w:rPr>
              <w:t>0.045</w:t>
            </w:r>
          </w:p>
        </w:tc>
        <w:tc>
          <w:tcPr>
            <w:tcW w:w="324" w:type="dxa"/>
            <w:tcBorders>
              <w:bottom w:val="single" w:sz="4" w:space="0" w:color="auto"/>
            </w:tcBorders>
            <w:noWrap/>
            <w:vAlign w:val="bottom"/>
            <w:hideMark/>
          </w:tcPr>
          <w:p w14:paraId="3EA3EC66" w14:textId="77777777" w:rsidR="00513FDC" w:rsidRPr="00B901D7" w:rsidRDefault="00513FDC" w:rsidP="00A70798">
            <w:pPr>
              <w:rPr>
                <w:szCs w:val="20"/>
              </w:rPr>
            </w:pPr>
            <w:r w:rsidRPr="00B901D7">
              <w:rPr>
                <w:szCs w:val="20"/>
              </w:rPr>
              <w:t>a</w:t>
            </w:r>
          </w:p>
        </w:tc>
        <w:tc>
          <w:tcPr>
            <w:tcW w:w="630" w:type="dxa"/>
            <w:tcBorders>
              <w:bottom w:val="single" w:sz="4" w:space="0" w:color="auto"/>
            </w:tcBorders>
            <w:noWrap/>
            <w:vAlign w:val="bottom"/>
            <w:hideMark/>
          </w:tcPr>
          <w:p w14:paraId="31B0E2CB" w14:textId="77777777" w:rsidR="00513FDC" w:rsidRPr="00B901D7" w:rsidRDefault="00513FDC" w:rsidP="00A70798">
            <w:pPr>
              <w:rPr>
                <w:szCs w:val="20"/>
              </w:rPr>
            </w:pPr>
            <w:r w:rsidRPr="00B901D7">
              <w:rPr>
                <w:szCs w:val="20"/>
              </w:rPr>
              <w:t>C</w:t>
            </w:r>
          </w:p>
        </w:tc>
        <w:tc>
          <w:tcPr>
            <w:tcW w:w="720" w:type="dxa"/>
            <w:tcBorders>
              <w:bottom w:val="single" w:sz="4" w:space="0" w:color="auto"/>
            </w:tcBorders>
            <w:noWrap/>
            <w:vAlign w:val="bottom"/>
            <w:hideMark/>
          </w:tcPr>
          <w:p w14:paraId="69F94223" w14:textId="77777777" w:rsidR="00513FDC" w:rsidRPr="00B901D7" w:rsidRDefault="00513FDC" w:rsidP="00A70798">
            <w:pPr>
              <w:rPr>
                <w:szCs w:val="20"/>
              </w:rPr>
            </w:pPr>
            <w:r w:rsidRPr="00B901D7">
              <w:rPr>
                <w:szCs w:val="20"/>
              </w:rPr>
              <w:t>0.074</w:t>
            </w:r>
          </w:p>
        </w:tc>
        <w:tc>
          <w:tcPr>
            <w:tcW w:w="405" w:type="dxa"/>
            <w:tcBorders>
              <w:bottom w:val="single" w:sz="4" w:space="0" w:color="auto"/>
            </w:tcBorders>
            <w:noWrap/>
            <w:vAlign w:val="bottom"/>
            <w:hideMark/>
          </w:tcPr>
          <w:p w14:paraId="1A6B21FE" w14:textId="77777777" w:rsidR="00513FDC" w:rsidRPr="00B901D7" w:rsidRDefault="00513FDC" w:rsidP="00A70798">
            <w:pPr>
              <w:rPr>
                <w:szCs w:val="20"/>
              </w:rPr>
            </w:pPr>
            <w:r w:rsidRPr="00B901D7">
              <w:rPr>
                <w:szCs w:val="20"/>
              </w:rPr>
              <w:t>b</w:t>
            </w:r>
          </w:p>
        </w:tc>
        <w:tc>
          <w:tcPr>
            <w:tcW w:w="675" w:type="dxa"/>
            <w:tcBorders>
              <w:bottom w:val="single" w:sz="4" w:space="0" w:color="auto"/>
            </w:tcBorders>
            <w:noWrap/>
            <w:vAlign w:val="bottom"/>
            <w:hideMark/>
          </w:tcPr>
          <w:p w14:paraId="1B03C89F" w14:textId="77777777" w:rsidR="00513FDC" w:rsidRPr="00B901D7" w:rsidRDefault="00513FDC" w:rsidP="00A70798">
            <w:pPr>
              <w:rPr>
                <w:szCs w:val="20"/>
              </w:rPr>
            </w:pPr>
            <w:r w:rsidRPr="00B901D7">
              <w:rPr>
                <w:szCs w:val="20"/>
              </w:rPr>
              <w:t>B</w:t>
            </w:r>
          </w:p>
        </w:tc>
        <w:tc>
          <w:tcPr>
            <w:tcW w:w="720" w:type="dxa"/>
            <w:tcBorders>
              <w:bottom w:val="single" w:sz="4" w:space="0" w:color="auto"/>
            </w:tcBorders>
            <w:noWrap/>
            <w:vAlign w:val="bottom"/>
            <w:hideMark/>
          </w:tcPr>
          <w:p w14:paraId="7B3429D7" w14:textId="77777777" w:rsidR="00513FDC" w:rsidRPr="00B901D7" w:rsidRDefault="00513FDC" w:rsidP="00A70798">
            <w:pPr>
              <w:rPr>
                <w:szCs w:val="20"/>
              </w:rPr>
            </w:pPr>
            <w:r w:rsidRPr="00B901D7">
              <w:rPr>
                <w:szCs w:val="20"/>
              </w:rPr>
              <w:t>0.087</w:t>
            </w:r>
          </w:p>
        </w:tc>
        <w:tc>
          <w:tcPr>
            <w:tcW w:w="360" w:type="dxa"/>
            <w:tcBorders>
              <w:bottom w:val="single" w:sz="4" w:space="0" w:color="auto"/>
            </w:tcBorders>
            <w:noWrap/>
            <w:vAlign w:val="bottom"/>
            <w:hideMark/>
          </w:tcPr>
          <w:p w14:paraId="1B361225" w14:textId="77777777" w:rsidR="00513FDC" w:rsidRPr="00B901D7" w:rsidRDefault="00513FDC" w:rsidP="00A70798">
            <w:pPr>
              <w:rPr>
                <w:szCs w:val="20"/>
              </w:rPr>
            </w:pPr>
            <w:r w:rsidRPr="00B901D7">
              <w:rPr>
                <w:szCs w:val="20"/>
              </w:rPr>
              <w:t>a</w:t>
            </w:r>
          </w:p>
        </w:tc>
        <w:tc>
          <w:tcPr>
            <w:tcW w:w="720" w:type="dxa"/>
            <w:tcBorders>
              <w:bottom w:val="single" w:sz="4" w:space="0" w:color="auto"/>
            </w:tcBorders>
            <w:noWrap/>
            <w:vAlign w:val="bottom"/>
            <w:hideMark/>
          </w:tcPr>
          <w:p w14:paraId="0462E4CB" w14:textId="77777777" w:rsidR="00513FDC" w:rsidRPr="00B901D7" w:rsidRDefault="00513FDC" w:rsidP="00A70798">
            <w:pPr>
              <w:rPr>
                <w:szCs w:val="20"/>
              </w:rPr>
            </w:pPr>
            <w:r w:rsidRPr="00B901D7">
              <w:rPr>
                <w:szCs w:val="20"/>
              </w:rPr>
              <w:t>A</w:t>
            </w:r>
          </w:p>
        </w:tc>
      </w:tr>
    </w:tbl>
    <w:p w14:paraId="7068772E" w14:textId="77777777" w:rsidR="00513FDC" w:rsidRPr="00532388" w:rsidRDefault="00513FDC" w:rsidP="00F03621">
      <w:pPr>
        <w:rPr>
          <w:color w:val="000000" w:themeColor="text1"/>
          <w:szCs w:val="20"/>
        </w:rPr>
      </w:pPr>
    </w:p>
    <w:p w14:paraId="4F5FAB6A" w14:textId="77777777" w:rsidR="00F03621" w:rsidRDefault="00F03621" w:rsidP="00532388">
      <w:pPr>
        <w:rPr>
          <w:szCs w:val="20"/>
        </w:rPr>
      </w:pPr>
    </w:p>
    <w:p w14:paraId="340A8786" w14:textId="77777777" w:rsidR="003D4C84" w:rsidRDefault="003D4C84" w:rsidP="00532388">
      <w:pPr>
        <w:rPr>
          <w:szCs w:val="20"/>
        </w:rPr>
      </w:pPr>
    </w:p>
    <w:p w14:paraId="0E71049E" w14:textId="77777777" w:rsidR="000071EB" w:rsidRDefault="000071EB" w:rsidP="00532388">
      <w:pPr>
        <w:rPr>
          <w:b/>
          <w:szCs w:val="20"/>
        </w:rPr>
      </w:pPr>
    </w:p>
    <w:p w14:paraId="2B09F56A" w14:textId="77777777" w:rsidR="000071EB" w:rsidRDefault="000071EB" w:rsidP="00532388">
      <w:pPr>
        <w:rPr>
          <w:b/>
          <w:szCs w:val="20"/>
        </w:rPr>
      </w:pPr>
    </w:p>
    <w:p w14:paraId="576C615B" w14:textId="5539F21C" w:rsidR="007561B4" w:rsidRPr="00227A0F" w:rsidRDefault="007561B4" w:rsidP="00532388">
      <w:pPr>
        <w:rPr>
          <w:b/>
          <w:szCs w:val="20"/>
        </w:rPr>
      </w:pPr>
      <w:r w:rsidRPr="00227A0F">
        <w:rPr>
          <w:b/>
          <w:szCs w:val="20"/>
        </w:rPr>
        <w:lastRenderedPageBreak/>
        <w:t>Competing interests</w:t>
      </w:r>
    </w:p>
    <w:p w14:paraId="70F206AF" w14:textId="10A40981" w:rsidR="00227A0F" w:rsidRDefault="00227A0F" w:rsidP="00532388">
      <w:pPr>
        <w:rPr>
          <w:szCs w:val="20"/>
        </w:rPr>
      </w:pPr>
      <w:r>
        <w:rPr>
          <w:szCs w:val="20"/>
        </w:rPr>
        <w:t>The authors have no competing interests.</w:t>
      </w:r>
    </w:p>
    <w:p w14:paraId="000D49BF" w14:textId="77777777" w:rsidR="00EA405D" w:rsidRDefault="00EA405D" w:rsidP="00532388">
      <w:pPr>
        <w:rPr>
          <w:szCs w:val="20"/>
        </w:rPr>
      </w:pPr>
    </w:p>
    <w:p w14:paraId="79EB63DC" w14:textId="47AA3C80" w:rsidR="007561B4" w:rsidRPr="00EA405D" w:rsidRDefault="007561B4" w:rsidP="00532388">
      <w:pPr>
        <w:rPr>
          <w:rFonts w:asciiTheme="minorHAnsi" w:hAnsiTheme="minorHAnsi" w:cstheme="minorHAnsi"/>
          <w:b/>
          <w:szCs w:val="20"/>
        </w:rPr>
      </w:pPr>
      <w:r w:rsidRPr="00EA405D">
        <w:rPr>
          <w:rFonts w:asciiTheme="minorHAnsi" w:hAnsiTheme="minorHAnsi" w:cstheme="minorHAnsi"/>
          <w:b/>
          <w:szCs w:val="20"/>
        </w:rPr>
        <w:t>Acknowledgements</w:t>
      </w:r>
    </w:p>
    <w:p w14:paraId="68DFDE27" w14:textId="607BA1A0" w:rsidR="009179CC" w:rsidRDefault="009179CC" w:rsidP="00532388">
      <w:pPr>
        <w:rPr>
          <w:rFonts w:asciiTheme="minorHAnsi" w:hAnsiTheme="minorHAnsi" w:cstheme="minorHAnsi"/>
          <w:color w:val="111111"/>
          <w:szCs w:val="20"/>
          <w:shd w:val="clear" w:color="auto" w:fill="FFFFFF"/>
        </w:rPr>
      </w:pPr>
      <w:r w:rsidRPr="002029EA">
        <w:rPr>
          <w:rFonts w:asciiTheme="minorHAnsi" w:hAnsiTheme="minorHAnsi" w:cstheme="minorHAnsi"/>
          <w:color w:val="111111"/>
          <w:szCs w:val="20"/>
          <w:shd w:val="clear" w:color="auto" w:fill="FFFFFF"/>
        </w:rPr>
        <w:t>T</w:t>
      </w:r>
      <w:r w:rsidR="002029EA" w:rsidRPr="002029EA">
        <w:rPr>
          <w:rFonts w:asciiTheme="minorHAnsi" w:hAnsiTheme="minorHAnsi" w:cstheme="minorHAnsi"/>
          <w:color w:val="111111"/>
          <w:szCs w:val="20"/>
          <w:shd w:val="clear" w:color="auto" w:fill="FFFFFF"/>
        </w:rPr>
        <w:t>his project was supported by</w:t>
      </w:r>
      <w:r w:rsidRPr="002029EA">
        <w:rPr>
          <w:rFonts w:asciiTheme="minorHAnsi" w:hAnsiTheme="minorHAnsi" w:cstheme="minorHAnsi"/>
          <w:color w:val="111111"/>
          <w:szCs w:val="20"/>
          <w:shd w:val="clear" w:color="auto" w:fill="FFFFFF"/>
        </w:rPr>
        <w:t xml:space="preserve"> Agriculture and Food Research</w:t>
      </w:r>
      <w:r w:rsidR="002029EA" w:rsidRPr="002029EA">
        <w:rPr>
          <w:rFonts w:asciiTheme="minorHAnsi" w:hAnsiTheme="minorHAnsi" w:cstheme="minorHAnsi"/>
          <w:color w:val="111111"/>
          <w:szCs w:val="20"/>
          <w:shd w:val="clear" w:color="auto" w:fill="FFFFFF"/>
        </w:rPr>
        <w:t xml:space="preserve"> Initiative Competitive Grant numbers</w:t>
      </w:r>
      <w:r w:rsidRPr="002029EA">
        <w:rPr>
          <w:rFonts w:asciiTheme="minorHAnsi" w:hAnsiTheme="minorHAnsi" w:cstheme="minorHAnsi"/>
          <w:color w:val="111111"/>
          <w:szCs w:val="20"/>
          <w:shd w:val="clear" w:color="auto" w:fill="FFFFFF"/>
        </w:rPr>
        <w:t xml:space="preserve"> 2012-67011-1966 </w:t>
      </w:r>
      <w:r w:rsidR="002029EA" w:rsidRPr="002029EA">
        <w:rPr>
          <w:rFonts w:asciiTheme="minorHAnsi" w:hAnsiTheme="minorHAnsi" w:cstheme="minorHAnsi"/>
          <w:color w:val="111111"/>
          <w:szCs w:val="20"/>
          <w:shd w:val="clear" w:color="auto" w:fill="FFFFFF"/>
        </w:rPr>
        <w:t xml:space="preserve">and 2016-67012-25170 </w:t>
      </w:r>
      <w:r w:rsidRPr="002029EA">
        <w:rPr>
          <w:rFonts w:asciiTheme="minorHAnsi" w:hAnsiTheme="minorHAnsi" w:cstheme="minorHAnsi"/>
          <w:color w:val="111111"/>
          <w:szCs w:val="20"/>
          <w:shd w:val="clear" w:color="auto" w:fill="FFFFFF"/>
        </w:rPr>
        <w:t>from the USDA National Institute of Food and Agriculture</w:t>
      </w:r>
      <w:r w:rsidR="002029EA" w:rsidRPr="002029EA">
        <w:rPr>
          <w:rFonts w:asciiTheme="minorHAnsi" w:hAnsiTheme="minorHAnsi" w:cstheme="minorHAnsi"/>
          <w:color w:val="111111"/>
          <w:szCs w:val="20"/>
          <w:shd w:val="clear" w:color="auto" w:fill="FFFFFF"/>
        </w:rPr>
        <w:t xml:space="preserve"> </w:t>
      </w:r>
      <w:r w:rsidRPr="002029EA">
        <w:rPr>
          <w:rFonts w:asciiTheme="minorHAnsi" w:hAnsiTheme="minorHAnsi" w:cstheme="minorHAnsi"/>
          <w:color w:val="111111"/>
          <w:szCs w:val="20"/>
          <w:shd w:val="clear" w:color="auto" w:fill="FFFFFF"/>
        </w:rPr>
        <w:t xml:space="preserve">and Iowa State University’s College of Agriculture and Life Sciences, Department of Agronomy, Graduate Program in Sustainable Agriculture, and Wallace Chair for Sustainable Agriculture. We thank Dave Sundberg, </w:t>
      </w:r>
      <w:r w:rsidR="002029EA" w:rsidRPr="002029EA">
        <w:rPr>
          <w:rFonts w:asciiTheme="minorHAnsi" w:hAnsiTheme="minorHAnsi" w:cstheme="minorHAnsi"/>
          <w:color w:val="111111"/>
          <w:szCs w:val="20"/>
          <w:shd w:val="clear" w:color="auto" w:fill="FFFFFF"/>
        </w:rPr>
        <w:t xml:space="preserve">Bruce Hall, Kevin Day, </w:t>
      </w:r>
      <w:r w:rsidRPr="002029EA">
        <w:rPr>
          <w:rFonts w:asciiTheme="minorHAnsi" w:hAnsiTheme="minorHAnsi" w:cstheme="minorHAnsi"/>
          <w:color w:val="111111"/>
          <w:szCs w:val="20"/>
          <w:shd w:val="clear" w:color="auto" w:fill="FFFFFF"/>
        </w:rPr>
        <w:t>Jake Anderson, Brent Beelner, Shane Bugeja, Robi</w:t>
      </w:r>
      <w:r w:rsidR="002029EA" w:rsidRPr="002029EA">
        <w:rPr>
          <w:rFonts w:asciiTheme="minorHAnsi" w:hAnsiTheme="minorHAnsi" w:cstheme="minorHAnsi"/>
          <w:color w:val="111111"/>
          <w:szCs w:val="20"/>
          <w:shd w:val="clear" w:color="auto" w:fill="FFFFFF"/>
        </w:rPr>
        <w:t>n Gómez-Gómez, Céline Guignard</w:t>
      </w:r>
      <w:r w:rsidRPr="002029EA">
        <w:rPr>
          <w:rFonts w:asciiTheme="minorHAnsi" w:hAnsiTheme="minorHAnsi" w:cstheme="minorHAnsi"/>
          <w:color w:val="111111"/>
          <w:szCs w:val="20"/>
          <w:shd w:val="clear" w:color="auto" w:fill="FFFFFF"/>
        </w:rPr>
        <w:t xml:space="preserve">, Sarah Hirsh, Brady North, Nick Siepker, and Madeline Tomka for technical assistance in the field and laboratory. We are also grateful to </w:t>
      </w:r>
      <w:r w:rsidR="002029EA" w:rsidRPr="002029EA">
        <w:rPr>
          <w:rFonts w:asciiTheme="minorHAnsi" w:hAnsiTheme="minorHAnsi" w:cstheme="minorHAnsi"/>
          <w:color w:val="111111"/>
          <w:szCs w:val="20"/>
          <w:shd w:val="clear" w:color="auto" w:fill="FFFFFF"/>
        </w:rPr>
        <w:t>Lendie Follett</w:t>
      </w:r>
      <w:r w:rsidRPr="002029EA">
        <w:rPr>
          <w:rFonts w:asciiTheme="minorHAnsi" w:hAnsiTheme="minorHAnsi" w:cstheme="minorHAnsi"/>
          <w:color w:val="111111"/>
          <w:szCs w:val="20"/>
          <w:shd w:val="clear" w:color="auto" w:fill="FFFFFF"/>
        </w:rPr>
        <w:t xml:space="preserve"> and the R community for help with statistics and coding as well as </w:t>
      </w:r>
      <w:r w:rsidR="00016B99">
        <w:rPr>
          <w:rFonts w:asciiTheme="minorHAnsi" w:hAnsiTheme="minorHAnsi" w:cstheme="minorHAnsi"/>
          <w:color w:val="111111"/>
          <w:szCs w:val="20"/>
          <w:shd w:val="clear" w:color="auto" w:fill="FFFFFF"/>
        </w:rPr>
        <w:t xml:space="preserve">Mike Castellano and </w:t>
      </w:r>
      <w:r w:rsidRPr="002029EA">
        <w:rPr>
          <w:rFonts w:asciiTheme="minorHAnsi" w:hAnsiTheme="minorHAnsi" w:cstheme="minorHAnsi"/>
          <w:color w:val="111111"/>
          <w:szCs w:val="20"/>
          <w:shd w:val="clear" w:color="auto" w:fill="FFFFFF"/>
        </w:rPr>
        <w:t>several anonymous reviewers for useful comments on earlier drafts of the manuscript.</w:t>
      </w:r>
    </w:p>
    <w:p w14:paraId="17213214" w14:textId="77777777" w:rsidR="002029EA" w:rsidRPr="002029EA" w:rsidRDefault="002029EA" w:rsidP="00532388">
      <w:pPr>
        <w:rPr>
          <w:rFonts w:asciiTheme="minorHAnsi" w:hAnsiTheme="minorHAnsi" w:cstheme="minorHAnsi"/>
          <w:szCs w:val="20"/>
        </w:rPr>
      </w:pPr>
    </w:p>
    <w:p w14:paraId="06FE0F52" w14:textId="77777777" w:rsidR="000071EB" w:rsidRDefault="000071EB" w:rsidP="0023163E">
      <w:pPr>
        <w:pStyle w:val="Bibliography"/>
        <w:rPr>
          <w:b/>
          <w:sz w:val="20"/>
          <w:szCs w:val="20"/>
        </w:rPr>
      </w:pPr>
    </w:p>
    <w:p w14:paraId="30538B45" w14:textId="1486808B" w:rsidR="00AE3B56" w:rsidRPr="00AE3B56" w:rsidRDefault="00AE3B56" w:rsidP="0023163E">
      <w:pPr>
        <w:pStyle w:val="Bibliography"/>
        <w:rPr>
          <w:b/>
          <w:sz w:val="20"/>
          <w:szCs w:val="20"/>
        </w:rPr>
      </w:pPr>
      <w:r w:rsidRPr="00AE3B56">
        <w:rPr>
          <w:b/>
          <w:sz w:val="20"/>
          <w:szCs w:val="20"/>
        </w:rPr>
        <w:t>References</w:t>
      </w:r>
    </w:p>
    <w:p w14:paraId="75F11EF1" w14:textId="0B970A3E" w:rsidR="00EA405D" w:rsidRPr="00EA405D" w:rsidRDefault="00EA405D" w:rsidP="0023163E">
      <w:pPr>
        <w:pStyle w:val="Bibliography"/>
        <w:rPr>
          <w:rFonts w:asciiTheme="majorHAnsi" w:hAnsiTheme="majorHAnsi" w:cstheme="majorHAnsi"/>
          <w:sz w:val="20"/>
          <w:szCs w:val="20"/>
        </w:rPr>
      </w:pPr>
      <w:r w:rsidRPr="00EA405D">
        <w:rPr>
          <w:rFonts w:asciiTheme="majorHAnsi" w:hAnsiTheme="majorHAnsi" w:cstheme="majorHAnsi"/>
          <w:sz w:val="20"/>
          <w:szCs w:val="20"/>
          <w:shd w:val="clear" w:color="auto" w:fill="FFFFFF"/>
        </w:rPr>
        <w:t>Abendroth, L.J., Elmore, R.W., Boyer, M.J. and Marlay. S.K.:</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Maize growth and development,</w:t>
      </w:r>
      <w:r w:rsidRPr="00EA405D">
        <w:rPr>
          <w:rFonts w:asciiTheme="majorHAnsi" w:hAnsiTheme="majorHAnsi" w:cstheme="majorHAnsi"/>
          <w:sz w:val="20"/>
          <w:szCs w:val="20"/>
          <w:shd w:val="clear" w:color="auto" w:fill="FFFFFF"/>
        </w:rPr>
        <w:t xml:space="preserve"> Iowa State University Extension,</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Ames, Iowa, 2011.</w:t>
      </w:r>
    </w:p>
    <w:p w14:paraId="392B6ACE" w14:textId="7ACA92B8" w:rsidR="00494AEE" w:rsidRDefault="00494AEE" w:rsidP="0023163E">
      <w:pPr>
        <w:pStyle w:val="Bibliography"/>
        <w:rPr>
          <w:sz w:val="20"/>
          <w:szCs w:val="20"/>
        </w:rPr>
      </w:pPr>
      <w:r w:rsidRPr="00494AEE">
        <w:rPr>
          <w:sz w:val="20"/>
          <w:szCs w:val="20"/>
        </w:rPr>
        <w:t>B</w:t>
      </w:r>
      <w:r>
        <w:rPr>
          <w:sz w:val="20"/>
          <w:szCs w:val="20"/>
        </w:rPr>
        <w:t>adri</w:t>
      </w:r>
      <w:r w:rsidRPr="00494AEE">
        <w:rPr>
          <w:sz w:val="20"/>
          <w:szCs w:val="20"/>
        </w:rPr>
        <w:t>, D. V. and V</w:t>
      </w:r>
      <w:r>
        <w:rPr>
          <w:sz w:val="20"/>
          <w:szCs w:val="20"/>
        </w:rPr>
        <w:t>ivanco</w:t>
      </w:r>
      <w:r w:rsidRPr="00494AEE">
        <w:rPr>
          <w:sz w:val="20"/>
          <w:szCs w:val="20"/>
        </w:rPr>
        <w:t>, J. M.: Regulation and function of root exudates, Plant, Cell &amp; Environment, 32(6), 666–681, 2009.</w:t>
      </w:r>
    </w:p>
    <w:p w14:paraId="19076E16" w14:textId="3321F7C7" w:rsidR="0023163E" w:rsidRPr="00AE3B56" w:rsidRDefault="0023163E" w:rsidP="0023163E">
      <w:pPr>
        <w:pStyle w:val="Bibliography"/>
        <w:rPr>
          <w:sz w:val="20"/>
          <w:szCs w:val="20"/>
        </w:rPr>
      </w:pPr>
      <w:r w:rsidRPr="00AE3B56">
        <w:rPr>
          <w:sz w:val="20"/>
          <w:szCs w:val="20"/>
        </w:rPr>
        <w:t>Balesdent, J. and Balabane, M.: Major contribution of roots to soil carbon storage inferred from maize cultivated soils, Soil Biology and Biochemistry, 28(9), 1261–1263, 1996.</w:t>
      </w:r>
    </w:p>
    <w:p w14:paraId="4D16FA0A" w14:textId="77777777" w:rsidR="0023163E" w:rsidRPr="00AE3B56" w:rsidRDefault="0023163E" w:rsidP="0023163E">
      <w:pPr>
        <w:pStyle w:val="Bibliography"/>
        <w:rPr>
          <w:sz w:val="20"/>
          <w:szCs w:val="20"/>
        </w:rPr>
      </w:pPr>
      <w:r w:rsidRPr="00AE3B56">
        <w:rPr>
          <w:sz w:val="20"/>
          <w:szCs w:val="20"/>
        </w:rPr>
        <w:t>Beniston, J. W., DuPont, S. T., Glover, J. D., Lal, R. and Dungait, J. A.: Soil organic carbon dynamics 75 years after land-use change in perennial grassland and annual wheat agricultural systems, Biogeochemistry, 120(1-3), 37–49, 2014.</w:t>
      </w:r>
    </w:p>
    <w:p w14:paraId="05832661" w14:textId="6F84F20E" w:rsidR="0023163E" w:rsidRPr="00AE3B56" w:rsidRDefault="0023163E" w:rsidP="0023163E">
      <w:pPr>
        <w:pStyle w:val="Bibliography"/>
        <w:rPr>
          <w:sz w:val="20"/>
          <w:szCs w:val="20"/>
        </w:rPr>
      </w:pPr>
      <w:r w:rsidRPr="00AE3B56">
        <w:rPr>
          <w:sz w:val="20"/>
          <w:szCs w:val="20"/>
        </w:rPr>
        <w:t>Blackmer, A.</w:t>
      </w:r>
      <w:r w:rsidR="006057D1">
        <w:rPr>
          <w:sz w:val="20"/>
          <w:szCs w:val="20"/>
        </w:rPr>
        <w:t>, Voss, R.D., and Mallarino, A.P.</w:t>
      </w:r>
      <w:r w:rsidRPr="00AE3B56">
        <w:rPr>
          <w:sz w:val="20"/>
          <w:szCs w:val="20"/>
        </w:rPr>
        <w:t>: Nitrogen fertiliz</w:t>
      </w:r>
      <w:r w:rsidR="00CC65A8">
        <w:rPr>
          <w:sz w:val="20"/>
          <w:szCs w:val="20"/>
        </w:rPr>
        <w:t>er recommendations for corn in I</w:t>
      </w:r>
      <w:r w:rsidRPr="00AE3B56">
        <w:rPr>
          <w:sz w:val="20"/>
          <w:szCs w:val="20"/>
        </w:rPr>
        <w:t xml:space="preserve">owa, </w:t>
      </w:r>
      <w:r w:rsidR="006057D1">
        <w:rPr>
          <w:sz w:val="20"/>
          <w:szCs w:val="20"/>
        </w:rPr>
        <w:t xml:space="preserve">Iowa State University Extension, Ames, Iowa, </w:t>
      </w:r>
      <w:r w:rsidRPr="00AE3B56">
        <w:rPr>
          <w:sz w:val="20"/>
          <w:szCs w:val="20"/>
        </w:rPr>
        <w:t>1997.</w:t>
      </w:r>
    </w:p>
    <w:p w14:paraId="13641B6D" w14:textId="34C79A9F" w:rsidR="0023163E" w:rsidRDefault="0023163E" w:rsidP="0023163E">
      <w:pPr>
        <w:pStyle w:val="Bibliography"/>
        <w:rPr>
          <w:sz w:val="20"/>
          <w:szCs w:val="20"/>
        </w:rPr>
      </w:pPr>
      <w:r w:rsidRPr="00AE3B56">
        <w:rPr>
          <w:sz w:val="20"/>
          <w:szCs w:val="20"/>
        </w:rPr>
        <w:t>Buyanovsky, G., Kucera, C. and Wagner, G.: Comparative analyses of carbon dynamics in native and cultivated ecosystems, Ecology, 68(6), 2023–2031, 1987.</w:t>
      </w:r>
      <w:r w:rsidR="009350FC">
        <w:rPr>
          <w:sz w:val="20"/>
          <w:szCs w:val="20"/>
        </w:rPr>
        <w:t xml:space="preserve">  </w:t>
      </w:r>
    </w:p>
    <w:p w14:paraId="0783592A" w14:textId="0586A321" w:rsidR="009350FC" w:rsidRPr="000071EB" w:rsidRDefault="009350FC" w:rsidP="009350FC">
      <w:pPr>
        <w:pStyle w:val="Bibliography"/>
        <w:rPr>
          <w:sz w:val="20"/>
          <w:szCs w:val="20"/>
        </w:rPr>
      </w:pPr>
      <w:r w:rsidRPr="000071EB">
        <w:rPr>
          <w:sz w:val="20"/>
          <w:szCs w:val="20"/>
        </w:rPr>
        <w:t>Castellano, M. J., Mueller, K. E., Olk, D. C., Sawyer, J. E. and Six, J.: Integrating plant litter quality, soil organic matter stabilization, and the carbon saturation concept, Global Change Biology, 21(9), 3200–3209, 2015.</w:t>
      </w:r>
    </w:p>
    <w:p w14:paraId="027CE351" w14:textId="0EFEAF4B" w:rsidR="0023163E" w:rsidRPr="00AE3B56" w:rsidRDefault="0023163E" w:rsidP="0023163E">
      <w:pPr>
        <w:pStyle w:val="Bibliography"/>
        <w:rPr>
          <w:sz w:val="20"/>
          <w:szCs w:val="20"/>
        </w:rPr>
      </w:pPr>
      <w:r w:rsidRPr="00AE3B56">
        <w:rPr>
          <w:sz w:val="20"/>
          <w:szCs w:val="20"/>
        </w:rPr>
        <w:t xml:space="preserve">Cotrufo, M. F., Soong, J. L., Horton, A. J., Campbell, E. E., Haddix, M. L., Wall, D. H. and Parton, W. J.: Formation of soil organic matter via biochemical and physical pathways of litter mass loss, Nature Geoscience, </w:t>
      </w:r>
      <w:r w:rsidR="00AB3594">
        <w:rPr>
          <w:sz w:val="20"/>
          <w:szCs w:val="20"/>
        </w:rPr>
        <w:t xml:space="preserve">8, 776-781, </w:t>
      </w:r>
      <w:r w:rsidRPr="00AE3B56">
        <w:rPr>
          <w:sz w:val="20"/>
          <w:szCs w:val="20"/>
        </w:rPr>
        <w:t>2015.</w:t>
      </w:r>
    </w:p>
    <w:p w14:paraId="0C294F2E" w14:textId="77777777" w:rsidR="0023163E" w:rsidRPr="00AE3B56" w:rsidRDefault="0023163E" w:rsidP="0023163E">
      <w:pPr>
        <w:pStyle w:val="Bibliography"/>
        <w:rPr>
          <w:sz w:val="20"/>
          <w:szCs w:val="20"/>
        </w:rPr>
      </w:pPr>
      <w:r w:rsidRPr="00AE3B56">
        <w:rPr>
          <w:sz w:val="20"/>
          <w:szCs w:val="20"/>
        </w:rPr>
        <w:t>David, M. B., McIsaac, G. F., Darmody, R. G. and Omonode, R. A.: Long-term changes in mollisol organic carbon and nitrogen, Journal of Environmental Quality, 38(1), 200–211, 2009.</w:t>
      </w:r>
    </w:p>
    <w:p w14:paraId="27CF4665" w14:textId="77777777" w:rsidR="0023163E" w:rsidRPr="00AE3B56" w:rsidRDefault="0023163E" w:rsidP="0023163E">
      <w:pPr>
        <w:pStyle w:val="Bibliography"/>
        <w:rPr>
          <w:sz w:val="20"/>
          <w:szCs w:val="20"/>
        </w:rPr>
      </w:pPr>
      <w:r w:rsidRPr="00AE3B56">
        <w:rPr>
          <w:sz w:val="20"/>
          <w:szCs w:val="20"/>
        </w:rPr>
        <w:t>Davidson, E. A. and Ackerman, I. L.: Changes in soil carbon inventories following cultivation of previously untilled soils, Biogeochemistry, 20(3), 161–193, 1993.</w:t>
      </w:r>
    </w:p>
    <w:p w14:paraId="55CC6161" w14:textId="2699AD19" w:rsidR="0023163E" w:rsidRDefault="0023163E" w:rsidP="0023163E">
      <w:pPr>
        <w:pStyle w:val="Bibliography"/>
        <w:rPr>
          <w:sz w:val="20"/>
          <w:szCs w:val="20"/>
        </w:rPr>
      </w:pPr>
      <w:r w:rsidRPr="00AE3B56">
        <w:rPr>
          <w:sz w:val="20"/>
          <w:szCs w:val="20"/>
        </w:rPr>
        <w:t>Dupont, S. T., Beniston, J., Glover, J., Hodson, A., Culman, S., Lal, R. and Ferris, H.: Root traits and soil properties in harvested perennial grassland, annual wheat, and never-</w:t>
      </w:r>
      <w:r w:rsidR="00D1323C">
        <w:rPr>
          <w:sz w:val="20"/>
          <w:szCs w:val="20"/>
        </w:rPr>
        <w:t>tilled annual wheat, Plant and S</w:t>
      </w:r>
      <w:r w:rsidRPr="00AE3B56">
        <w:rPr>
          <w:sz w:val="20"/>
          <w:szCs w:val="20"/>
        </w:rPr>
        <w:t>oil, 381(1-2), 405–420, 2014.</w:t>
      </w:r>
    </w:p>
    <w:p w14:paraId="709260FC" w14:textId="1928585E" w:rsidR="00AB3594" w:rsidRPr="00AE3B56" w:rsidRDefault="00AB3594" w:rsidP="0023163E">
      <w:pPr>
        <w:pStyle w:val="Bibliography"/>
        <w:rPr>
          <w:sz w:val="20"/>
          <w:szCs w:val="20"/>
        </w:rPr>
      </w:pPr>
      <w:r>
        <w:rPr>
          <w:sz w:val="20"/>
          <w:szCs w:val="20"/>
        </w:rPr>
        <w:t>Fontaine, S., Barot, S., Barre, P., Bdioui, N., Mary, B., and Rumpel, C.: Stability of organic carbon in deep soil layers controlled by fresh carbon supply, Nature, 450, 277-281, 2007.</w:t>
      </w:r>
    </w:p>
    <w:p w14:paraId="1CC0A8E2" w14:textId="6E25B878" w:rsidR="0023163E" w:rsidRPr="00AE3B56" w:rsidRDefault="0023163E" w:rsidP="0023163E">
      <w:pPr>
        <w:pStyle w:val="Bibliography"/>
        <w:rPr>
          <w:sz w:val="20"/>
          <w:szCs w:val="20"/>
        </w:rPr>
      </w:pPr>
      <w:r w:rsidRPr="00AE3B56">
        <w:rPr>
          <w:sz w:val="20"/>
          <w:szCs w:val="20"/>
        </w:rPr>
        <w:t>Gill, R., Burke, I. C., Milchunas, D. G. and Lauenroth, W. K.: Relationship between root biomass and soil organic matter pools in th</w:t>
      </w:r>
      <w:r w:rsidR="00D1323C">
        <w:rPr>
          <w:sz w:val="20"/>
          <w:szCs w:val="20"/>
        </w:rPr>
        <w:t>e shortgrass steppe of eastern C</w:t>
      </w:r>
      <w:r w:rsidRPr="00AE3B56">
        <w:rPr>
          <w:sz w:val="20"/>
          <w:szCs w:val="20"/>
        </w:rPr>
        <w:t>olorado, Ecosystems, 2(3), 226–236, 1999.</w:t>
      </w:r>
    </w:p>
    <w:p w14:paraId="261BB1C8" w14:textId="77777777" w:rsidR="0023163E" w:rsidRPr="00AE3B56" w:rsidRDefault="0023163E" w:rsidP="0023163E">
      <w:pPr>
        <w:pStyle w:val="Bibliography"/>
        <w:rPr>
          <w:sz w:val="20"/>
          <w:szCs w:val="20"/>
        </w:rPr>
      </w:pPr>
      <w:r w:rsidRPr="00AE3B56">
        <w:rPr>
          <w:sz w:val="20"/>
          <w:szCs w:val="20"/>
        </w:rPr>
        <w:t>Gill, R. A. and Burke, I. C.: Influence of soil depth on the decomposition of bouteloua gracilis roots in the shortgrass steppe, Plant and Soil, 241(2), 233–242, 2002.</w:t>
      </w:r>
    </w:p>
    <w:p w14:paraId="0F800AAB" w14:textId="1322A757" w:rsidR="0023163E" w:rsidRPr="00AE3B56" w:rsidRDefault="0023163E" w:rsidP="0023163E">
      <w:pPr>
        <w:pStyle w:val="Bibliography"/>
        <w:rPr>
          <w:sz w:val="20"/>
          <w:szCs w:val="20"/>
        </w:rPr>
      </w:pPr>
      <w:r w:rsidRPr="00AE3B56">
        <w:rPr>
          <w:sz w:val="20"/>
          <w:szCs w:val="20"/>
        </w:rPr>
        <w:lastRenderedPageBreak/>
        <w:t>Gregory, A., Dungait, J., Watts, C., Bol, R., Dixon, E., White, R. and Whitmore, A.: Long-term management changes topsoil and subsoil organic carbon and nitrogen dynamics in a temperate</w:t>
      </w:r>
      <w:r w:rsidR="00D1323C">
        <w:rPr>
          <w:sz w:val="20"/>
          <w:szCs w:val="20"/>
        </w:rPr>
        <w:t xml:space="preserve"> agricultural system, European Journal of S</w:t>
      </w:r>
      <w:r w:rsidRPr="00AE3B56">
        <w:rPr>
          <w:sz w:val="20"/>
          <w:szCs w:val="20"/>
        </w:rPr>
        <w:t xml:space="preserve">oil </w:t>
      </w:r>
      <w:r w:rsidR="00D1323C">
        <w:rPr>
          <w:sz w:val="20"/>
          <w:szCs w:val="20"/>
        </w:rPr>
        <w:t>S</w:t>
      </w:r>
      <w:r w:rsidRPr="00AE3B56">
        <w:rPr>
          <w:sz w:val="20"/>
          <w:szCs w:val="20"/>
        </w:rPr>
        <w:t>cience, 67(4), 421–430, 2016.</w:t>
      </w:r>
    </w:p>
    <w:p w14:paraId="3E2600C3" w14:textId="56FFCF1D" w:rsidR="0023163E" w:rsidRPr="00AE3B56" w:rsidRDefault="0023163E" w:rsidP="0023163E">
      <w:pPr>
        <w:pStyle w:val="Bibliography"/>
        <w:rPr>
          <w:sz w:val="20"/>
          <w:szCs w:val="20"/>
        </w:rPr>
      </w:pPr>
      <w:r w:rsidRPr="00AE3B56">
        <w:rPr>
          <w:sz w:val="20"/>
          <w:szCs w:val="20"/>
        </w:rPr>
        <w:t>Guo, L. B. and Gifford, R.: Soil carbon stocks and land use c</w:t>
      </w:r>
      <w:r w:rsidR="00D1323C">
        <w:rPr>
          <w:sz w:val="20"/>
          <w:szCs w:val="20"/>
        </w:rPr>
        <w:t>hange: A meta analysis, Global Change B</w:t>
      </w:r>
      <w:r w:rsidRPr="00AE3B56">
        <w:rPr>
          <w:sz w:val="20"/>
          <w:szCs w:val="20"/>
        </w:rPr>
        <w:t>iology, 8(4), 345–360, 2002.</w:t>
      </w:r>
    </w:p>
    <w:p w14:paraId="52F80CFC" w14:textId="20758037" w:rsidR="0023163E" w:rsidRPr="00AE3B56" w:rsidRDefault="0023163E" w:rsidP="0023163E">
      <w:pPr>
        <w:pStyle w:val="Bibliography"/>
        <w:rPr>
          <w:sz w:val="20"/>
          <w:szCs w:val="20"/>
        </w:rPr>
      </w:pPr>
      <w:r w:rsidRPr="00AE3B56">
        <w:rPr>
          <w:sz w:val="20"/>
          <w:szCs w:val="20"/>
        </w:rPr>
        <w:t xml:space="preserve">Guzman, J. G. and Al-Kaisi, M. M.: Soil carbon dynamics and carbon budget of newly reconstructed tall-grass prairies in south central </w:t>
      </w:r>
      <w:r w:rsidR="00D1323C">
        <w:rPr>
          <w:sz w:val="20"/>
          <w:szCs w:val="20"/>
        </w:rPr>
        <w:t>I</w:t>
      </w:r>
      <w:r w:rsidRPr="00AE3B56">
        <w:rPr>
          <w:sz w:val="20"/>
          <w:szCs w:val="20"/>
        </w:rPr>
        <w:t xml:space="preserve">owa, Journal of </w:t>
      </w:r>
      <w:r w:rsidR="00D1323C">
        <w:rPr>
          <w:sz w:val="20"/>
          <w:szCs w:val="20"/>
        </w:rPr>
        <w:t>Environmental Q</w:t>
      </w:r>
      <w:r w:rsidRPr="00AE3B56">
        <w:rPr>
          <w:sz w:val="20"/>
          <w:szCs w:val="20"/>
        </w:rPr>
        <w:t>uality, 39(1), 136–146, 2010.</w:t>
      </w:r>
    </w:p>
    <w:p w14:paraId="1116F8B7" w14:textId="77777777" w:rsidR="0023163E" w:rsidRPr="00AE3B56" w:rsidRDefault="0023163E" w:rsidP="0023163E">
      <w:pPr>
        <w:pStyle w:val="Bibliography"/>
        <w:rPr>
          <w:sz w:val="20"/>
          <w:szCs w:val="20"/>
        </w:rPr>
      </w:pPr>
      <w:r w:rsidRPr="00AE3B56">
        <w:rPr>
          <w:sz w:val="20"/>
          <w:szCs w:val="20"/>
        </w:rPr>
        <w:t>Heggenstaller, A. H., Moore, K. J., Liebman, M. and Anex, R. P.: Nitrogen influences biomass and nutrient partitioning by perennial, warm-season grasses, Agronomy Journal, 101(6), 1363–1371, 2009.</w:t>
      </w:r>
    </w:p>
    <w:p w14:paraId="39503DCD" w14:textId="2218AC1E" w:rsidR="0023163E" w:rsidRPr="00AE3B56" w:rsidRDefault="0023163E" w:rsidP="0023163E">
      <w:pPr>
        <w:pStyle w:val="Bibliography"/>
        <w:rPr>
          <w:sz w:val="20"/>
          <w:szCs w:val="20"/>
        </w:rPr>
      </w:pPr>
      <w:r w:rsidRPr="00AE3B56">
        <w:rPr>
          <w:sz w:val="20"/>
          <w:szCs w:val="20"/>
        </w:rPr>
        <w:t xml:space="preserve">Huggins, D., Buyanovsky, G., Wagner, G., Brown, J., Darmody, R., Peck, T., Lesoing, G., Vanotti, </w:t>
      </w:r>
      <w:r w:rsidR="00D1323C">
        <w:rPr>
          <w:sz w:val="20"/>
          <w:szCs w:val="20"/>
        </w:rPr>
        <w:t>M. and Bundy, L.: Soil organic C</w:t>
      </w:r>
      <w:r w:rsidRPr="00AE3B56">
        <w:rPr>
          <w:sz w:val="20"/>
          <w:szCs w:val="20"/>
        </w:rPr>
        <w:t xml:space="preserve"> in the tallgrass prairie-derived region of the corn belt: Effects of long-term crop management, Soil and Tillage Research, 47(3), 219–234, 1998.</w:t>
      </w:r>
    </w:p>
    <w:p w14:paraId="565FB996" w14:textId="77777777" w:rsidR="0023163E" w:rsidRPr="00AE3B56" w:rsidRDefault="0023163E" w:rsidP="0023163E">
      <w:pPr>
        <w:pStyle w:val="Bibliography"/>
        <w:rPr>
          <w:sz w:val="20"/>
          <w:szCs w:val="20"/>
        </w:rPr>
      </w:pPr>
      <w:r w:rsidRPr="00AE3B56">
        <w:rPr>
          <w:sz w:val="20"/>
          <w:szCs w:val="20"/>
        </w:rPr>
        <w:t>Jarchow, M. E. and Liebman, M.: Nitrogen fertilization increases diversity and productivity of prairie communities used for bioenergy, GCB Bioenergy, 5(3), 281–289, 2013.</w:t>
      </w:r>
    </w:p>
    <w:p w14:paraId="315FA0B6" w14:textId="30334390" w:rsidR="0023163E" w:rsidRPr="00AE3B56" w:rsidRDefault="0023163E" w:rsidP="0023163E">
      <w:pPr>
        <w:pStyle w:val="Bibliography"/>
        <w:rPr>
          <w:sz w:val="20"/>
          <w:szCs w:val="20"/>
        </w:rPr>
      </w:pPr>
      <w:r w:rsidRPr="00AE3B56">
        <w:rPr>
          <w:sz w:val="20"/>
          <w:szCs w:val="20"/>
        </w:rPr>
        <w:t>Jobbágy, E. G. and Jackson, R. B.: The vertical distribution of soil organic carbon and its relation to clim</w:t>
      </w:r>
      <w:r w:rsidR="00D1323C">
        <w:rPr>
          <w:sz w:val="20"/>
          <w:szCs w:val="20"/>
        </w:rPr>
        <w:t>ate and vegetation, Ecological A</w:t>
      </w:r>
      <w:r w:rsidRPr="00AE3B56">
        <w:rPr>
          <w:sz w:val="20"/>
          <w:szCs w:val="20"/>
        </w:rPr>
        <w:t>pplications, 10(2), 423–436, 2000.</w:t>
      </w:r>
    </w:p>
    <w:p w14:paraId="3CA52B34" w14:textId="77777777" w:rsidR="0023163E" w:rsidRPr="00AE3B56" w:rsidRDefault="0023163E" w:rsidP="0023163E">
      <w:pPr>
        <w:pStyle w:val="Bibliography"/>
        <w:rPr>
          <w:sz w:val="20"/>
          <w:szCs w:val="20"/>
        </w:rPr>
      </w:pPr>
      <w:r w:rsidRPr="00AE3B56">
        <w:rPr>
          <w:sz w:val="20"/>
          <w:szCs w:val="20"/>
        </w:rPr>
        <w:t>Kong, A. Y. and Six, J.: Tracing root vs. residue carbon into soils from conventional and alternative cropping systems, Soil Science Society of America Journal, 74(4), 1201–1210, 2010.</w:t>
      </w:r>
    </w:p>
    <w:p w14:paraId="27772F80" w14:textId="6132D06A" w:rsidR="0023163E" w:rsidRPr="00AE3B56" w:rsidRDefault="0023163E" w:rsidP="0023163E">
      <w:pPr>
        <w:pStyle w:val="Bibliography"/>
        <w:rPr>
          <w:sz w:val="20"/>
          <w:szCs w:val="20"/>
        </w:rPr>
      </w:pPr>
      <w:r w:rsidRPr="00AE3B56">
        <w:rPr>
          <w:sz w:val="20"/>
          <w:szCs w:val="20"/>
        </w:rPr>
        <w:t>Liang, C. and Balser, T. C.: Preferential sequestration of microbial carbon in subsoils of a g</w:t>
      </w:r>
      <w:r w:rsidR="00D1323C">
        <w:rPr>
          <w:sz w:val="20"/>
          <w:szCs w:val="20"/>
        </w:rPr>
        <w:t>lacial-landscape toposequence, Dane county, WI, U</w:t>
      </w:r>
      <w:r w:rsidRPr="00AE3B56">
        <w:rPr>
          <w:sz w:val="20"/>
          <w:szCs w:val="20"/>
        </w:rPr>
        <w:t>SA, Geoderma, 148(1), 113–119, 2008.</w:t>
      </w:r>
    </w:p>
    <w:p w14:paraId="22661187" w14:textId="77777777" w:rsidR="0023163E" w:rsidRPr="00AE3B56" w:rsidRDefault="0023163E" w:rsidP="0023163E">
      <w:pPr>
        <w:pStyle w:val="Bibliography"/>
        <w:rPr>
          <w:sz w:val="20"/>
          <w:szCs w:val="20"/>
        </w:rPr>
      </w:pPr>
      <w:r w:rsidRPr="00AE3B56">
        <w:rPr>
          <w:sz w:val="20"/>
          <w:szCs w:val="20"/>
        </w:rPr>
        <w:t>McGranahan, D. A., Daigh, A. L., Veenstra, J. J., Engle, D. M., Miller, J. R. and Debinski, D. M.: Connecting soil organic carbon and root biomass with land-use and vegetation in temperate grassland, The Scientific World Journal, 2014, 2014.</w:t>
      </w:r>
    </w:p>
    <w:p w14:paraId="40BB1B38" w14:textId="2DD1934C" w:rsidR="0023163E" w:rsidRPr="00AE3B56" w:rsidRDefault="0023163E" w:rsidP="0023163E">
      <w:pPr>
        <w:pStyle w:val="Bibliography"/>
        <w:rPr>
          <w:sz w:val="20"/>
          <w:szCs w:val="20"/>
        </w:rPr>
      </w:pPr>
      <w:r w:rsidRPr="00AE3B56">
        <w:rPr>
          <w:sz w:val="20"/>
          <w:szCs w:val="20"/>
        </w:rPr>
        <w:t>Omonode, R. A. and Vyn, T. J.: Vertical distribution of soil organic carbon and nitrogen under warm-season native grasses relativ</w:t>
      </w:r>
      <w:r w:rsidR="00D1323C">
        <w:rPr>
          <w:sz w:val="20"/>
          <w:szCs w:val="20"/>
        </w:rPr>
        <w:t>e to croplands in west-central Indiana, U</w:t>
      </w:r>
      <w:r w:rsidRPr="00AE3B56">
        <w:rPr>
          <w:sz w:val="20"/>
          <w:szCs w:val="20"/>
        </w:rPr>
        <w:t>SA, Agriculture, Ecosystems &amp; Environment, 117(2), 159–170, 2006.</w:t>
      </w:r>
    </w:p>
    <w:p w14:paraId="65100F81" w14:textId="66967A24" w:rsidR="0023163E" w:rsidRPr="00AE3B56" w:rsidRDefault="0023163E" w:rsidP="0023163E">
      <w:pPr>
        <w:pStyle w:val="Bibliography"/>
        <w:rPr>
          <w:sz w:val="20"/>
          <w:szCs w:val="20"/>
        </w:rPr>
      </w:pPr>
      <w:r w:rsidRPr="00AE3B56">
        <w:rPr>
          <w:sz w:val="20"/>
          <w:szCs w:val="20"/>
        </w:rPr>
        <w:t>O’</w:t>
      </w:r>
      <w:r w:rsidR="00CC65A8">
        <w:rPr>
          <w:sz w:val="20"/>
          <w:szCs w:val="20"/>
        </w:rPr>
        <w:t>Brien</w:t>
      </w:r>
      <w:r w:rsidRPr="00AE3B56">
        <w:rPr>
          <w:sz w:val="20"/>
          <w:szCs w:val="20"/>
        </w:rPr>
        <w:t>, S. L., Jastrow, J. D., Grimley, D. A. and G</w:t>
      </w:r>
      <w:r w:rsidR="00D1323C">
        <w:rPr>
          <w:sz w:val="20"/>
          <w:szCs w:val="20"/>
        </w:rPr>
        <w:t>onzalez-Meler</w:t>
      </w:r>
      <w:r w:rsidRPr="00AE3B56">
        <w:rPr>
          <w:sz w:val="20"/>
          <w:szCs w:val="20"/>
        </w:rPr>
        <w:t>, M. A.: Moisture and vegetation controls on decadal-scale accrual of soil organic carbon and total nitrogen in restored grasslands, Global Change Biology, 16(9), 2573–2588, 2010.</w:t>
      </w:r>
    </w:p>
    <w:p w14:paraId="342FB1BD" w14:textId="2390B014" w:rsidR="0023163E" w:rsidRPr="00AE3B56" w:rsidRDefault="0023163E" w:rsidP="0023163E">
      <w:pPr>
        <w:pStyle w:val="Bibliography"/>
        <w:rPr>
          <w:sz w:val="20"/>
          <w:szCs w:val="20"/>
        </w:rPr>
      </w:pPr>
      <w:r w:rsidRPr="00AE3B56">
        <w:rPr>
          <w:sz w:val="20"/>
          <w:szCs w:val="20"/>
        </w:rPr>
        <w:t>Pinheiro, J., Bates, D., DebRoy, S</w:t>
      </w:r>
      <w:r w:rsidR="00D1323C">
        <w:rPr>
          <w:sz w:val="20"/>
          <w:szCs w:val="20"/>
        </w:rPr>
        <w:t>., Sarkar, D. and Team, R. C.: n</w:t>
      </w:r>
      <w:r w:rsidRPr="00AE3B56">
        <w:rPr>
          <w:sz w:val="20"/>
          <w:szCs w:val="20"/>
        </w:rPr>
        <w:t>lme: Linear and n</w:t>
      </w:r>
      <w:r w:rsidR="00D1323C">
        <w:rPr>
          <w:sz w:val="20"/>
          <w:szCs w:val="20"/>
        </w:rPr>
        <w:t>onlinear mixed effects models. R</w:t>
      </w:r>
      <w:r w:rsidRPr="00AE3B56">
        <w:rPr>
          <w:sz w:val="20"/>
          <w:szCs w:val="20"/>
        </w:rPr>
        <w:t xml:space="preserve"> package version 3.1-113, available at </w:t>
      </w:r>
      <w:r w:rsidR="007E1FD0" w:rsidRPr="007E1FD0">
        <w:rPr>
          <w:sz w:val="20"/>
          <w:szCs w:val="20"/>
        </w:rPr>
        <w:t>https://CRAN.R-project.org/package=nlme</w:t>
      </w:r>
      <w:r w:rsidRPr="00AE3B56">
        <w:rPr>
          <w:sz w:val="20"/>
          <w:szCs w:val="20"/>
        </w:rPr>
        <w:t>, 2013.</w:t>
      </w:r>
    </w:p>
    <w:p w14:paraId="24C26C64" w14:textId="69339C48" w:rsidR="0023163E" w:rsidRPr="00AE3B56" w:rsidRDefault="0023163E" w:rsidP="0023163E">
      <w:pPr>
        <w:pStyle w:val="Bibliography"/>
        <w:rPr>
          <w:sz w:val="20"/>
          <w:szCs w:val="20"/>
        </w:rPr>
      </w:pPr>
      <w:r w:rsidRPr="00AE3B56">
        <w:rPr>
          <w:sz w:val="20"/>
          <w:szCs w:val="20"/>
        </w:rPr>
        <w:t>Rasse, D. P., Rumpel, C. and Dignac, M.-F.: Is soil carbon mostly root carbon? Mechanisms for a spe</w:t>
      </w:r>
      <w:r w:rsidR="007E1FD0">
        <w:rPr>
          <w:sz w:val="20"/>
          <w:szCs w:val="20"/>
        </w:rPr>
        <w:t>cific stabilisation, Plant and S</w:t>
      </w:r>
      <w:r w:rsidRPr="00AE3B56">
        <w:rPr>
          <w:sz w:val="20"/>
          <w:szCs w:val="20"/>
        </w:rPr>
        <w:t>oil, 269(1-2), 341–356, 2005.</w:t>
      </w:r>
    </w:p>
    <w:p w14:paraId="51C4EBCE" w14:textId="77777777" w:rsidR="0023163E" w:rsidRPr="00AE3B56" w:rsidRDefault="0023163E" w:rsidP="0023163E">
      <w:pPr>
        <w:pStyle w:val="Bibliography"/>
        <w:rPr>
          <w:sz w:val="20"/>
          <w:szCs w:val="20"/>
        </w:rPr>
      </w:pPr>
      <w:r w:rsidRPr="00AE3B56">
        <w:rPr>
          <w:sz w:val="20"/>
          <w:szCs w:val="20"/>
        </w:rPr>
        <w:t>Rumpel, C. and Kögel-Knabner, I.: Deep soil organic matter-a key but poorly understood component of terrestrial c cycle, Plant and Soil, 338(1-2), 143–158, 2011.</w:t>
      </w:r>
    </w:p>
    <w:p w14:paraId="0A970F83" w14:textId="77777777" w:rsidR="0023163E" w:rsidRPr="00AE3B56" w:rsidRDefault="0023163E" w:rsidP="0023163E">
      <w:pPr>
        <w:pStyle w:val="Bibliography"/>
        <w:rPr>
          <w:sz w:val="20"/>
          <w:szCs w:val="20"/>
        </w:rPr>
      </w:pPr>
      <w:r w:rsidRPr="00AE3B56">
        <w:rPr>
          <w:sz w:val="20"/>
          <w:szCs w:val="20"/>
        </w:rPr>
        <w:t>Silver, W. L. and Miya, R. K.: Global patterns in root decomposition: Comparisons of climate and litter quality effects, Oecologia, 129(3), 407–419, 2001.</w:t>
      </w:r>
    </w:p>
    <w:p w14:paraId="603AC79D" w14:textId="24D5B144" w:rsidR="0023163E" w:rsidRPr="00AE3B56" w:rsidRDefault="0023163E" w:rsidP="0023163E">
      <w:pPr>
        <w:pStyle w:val="Bibliography"/>
        <w:rPr>
          <w:sz w:val="20"/>
          <w:szCs w:val="20"/>
        </w:rPr>
      </w:pPr>
      <w:r w:rsidRPr="00AE3B56">
        <w:rPr>
          <w:sz w:val="20"/>
          <w:szCs w:val="20"/>
        </w:rPr>
        <w:t xml:space="preserve">Six, J., Conant, R., Paul, E. A. and Paustian, K.: Stabilization mechanisms of soil organic matter: Implications for </w:t>
      </w:r>
      <w:r w:rsidR="007E1FD0">
        <w:rPr>
          <w:sz w:val="20"/>
          <w:szCs w:val="20"/>
        </w:rPr>
        <w:t>C</w:t>
      </w:r>
      <w:r w:rsidRPr="00AE3B56">
        <w:rPr>
          <w:sz w:val="20"/>
          <w:szCs w:val="20"/>
        </w:rPr>
        <w:t xml:space="preserve">-saturation of soils, Plant and </w:t>
      </w:r>
      <w:r w:rsidR="007E1FD0">
        <w:rPr>
          <w:sz w:val="20"/>
          <w:szCs w:val="20"/>
        </w:rPr>
        <w:t>S</w:t>
      </w:r>
      <w:r w:rsidRPr="00AE3B56">
        <w:rPr>
          <w:sz w:val="20"/>
          <w:szCs w:val="20"/>
        </w:rPr>
        <w:t>oil, 241(2), 155–176, 2002.</w:t>
      </w:r>
    </w:p>
    <w:p w14:paraId="4A08C6A0" w14:textId="6D165D1E" w:rsidR="0023163E" w:rsidRPr="00AE3B56" w:rsidRDefault="0023163E" w:rsidP="0023163E">
      <w:pPr>
        <w:pStyle w:val="Bibliography"/>
        <w:rPr>
          <w:sz w:val="20"/>
          <w:szCs w:val="20"/>
        </w:rPr>
      </w:pPr>
      <w:r w:rsidRPr="00AE3B56">
        <w:rPr>
          <w:sz w:val="20"/>
          <w:szCs w:val="20"/>
        </w:rPr>
        <w:t>Tufekcioglu, A., Raich, J., Isenhart, T. and Schultz, R.: Biomass, carbon and nitrogen dynamics of multi-species riparian buffers within an agricultural wa</w:t>
      </w:r>
      <w:r w:rsidR="007E1FD0">
        <w:rPr>
          <w:sz w:val="20"/>
          <w:szCs w:val="20"/>
        </w:rPr>
        <w:t>tershed in Iowa, U</w:t>
      </w:r>
      <w:r w:rsidRPr="00AE3B56">
        <w:rPr>
          <w:sz w:val="20"/>
          <w:szCs w:val="20"/>
        </w:rPr>
        <w:t>SA, Agroforestry Systems, 57(3), 187–198, 2003.</w:t>
      </w:r>
    </w:p>
    <w:p w14:paraId="4DB8B3E1" w14:textId="694CA7FF" w:rsidR="0023163E" w:rsidRDefault="0023163E" w:rsidP="0023163E">
      <w:pPr>
        <w:pStyle w:val="Bibliography"/>
        <w:rPr>
          <w:sz w:val="20"/>
          <w:szCs w:val="20"/>
        </w:rPr>
      </w:pPr>
      <w:r w:rsidRPr="00AE3B56">
        <w:rPr>
          <w:sz w:val="20"/>
          <w:szCs w:val="20"/>
        </w:rPr>
        <w:t>Van Es, H., Gomes, C., Sellmann, M. and Van Es, C.: Spatially-balanced complete block designs for field experiments, Geoderma, 140(4), 346–352, 2007.</w:t>
      </w:r>
    </w:p>
    <w:p w14:paraId="3CD5E210" w14:textId="5BA94DC7" w:rsidR="00154883" w:rsidRPr="00AE3B56" w:rsidRDefault="00154883" w:rsidP="0023163E">
      <w:pPr>
        <w:pStyle w:val="Bibliography"/>
        <w:rPr>
          <w:sz w:val="20"/>
          <w:szCs w:val="20"/>
        </w:rPr>
      </w:pPr>
      <w:r>
        <w:rPr>
          <w:sz w:val="20"/>
          <w:szCs w:val="20"/>
        </w:rPr>
        <w:t>Weaver, J.E., Hougen, V. H., and Weldon, M.D.: Relation of root distribution or organic matter in prairie soil, Botanical Gazette, 96(3), 389-420, 1935.</w:t>
      </w:r>
    </w:p>
    <w:p w14:paraId="41D98AB7" w14:textId="77777777" w:rsidR="0023163E" w:rsidRPr="00AE3B56" w:rsidRDefault="0023163E" w:rsidP="0023163E">
      <w:pPr>
        <w:pStyle w:val="Bibliography"/>
        <w:rPr>
          <w:sz w:val="20"/>
          <w:szCs w:val="20"/>
        </w:rPr>
      </w:pPr>
      <w:r w:rsidRPr="00AE3B56">
        <w:rPr>
          <w:sz w:val="20"/>
          <w:szCs w:val="20"/>
        </w:rPr>
        <w:t>Wiles, L. J., Barlin, D. H., Schweizer, E. E., Duke, H. R. and Whitt, D. E.: A new soil sampler and elutriator for collecting and extracting weed seeds from soil, Weed Technology, 35–41, 1996.</w:t>
      </w:r>
    </w:p>
    <w:sectPr w:rsidR="0023163E" w:rsidRPr="00AE3B56" w:rsidSect="00D17B66">
      <w:footerReference w:type="default" r:id="rId16"/>
      <w:pgSz w:w="12240" w:h="15840" w:code="1"/>
      <w:pgMar w:top="720" w:right="720" w:bottom="720" w:left="720"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381A1" w14:textId="77777777" w:rsidR="00E16586" w:rsidRDefault="00E16586" w:rsidP="006D0C96">
      <w:pPr>
        <w:spacing w:line="240" w:lineRule="auto"/>
      </w:pPr>
      <w:r>
        <w:separator/>
      </w:r>
    </w:p>
  </w:endnote>
  <w:endnote w:type="continuationSeparator" w:id="0">
    <w:p w14:paraId="38D6A585" w14:textId="77777777" w:rsidR="00E16586" w:rsidRDefault="00E16586"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37FAAB71" w:rsidR="00777D08" w:rsidRDefault="00777D08">
        <w:pPr>
          <w:pStyle w:val="Footer"/>
          <w:jc w:val="center"/>
        </w:pPr>
        <w:r>
          <w:fldChar w:fldCharType="begin"/>
        </w:r>
        <w:r>
          <w:instrText xml:space="preserve"> PAGE   \* MERGEFORMAT </w:instrText>
        </w:r>
        <w:r>
          <w:fldChar w:fldCharType="separate"/>
        </w:r>
        <w:r w:rsidR="002B26DD">
          <w:rPr>
            <w:noProof/>
          </w:rPr>
          <w:t>2</w:t>
        </w:r>
        <w:r>
          <w:rPr>
            <w:noProof/>
          </w:rPr>
          <w:fldChar w:fldCharType="end"/>
        </w:r>
      </w:p>
    </w:sdtContent>
  </w:sdt>
  <w:p w14:paraId="3669A038" w14:textId="77777777" w:rsidR="00777D08" w:rsidRDefault="00777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23DDE" w14:textId="77777777" w:rsidR="00E16586" w:rsidRDefault="00E16586" w:rsidP="006D0C96">
      <w:pPr>
        <w:spacing w:line="240" w:lineRule="auto"/>
      </w:pPr>
      <w:r>
        <w:separator/>
      </w:r>
    </w:p>
  </w:footnote>
  <w:footnote w:type="continuationSeparator" w:id="0">
    <w:p w14:paraId="21C55A0A" w14:textId="77777777" w:rsidR="00E16586" w:rsidRDefault="00E16586"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06DE4"/>
    <w:rsid w:val="000071EB"/>
    <w:rsid w:val="00007608"/>
    <w:rsid w:val="00016B99"/>
    <w:rsid w:val="0002397F"/>
    <w:rsid w:val="00046168"/>
    <w:rsid w:val="0005690A"/>
    <w:rsid w:val="000611AC"/>
    <w:rsid w:val="00075F28"/>
    <w:rsid w:val="000834F6"/>
    <w:rsid w:val="000A1B66"/>
    <w:rsid w:val="000A2D5C"/>
    <w:rsid w:val="000A53AC"/>
    <w:rsid w:val="000C3A9F"/>
    <w:rsid w:val="000C5BFF"/>
    <w:rsid w:val="000D17EE"/>
    <w:rsid w:val="000D6CF0"/>
    <w:rsid w:val="000D7972"/>
    <w:rsid w:val="000E09FB"/>
    <w:rsid w:val="000E32E5"/>
    <w:rsid w:val="000F078B"/>
    <w:rsid w:val="00106F11"/>
    <w:rsid w:val="001070FF"/>
    <w:rsid w:val="0011126F"/>
    <w:rsid w:val="00144C5F"/>
    <w:rsid w:val="00154883"/>
    <w:rsid w:val="0017132B"/>
    <w:rsid w:val="00172A4E"/>
    <w:rsid w:val="00183331"/>
    <w:rsid w:val="0019073C"/>
    <w:rsid w:val="001A084F"/>
    <w:rsid w:val="001A0DC0"/>
    <w:rsid w:val="001A692A"/>
    <w:rsid w:val="001B4D53"/>
    <w:rsid w:val="001C5EB9"/>
    <w:rsid w:val="002029EA"/>
    <w:rsid w:val="002036E1"/>
    <w:rsid w:val="00203F92"/>
    <w:rsid w:val="00225F3A"/>
    <w:rsid w:val="00227A0F"/>
    <w:rsid w:val="0023077A"/>
    <w:rsid w:val="0023163E"/>
    <w:rsid w:val="00261B39"/>
    <w:rsid w:val="00273B2A"/>
    <w:rsid w:val="002858A7"/>
    <w:rsid w:val="002B26DD"/>
    <w:rsid w:val="002D0101"/>
    <w:rsid w:val="002D02EF"/>
    <w:rsid w:val="00305A19"/>
    <w:rsid w:val="0030714C"/>
    <w:rsid w:val="003118C8"/>
    <w:rsid w:val="00330B7C"/>
    <w:rsid w:val="00341834"/>
    <w:rsid w:val="003751D4"/>
    <w:rsid w:val="00381DCB"/>
    <w:rsid w:val="00394D2E"/>
    <w:rsid w:val="003A4FB4"/>
    <w:rsid w:val="003B3B7C"/>
    <w:rsid w:val="003D4C84"/>
    <w:rsid w:val="003D5288"/>
    <w:rsid w:val="003E6D6D"/>
    <w:rsid w:val="003F27F8"/>
    <w:rsid w:val="00450DB9"/>
    <w:rsid w:val="00451A08"/>
    <w:rsid w:val="00463568"/>
    <w:rsid w:val="00464891"/>
    <w:rsid w:val="004668F7"/>
    <w:rsid w:val="00494AEE"/>
    <w:rsid w:val="004A607E"/>
    <w:rsid w:val="004D0F1A"/>
    <w:rsid w:val="00513FDC"/>
    <w:rsid w:val="00522943"/>
    <w:rsid w:val="00532388"/>
    <w:rsid w:val="00537A1D"/>
    <w:rsid w:val="00540BD4"/>
    <w:rsid w:val="00545D37"/>
    <w:rsid w:val="0055217B"/>
    <w:rsid w:val="00554D80"/>
    <w:rsid w:val="00562308"/>
    <w:rsid w:val="00564213"/>
    <w:rsid w:val="00570C2E"/>
    <w:rsid w:val="005A4F32"/>
    <w:rsid w:val="005B4236"/>
    <w:rsid w:val="005C2F50"/>
    <w:rsid w:val="005F655C"/>
    <w:rsid w:val="006057D1"/>
    <w:rsid w:val="006121C1"/>
    <w:rsid w:val="006233A4"/>
    <w:rsid w:val="00626082"/>
    <w:rsid w:val="006326D7"/>
    <w:rsid w:val="00641571"/>
    <w:rsid w:val="006675FF"/>
    <w:rsid w:val="00670F05"/>
    <w:rsid w:val="0067146A"/>
    <w:rsid w:val="0067549D"/>
    <w:rsid w:val="0068118F"/>
    <w:rsid w:val="006943F1"/>
    <w:rsid w:val="006A0C9A"/>
    <w:rsid w:val="006A2BD8"/>
    <w:rsid w:val="006A43B8"/>
    <w:rsid w:val="006B6053"/>
    <w:rsid w:val="006C3CB2"/>
    <w:rsid w:val="006C6BC4"/>
    <w:rsid w:val="006D0C96"/>
    <w:rsid w:val="006D2DCF"/>
    <w:rsid w:val="006E10D7"/>
    <w:rsid w:val="006E59D9"/>
    <w:rsid w:val="0070537F"/>
    <w:rsid w:val="007212AC"/>
    <w:rsid w:val="007227BD"/>
    <w:rsid w:val="00751A44"/>
    <w:rsid w:val="00752935"/>
    <w:rsid w:val="007561B4"/>
    <w:rsid w:val="00777D08"/>
    <w:rsid w:val="00794933"/>
    <w:rsid w:val="00796A7F"/>
    <w:rsid w:val="007A1D7F"/>
    <w:rsid w:val="007C62D8"/>
    <w:rsid w:val="007E1FD0"/>
    <w:rsid w:val="007E2725"/>
    <w:rsid w:val="007E3EEB"/>
    <w:rsid w:val="008100C7"/>
    <w:rsid w:val="0084540A"/>
    <w:rsid w:val="00855006"/>
    <w:rsid w:val="00862449"/>
    <w:rsid w:val="008758FA"/>
    <w:rsid w:val="008B719F"/>
    <w:rsid w:val="008C4E85"/>
    <w:rsid w:val="008E213F"/>
    <w:rsid w:val="008E27B7"/>
    <w:rsid w:val="008E3110"/>
    <w:rsid w:val="008E35D4"/>
    <w:rsid w:val="008E7F42"/>
    <w:rsid w:val="008F3FDD"/>
    <w:rsid w:val="008F46B4"/>
    <w:rsid w:val="008F6F13"/>
    <w:rsid w:val="009060C1"/>
    <w:rsid w:val="00906BE3"/>
    <w:rsid w:val="009130B4"/>
    <w:rsid w:val="009150E4"/>
    <w:rsid w:val="0091791F"/>
    <w:rsid w:val="009179CC"/>
    <w:rsid w:val="00921A69"/>
    <w:rsid w:val="00923F6B"/>
    <w:rsid w:val="00932F15"/>
    <w:rsid w:val="009350FC"/>
    <w:rsid w:val="00943440"/>
    <w:rsid w:val="00955F29"/>
    <w:rsid w:val="00971CB0"/>
    <w:rsid w:val="00973372"/>
    <w:rsid w:val="009A4D11"/>
    <w:rsid w:val="009A5D78"/>
    <w:rsid w:val="009B08D9"/>
    <w:rsid w:val="009B102F"/>
    <w:rsid w:val="009C6B24"/>
    <w:rsid w:val="009D38E2"/>
    <w:rsid w:val="009F2C0A"/>
    <w:rsid w:val="009F2E05"/>
    <w:rsid w:val="009F40A9"/>
    <w:rsid w:val="00A0548C"/>
    <w:rsid w:val="00A3597B"/>
    <w:rsid w:val="00A4321F"/>
    <w:rsid w:val="00A47340"/>
    <w:rsid w:val="00A57A1B"/>
    <w:rsid w:val="00A66BC2"/>
    <w:rsid w:val="00A70798"/>
    <w:rsid w:val="00A756DA"/>
    <w:rsid w:val="00A94204"/>
    <w:rsid w:val="00AA225B"/>
    <w:rsid w:val="00AB3594"/>
    <w:rsid w:val="00AB4B4F"/>
    <w:rsid w:val="00AC74AC"/>
    <w:rsid w:val="00AD161F"/>
    <w:rsid w:val="00AD1FA1"/>
    <w:rsid w:val="00AD551C"/>
    <w:rsid w:val="00AE3B56"/>
    <w:rsid w:val="00AE4157"/>
    <w:rsid w:val="00B00567"/>
    <w:rsid w:val="00B17AB0"/>
    <w:rsid w:val="00B30BF9"/>
    <w:rsid w:val="00B4015F"/>
    <w:rsid w:val="00B5409E"/>
    <w:rsid w:val="00B5719D"/>
    <w:rsid w:val="00B57DB5"/>
    <w:rsid w:val="00B75342"/>
    <w:rsid w:val="00B76D3B"/>
    <w:rsid w:val="00B901D7"/>
    <w:rsid w:val="00B94A58"/>
    <w:rsid w:val="00BA0123"/>
    <w:rsid w:val="00BB138B"/>
    <w:rsid w:val="00BB2689"/>
    <w:rsid w:val="00BB6E2E"/>
    <w:rsid w:val="00BD0523"/>
    <w:rsid w:val="00BE0AC1"/>
    <w:rsid w:val="00BF164E"/>
    <w:rsid w:val="00BF1B55"/>
    <w:rsid w:val="00BF2B38"/>
    <w:rsid w:val="00C1589F"/>
    <w:rsid w:val="00C2251E"/>
    <w:rsid w:val="00C26311"/>
    <w:rsid w:val="00C33F13"/>
    <w:rsid w:val="00C35812"/>
    <w:rsid w:val="00C4589A"/>
    <w:rsid w:val="00C70FBD"/>
    <w:rsid w:val="00C82F79"/>
    <w:rsid w:val="00CA02A2"/>
    <w:rsid w:val="00CB0C40"/>
    <w:rsid w:val="00CB4D76"/>
    <w:rsid w:val="00CC0512"/>
    <w:rsid w:val="00CC51D0"/>
    <w:rsid w:val="00CC65A8"/>
    <w:rsid w:val="00CE1D36"/>
    <w:rsid w:val="00CE3A2F"/>
    <w:rsid w:val="00CF0992"/>
    <w:rsid w:val="00CF32F3"/>
    <w:rsid w:val="00D1323C"/>
    <w:rsid w:val="00D14064"/>
    <w:rsid w:val="00D17B66"/>
    <w:rsid w:val="00D31B19"/>
    <w:rsid w:val="00D349E2"/>
    <w:rsid w:val="00D40CE0"/>
    <w:rsid w:val="00D50D3D"/>
    <w:rsid w:val="00D5213F"/>
    <w:rsid w:val="00D54ADB"/>
    <w:rsid w:val="00D55D3E"/>
    <w:rsid w:val="00D6671C"/>
    <w:rsid w:val="00D73EC2"/>
    <w:rsid w:val="00D94C81"/>
    <w:rsid w:val="00DA6086"/>
    <w:rsid w:val="00DB4E53"/>
    <w:rsid w:val="00DC393C"/>
    <w:rsid w:val="00DD5451"/>
    <w:rsid w:val="00DD5530"/>
    <w:rsid w:val="00DE704E"/>
    <w:rsid w:val="00E00339"/>
    <w:rsid w:val="00E142A8"/>
    <w:rsid w:val="00E16586"/>
    <w:rsid w:val="00E205CA"/>
    <w:rsid w:val="00E62D26"/>
    <w:rsid w:val="00E87466"/>
    <w:rsid w:val="00E979B6"/>
    <w:rsid w:val="00EA13F0"/>
    <w:rsid w:val="00EA405D"/>
    <w:rsid w:val="00EA4D22"/>
    <w:rsid w:val="00EC19F3"/>
    <w:rsid w:val="00ED6B96"/>
    <w:rsid w:val="00EE58C0"/>
    <w:rsid w:val="00EF5314"/>
    <w:rsid w:val="00F03621"/>
    <w:rsid w:val="00F22177"/>
    <w:rsid w:val="00F228FB"/>
    <w:rsid w:val="00F2752C"/>
    <w:rsid w:val="00F35903"/>
    <w:rsid w:val="00F5258E"/>
    <w:rsid w:val="00F62758"/>
    <w:rsid w:val="00F645F1"/>
    <w:rsid w:val="00FB38D3"/>
    <w:rsid w:val="00FB6212"/>
    <w:rsid w:val="00FB6429"/>
    <w:rsid w:val="00FF0BCA"/>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7A29E051-30C1-43EA-8F37-CFE50E0A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 w:type="paragraph" w:styleId="CommentSubject">
    <w:name w:val="annotation subject"/>
    <w:basedOn w:val="CommentText"/>
    <w:next w:val="CommentText"/>
    <w:link w:val="CommentSubjectChar"/>
    <w:uiPriority w:val="99"/>
    <w:semiHidden/>
    <w:unhideWhenUsed/>
    <w:rsid w:val="009130B4"/>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9130B4"/>
    <w:rPr>
      <w:rFonts w:ascii="Times New Roman" w:eastAsia="Times New Roman" w:hAnsi="Times New Roman" w:cstheme="minorBidi"/>
      <w:b/>
      <w:bCs/>
      <w:lang w:val="en-US" w:eastAsia="de-DE"/>
    </w:rPr>
  </w:style>
  <w:style w:type="paragraph" w:styleId="Bibliography">
    <w:name w:val="Bibliography"/>
    <w:basedOn w:val="Normal"/>
    <w:qFormat/>
    <w:rsid w:val="0023163E"/>
    <w:pPr>
      <w:spacing w:after="200" w:line="240" w:lineRule="auto"/>
      <w:jc w:val="left"/>
    </w:pPr>
    <w:rPr>
      <w:rFonts w:asciiTheme="minorHAnsi" w:eastAsiaTheme="minorHAnsi" w:hAnsiTheme="minorHAnsi" w:cstheme="minorBidi"/>
      <w:sz w:val="24"/>
      <w:lang w:val="en-US" w:eastAsia="en-US"/>
    </w:rPr>
  </w:style>
  <w:style w:type="table" w:styleId="TableGrid">
    <w:name w:val="Table Grid"/>
    <w:basedOn w:val="TableNormal"/>
    <w:uiPriority w:val="59"/>
    <w:rsid w:val="00CE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120">
      <w:bodyDiv w:val="1"/>
      <w:marLeft w:val="0"/>
      <w:marRight w:val="0"/>
      <w:marTop w:val="0"/>
      <w:marBottom w:val="0"/>
      <w:divBdr>
        <w:top w:val="none" w:sz="0" w:space="0" w:color="auto"/>
        <w:left w:val="none" w:sz="0" w:space="0" w:color="auto"/>
        <w:bottom w:val="none" w:sz="0" w:space="0" w:color="auto"/>
        <w:right w:val="none" w:sz="0" w:space="0" w:color="auto"/>
      </w:divBdr>
    </w:div>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49124661">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 w:id="21191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55554-9CB0-41C0-A55A-441C0CE3E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19</TotalTime>
  <Pages>1</Pages>
  <Words>6887</Words>
  <Characters>39256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46051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Martin Rasmussen</dc:creator>
  <cp:keywords/>
  <dc:description/>
  <cp:lastModifiedBy>Dietzel, Ranae N [AGRON]</cp:lastModifiedBy>
  <cp:revision>2</cp:revision>
  <cp:lastPrinted>2017-06-15T02:31:00Z</cp:lastPrinted>
  <dcterms:created xsi:type="dcterms:W3CDTF">2017-06-15T02:25:00Z</dcterms:created>
  <dcterms:modified xsi:type="dcterms:W3CDTF">2017-06-16T14:53:00Z</dcterms:modified>
</cp:coreProperties>
</file>