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0"/>
        <w:ind w:firstLine="3654" w:firstLineChars="1300"/>
        <w:jc w:val="left"/>
        <w:rPr>
          <w:rFonts w:hint="eastAsia"/>
          <w:b/>
          <w:bCs/>
          <w:i w:val="0"/>
          <w:color w:val="000000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b/>
          <w:bCs/>
          <w:i w:val="0"/>
          <w:color w:val="000000"/>
          <w:sz w:val="28"/>
          <w:szCs w:val="28"/>
          <w:lang w:eastAsia="zh-CN"/>
        </w:rPr>
        <w:t>参考答案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</w:tbl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21.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26分）</w:t>
      </w:r>
    </w:p>
    <w:p>
      <w:pPr>
        <w:numPr>
          <w:ilvl w:val="0"/>
          <w:numId w:val="1"/>
        </w:numPr>
        <w:spacing w:after="0"/>
        <w:jc w:val="left"/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after="0"/>
        <w:jc w:val="left"/>
        <w:rPr>
          <w:rFonts w:hint="eastAsia" w:eastAsia="宋体"/>
          <w:lang w:eastAsia="zh-CN"/>
        </w:rPr>
      </w:pP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态势：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1972以前双方长期处于敌视对抗状态；1972年以后中美关系在曲折中前进。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原因：世界局势发生重大变化；中国的国际地位不断提高；美国孤立中国政策的失败；美国与苏联争霸的需要；美国综合国力相对衰退；中国受到来自苏联的威胁；中国解决台湾问题需要等。</w:t>
      </w: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（答出任意两点即可）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spacing w:after="0"/>
        <w:ind w:left="0"/>
        <w:jc w:val="left"/>
        <w:rPr>
          <w:color w:val="FF0000"/>
        </w:rPr>
      </w:pPr>
    </w:p>
    <w:p>
      <w:pPr>
        <w:numPr>
          <w:ilvl w:val="0"/>
          <w:numId w:val="2"/>
        </w:numPr>
        <w:spacing w:after="0"/>
        <w:ind w:left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8分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联系：中美关系正常化为我国实行对外开放创造良好的国际环境；我国的改革开放推动了中美的不断发展。</w:t>
      </w:r>
      <w:r>
        <w:rPr>
          <w:b w:val="0"/>
          <w:i w:val="0"/>
          <w:color w:val="000000"/>
          <w:sz w:val="21"/>
        </w:rPr>
        <w:t xml:space="preserve">  </w:t>
      </w:r>
    </w:p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numPr>
          <w:ilvl w:val="0"/>
          <w:numId w:val="0"/>
        </w:numPr>
        <w:spacing w:after="0"/>
        <w:ind w:leftChars="0"/>
        <w:jc w:val="left"/>
      </w:pP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认识：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合作是双方最好的选择；合则两利，斗则俱伤；中美两国关系发展不会一帆风顺；中美关系前途是光明的，道路是曲折的；中美关系不仅关系两国人民利益，而且是世界和平稳定发展的基石等。 </w:t>
      </w: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（答出任意一点即可）</w:t>
      </w:r>
      <w:r>
        <w:rPr>
          <w:b w:val="0"/>
          <w:i w:val="0"/>
          <w:color w:val="000000"/>
          <w:sz w:val="21"/>
        </w:rPr>
        <w:t xml:space="preserve">    </w:t>
      </w:r>
    </w:p>
    <w:p>
      <w:pPr>
        <w:rPr>
          <w:rFonts w:hint="eastAsia" w:eastAsia="宋体"/>
          <w:b w:val="0"/>
          <w:i w:val="0"/>
          <w:color w:val="FF0000"/>
          <w:sz w:val="21"/>
          <w:lang w:eastAsia="zh-CN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22.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24</w:t>
      </w:r>
      <w:r>
        <w:rPr>
          <w:b w:val="0"/>
          <w:i w:val="0"/>
          <w:color w:val="000000"/>
          <w:sz w:val="21"/>
        </w:rPr>
        <w:t>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numPr>
          <w:ilvl w:val="0"/>
          <w:numId w:val="3"/>
        </w:numPr>
        <w:spacing w:line="360" w:lineRule="auto"/>
        <w:jc w:val="left"/>
        <w:textAlignment w:val="center"/>
        <w:rPr>
          <w:rStyle w:val="5"/>
          <w:rFonts w:hint="eastAsia" w:asciiTheme="minorEastAsia" w:hAnsiTheme="minorEastAsia" w:eastAsiaTheme="minorEastAsia" w:cstheme="minorEastAsia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Style w:val="5"/>
          <w:rFonts w:hint="eastAsia" w:asciiTheme="minorEastAsia" w:hAnsiTheme="minorEastAsia" w:eastAsiaTheme="minorEastAsia" w:cstheme="minorEastAsia"/>
          <w:lang w:val="en-US" w:eastAsia="zh-CN"/>
        </w:rPr>
        <w:t>12分</w:t>
      </w:r>
      <w:r>
        <w:rPr>
          <w:rStyle w:val="5"/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科学家：邓稼先，钱学森。</w:t>
      </w:r>
    </w:p>
    <w:p>
      <w:pPr>
        <w:spacing w:line="360" w:lineRule="auto"/>
        <w:jc w:val="left"/>
        <w:textAlignment w:val="center"/>
        <w:rPr>
          <w:rStyle w:val="5"/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意义：</w:t>
      </w: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它打破了当时有核大国的核垄断，增强了我国的国防实力，大大提高了我国的国际地位。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center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8分</w:t>
      </w:r>
      <w:r>
        <w:rPr>
          <w:rStyle w:val="5"/>
          <w:rFonts w:hint="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rStyle w:val="5"/>
          <w:rFonts w:hint="eastAsia"/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条件：国家重视；决策科学；科研队伍壮大；经费投入增加；教育水平提高等。</w:t>
      </w:r>
      <w:r>
        <w:rPr>
          <w:rStyle w:val="5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（答出任意两点即可）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center"/>
        <w:rPr>
          <w:rStyle w:val="5"/>
        </w:rPr>
      </w:pP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4分</w:t>
      </w:r>
      <w:r>
        <w:rPr>
          <w:rStyle w:val="5"/>
          <w:rFonts w:hint="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</w:pP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原因：传承弘扬航天精神。</w:t>
      </w:r>
    </w:p>
    <w:sectPr>
      <w:foot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37073"/>
    <w:multiLevelType w:val="singleLevel"/>
    <w:tmpl w:val="C17370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22BEF18"/>
    <w:multiLevelType w:val="singleLevel"/>
    <w:tmpl w:val="C22BEF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E85122E"/>
    <w:multiLevelType w:val="singleLevel"/>
    <w:tmpl w:val="6E85122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F7913"/>
    <w:rsid w:val="020F7913"/>
    <w:rsid w:val="139F0390"/>
    <w:rsid w:val="73EE3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2020-04-28T12:09:00Z</dcterms:created>
  <dc:creator>百合与豆蔻</dc:creator>
  <cp:lastModifiedBy>百合与豆蔻</cp:lastModifiedBy>
  <dcterms:modified xsi:type="dcterms:W3CDTF">2020-04-30T07:31:23Z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