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TWD_GRUPO1</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not provided</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Administrator</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2024-11-27</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TWD_GRUPO1.</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 Sonar way [JavaScript]; Sonar way [HTML]; Sonar way [XML]; </w:t>
      </w:r>
    </w:p>
    <w:p w:rsidR="00CF2650" w:rsidRDefault="001F5FAC" w:rsidP="00CF2650">
      <w:pPr>
        <w:numPr>
          <w:ilvl w:val="1"/>
          <w:numId w:val="3"/>
        </w:numPr>
      </w:pPr>
      <w:r>
        <w:t>Files</w:t>
      </w:r>
      <w:r w:rsidR="00CF2650">
        <w:t xml:space="preserve">: AZLA0SfYUhnVQK0JYNUD.json; AZLA0S-KUhnVQK0JYONU.json; AZLA0SpzUhnVQK0JYNi7.json; AZLA0TDkUhnVQK0JYOVt.json; AZLA0TFcUhnVQK0JYOW8.json;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B.png"/>
                  <a:graphic xmlns:a="http://schemas.openxmlformats.org/drawingml/2006/main">
                    <a:graphicData uri="http://schemas.openxmlformats.org/drawingml/2006/picture">
                      <pic:pic xmlns:pic="http://schemas.openxmlformats.org/drawingml/2006/picture">
                        <pic:nvPicPr>
                          <pic:cNvPr id="0" name="Picture 0" descr="B.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9"/>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7.7 %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9.4 %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56.5</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99.3</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0h 10min</w:t>
            </w:r>
          </w:p>
        </w:tc>
        <w:tc>
          <w:p>
            <w:r>
              <w:t>-</w:t>
            </w:r>
          </w:p>
        </w:tc>
        <w:tc>
          <w:p>
            <w:r>
              <w:t>0d 3h 43min</w:t>
            </w:r>
          </w:p>
        </w:tc>
        <w:tc>
          <w:p>
            <w:r>
              <w:t>0d 3h 53min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460.0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141.0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7907.0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58.3</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4137</w:t>
            </w:r>
          </w:p>
        </w:tc>
      </w:tr>
      <w:tr>
        <w:tc>
          <w:p>
            <w:r>
              <w:t>Java</w:t>
            </w:r>
          </w:p>
        </w:tc>
        <w:tc>
          <w:p>
            <w:r>
              <w:t>862</w:t>
            </w:r>
          </w:p>
        </w:tc>
      </w:tr>
      <w:tr>
        <w:tc>
          <w:p>
            <w:r>
              <w:t>JavaScript</w:t>
            </w:r>
          </w:p>
        </w:tc>
        <w:tc>
          <w:p>
            <w:r>
              <w:t>3445</w:t>
            </w:r>
          </w:p>
        </w:tc>
      </w:tr>
      <w:tr>
        <w:tc>
          <w:p>
            <w:r>
              <w:t>HTML</w:t>
            </w:r>
          </w:p>
        </w:tc>
        <w:tc>
          <w:p>
            <w:r>
              <w:t>232</w:t>
            </w:r>
          </w:p>
        </w:tc>
      </w:tr>
      <w:tr>
        <w:tc>
          <w:p>
            <w:r>
              <w:t>XML</w:t>
            </w:r>
          </w:p>
        </w:tc>
        <w:tc>
          <w:p>
            <w:r>
              <w:t>97</w:t>
            </w:r>
          </w:p>
        </w:tc>
      </w:tr>
      <w:tr>
        <w:tc>
          <w:p>
            <w:r>
              <w:t>Total</w:t>
            </w:r>
          </w:p>
        </w:tc>
        <w:tc>
          <w:p>
            <w:r>
              <w:t>8773</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2</w:t>
            </w:r>
          </w:p>
        </w:tc>
        <w:tc>
          <w:p>
            <w:r>
              <w:t>0</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8</w:t>
            </w:r>
          </w:p>
        </w:tc>
        <w:tc>
          <w:p>
            <w:r>
              <w:t>35</w:t>
            </w:r>
          </w:p>
        </w:tc>
        <w:tc>
          <w:p>
            <w:r>
              <w:t>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"&lt;table&gt;" tags should have a description</w:t>
            </w:r>
          </w:p>
        </w:tc>
        <w:tc>
          <w:p>
            <w:r>
              <w:t xml:space="preserve"><![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2</w:t>
            </w:r>
          </w:p>
        </w:tc>
      </w:tr>
      <w:tr>
        <w:tc>
          <w:p>
            <w:r>
              <w:t>Empty blocks should be removed</w:t>
            </w:r>
          </w:p>
        </w:tc>
        <w:tc>
          <w:p>
            <w:r>
              <w:t xml:space="preserve">Leftover empty blocks are usually introduced by mistake. They are useless and prevent readability of the code. They should be removed or completed
with real code.
Noncompliant Code Example
a { }
Compliant Solution
a { color: pink; }
</w:t>
            </w:r>
          </w:p>
        </w:tc>
        <w:tc>
          <w:p>
            <w:r>
              <w:t>CODE_SMELL</w:t>
            </w:r>
          </w:p>
        </w:tc>
        <w:tc>
          <w:p>
            <w:r>
              <w:t>MAJOR</w:t>
            </w:r>
          </w:p>
        </w:tc>
        <w:tc>
          <w:p>
            <w:r>
              <w:t>1</w:t>
            </w:r>
          </w:p>
        </w:tc>
      </w:tr>
      <w:tr>
        <w:tc>
          <w:p>
            <w:r>
              <w:t>Selectors should not be duplicated</w:t>
            </w:r>
          </w:p>
        </w:tc>
        <w:tc>
          <w:p>
            <w:r>
              <w:t xml:space="preserve">Duplication of selectors might indicate a copy-paste mistake. The rule detects the following kinds of duplications:
   within a list of selectors in a single rule set 
   for duplicated selectors in different rule sets within a single stylesheet. 
Noncompliant Code Example
.foo, .bar, .foo { ... }  /* Noncompliant */
.class1 { ... }
.class1 { ... }  /* Noncompliant */
Compliant Solution
.foo, .bar { ... }
.class1 { ... }
.class2 { ... }
</w:t>
            </w:r>
          </w:p>
        </w:tc>
        <w:tc>
          <w:p>
            <w:r>
              <w:t>CODE_SMELL</w:t>
            </w:r>
          </w:p>
        </w:tc>
        <w:tc>
          <w:p>
            <w:r>
              <w:t>MAJOR</w:t>
            </w:r>
          </w:p>
        </w:tc>
        <w:tc>
          <w:p>
            <w:r>
              <w:t>3</w:t>
            </w:r>
          </w:p>
        </w:tc>
      </w:tr>
      <w:tr>
        <w:tc>
          <w:p>
            <w:r>
              <w:t>CSS files should not be empty</w:t>
            </w:r>
          </w:p>
        </w:tc>
        <w:tc>
          <w:p>
            <w:r>
              <w:t>This rule raises an issue when a CSS file is empty (ie: containing only spaces).</w:t>
            </w:r>
          </w:p>
        </w:tc>
        <w:tc>
          <w:p>
            <w:r>
              <w:t>CODE_SMELL</w:t>
            </w:r>
          </w:p>
        </w:tc>
        <w:tc>
          <w:p>
            <w:r>
              <w:t>MAJOR</w:t>
            </w:r>
          </w:p>
        </w:tc>
        <w:tc>
          <w:p>
            <w:r>
              <w:t>1</w:t>
            </w:r>
          </w:p>
        </w:tc>
      </w:tr>
      <w:tr>
        <w:tc>
          <w:p>
            <w:r>
              <w:t>Unused "private" fields should be removed</w:t>
            </w:r>
          </w:p>
        </w:tc>
        <w:tc>
          <w:p>
            <w:r>
              <w:t xml:space="preserve">If a private field is declared but not used in the program, it can be considered dead code and should therefore be removed. This will
improve maintainability because developers will not wonder what the variable is used for.
Note that this rule does not take reflection into account, which means that issues will be raised on private fields that are only
accessed using the reflection API.
Noncompliant Code Example
public class MyClass {
  private int foo = 42;
  public int compute(int a) {
    return a * 42;
  }
}
Compliant Solution
public class MyClass {
  public int compute(int a) {
    return a * 42;
  }
}
Exceptions
The rule admits 3 exceptions:
   Serialization id fields 
   Annotated fields 
   Fields from classes with native methods 
Serialization id fields
The Java serialization runtime associates with each serializable class a version number, called serialVersionUID, which is used during
deserialization to verify that the sender and receiver of a serialized object have loaded classes for that object that are compatible with respect to
serialization.
A serializable class can declare its own serialVersionUID explicitly by declaring a field named serialVersionUID that
must be static, final, and of type long. By definition those serialVersionUID fields should not be reported by this rule:
public class MyClass implements java.io.Serializable {
  private static final long serialVersionUID = 42L;
}
Annotated fields
The unused field in this class will not be reported by the rule as it is annotated.
public class MyClass {
  @SomeAnnotation
  private int unused;
}
Fields from classes with native methods
The unused field in this class will not be reported by the rule as it might be used by native code.
public class MyClass {
  private int unused = 42;
  private native static void doSomethingNative();
}
</w:t>
            </w:r>
          </w:p>
        </w:tc>
        <w:tc>
          <w:p>
            <w:r>
              <w:t>CODE_SMELL</w:t>
            </w:r>
          </w:p>
        </w:tc>
        <w:tc>
          <w:p>
            <w:r>
              <w:t>MAJOR</w:t>
            </w:r>
          </w:p>
        </w:tc>
        <w:tc>
          <w:p>
            <w:r>
              <w:t>14</w:t>
            </w:r>
          </w:p>
        </w:tc>
      </w:tr>
      <w:tr>
        <w:tc>
          <w:p>
            <w:r>
              <w:t>Unused assignments should be removed</w:t>
            </w:r>
          </w:p>
        </w:tc>
        <w:tc>
          <w:p>
            <w:r>
              <w:t xml:space="preserve">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i = a + b; // Noncompliant; calculation result not used before value is overwritten
i = compute();
Compliant Solution
i = a + b;
i += compute();
Exceptions
   This rule ignores initializations to -1, 0, 1, undefined, [], {}, true, false and "". 
   Variables that start with an underscore (e.g. '_unused') are ignored. 
   Assignment of null is ignored because it is sometimes used to help garbage collection 
   Increment and decrement expressions are ignored because they are often used idiomatically instead of x+1 
   This rule also ignores variables declared with object destructuring using rest syntax (used to exclude some properties from object): 
let {a, b, ...rest} = obj; // 'a' and 'b' are ok
doSomething(rest);
let [x1, x2, x3] = arr;    // but 'x1' is noncompliant, as omitting syntax can be used: "let [, x2, x3] = arr;"
doSomething(x2, x3);
See
   MITRE, CWE-563 - Assignment to Variable without Use ('Unused Variable') 
</w:t>
            </w:r>
          </w:p>
        </w:tc>
        <w:tc>
          <w:p>
            <w:r>
              <w:t>CODE_SMELL</w:t>
            </w:r>
          </w:p>
        </w:tc>
        <w:tc>
          <w:p>
            <w:r>
              <w:t>MAJOR</w:t>
            </w:r>
          </w:p>
        </w:tc>
        <w:tc>
          <w:p>
            <w:r>
              <w:t>4</w:t>
            </w:r>
          </w:p>
        </w:tc>
      </w:tr>
      <w:tr>
        <w:tc>
          <w:p>
            <w:r>
              <w:t>Ternary operators should not be nested</w:t>
            </w:r>
          </w:p>
        </w:tc>
        <w:tc>
          <w:p>
            <w:r>
              <w:t xml:space="preserve"><![CDATA[Just because you can do something, doesn’t mean you should, and that’s the case with nested ternary operations. Nesting ternary operators
results in the kind of code that may seem clear as day when you write it, but six months later will leave maintainers (or worse - future you)
scratching their heads and cursing.
Instead, err on the side of clarity, and use another line to express the nested operation as a separate statement.
Noncompliant Code Example
function getReadableStatus(job) {
  return job.isRunning() ? "Running" : job.hasErrors() ? "Failed" : "Succeeded ";  // Noncompliant
}
Compliant Solution
function getReadableStatus(job) {
  if (job.isRunning()) {
    return "Running";
  }
  return job.hasErrors() ? "Failed" : "Succeeded";
}
Exceptions
This rule does not apply in JSX expressions to support conditional rendering and conditional attributes.
return (
&lt;&gt;
  {isLoading ? (
    &lt;Loader active /&gt;
  ) : (
    &lt;Panel label={isEditing ? 'Open' : 'Not open'}&gt;
      &lt;a&gt;{isEditing ? 'Close now' : 'Start now'}&lt;/a&gt;
      &lt;Checkbox onClick={!saving ? setSaving(saving =&gt; !saving) : null} /&gt;
    &lt;/Panel&gt;
  )}
&lt;/&gt;
);
]]></w:t>
            </w:r>
          </w:p>
        </w:tc>
        <w:tc>
          <w:p>
            <w:r>
              <w:t>CODE_SMELL</w:t>
            </w:r>
          </w:p>
        </w:tc>
        <w:tc>
          <w:p>
            <w:r>
              <w:t>MAJOR</w:t>
            </w:r>
          </w:p>
        </w:tc>
        <w:tc>
          <w:p>
            <w:r>
              <w:t>2</w:t>
            </w:r>
          </w:p>
        </w:tc>
      </w:tr>
      <w:tr>
        <w:tc>
          <w:p>
            <w:r>
              <w:t>No array index for keys in JSX list components</w:t>
            </w:r>
          </w:p>
        </w:tc>
        <w:tc>
          <w:p>
            <w:r>
              <w:t xml:space="preserve"><![CDATA[React expects a unique identifier for performance optimizations. An array index is not a stable identifier most of the time. This results in
unnecessary renders when the array items change index following some mutation. When components have state, this might also provoke bugs that are hard
to diagnose.
We recommend using an explicit identifier to avoid misuse and accidental re-renders. If there is no unique attribute available, consider
concatenating existing properties - hashing them if necessary - or creating a dedicated unique identifier.
Noncompliant Code Example
function generateButtons(props) {
  return props.buttons.map((button, index) =&gt; {
    &lt;Button key={index}&gt;{button.number}&lt;/Button&gt;
  });
}
Compliant Solution
function generateButtons(props) {
  return props.buttons.map((button, index) =&gt; {
    &lt;Button key={button.number}&gt;{button.number}&lt;/Button&gt;
  });
}
See
   Recursing On Children - React API reference 
   S6477 
   S6486 
]]></w:t>
            </w:r>
          </w:p>
        </w:tc>
        <w:tc>
          <w:p>
            <w:r>
              <w:t>CODE_SMELL</w:t>
            </w:r>
          </w:p>
        </w:tc>
        <w:tc>
          <w:p>
            <w:r>
              <w:t>MAJOR</w:t>
            </w:r>
          </w:p>
        </w:tc>
        <w:tc>
          <w:p>
            <w:r>
              <w:t>9</w:t>
            </w:r>
          </w:p>
        </w:tc>
      </w:tr>
      <w:tr>
        <w:tc>
          <w:p>
            <w:r>
              <w:t>React Context Provider values should not have non-stable identities</w:t>
            </w:r>
          </w:p>
        </w:tc>
        <w:tc>
          <w:p>
            <w:r>
              <w:t xml:space="preserve"><![CDATA[Providing values like an object to a React Context will provoke additional re-renders as React doesn’t know the object is the same.
This can significantly impact performance since the whole component tree will be re-rendered each time. Wrapping the value in a useMemo
hook will avoid additional render passes.
Noncompliant Code Example
function Component() {
  return (
    &lt;SomeContext.Provider value={{foo: 'bar'}}&gt; { /* value is an object expression */ }
      &lt;SomeComponent /&gt;
    &lt;/SomeContext.Provider&gt;
  );
}
Compliant Solution
function Component() {
  const foo = useMemo(() =&gt; ({foo: 'bar'}), []);
  return (
    &lt;SomeContext.Provider value={foo}&gt;
      &lt;SomeComponent /&gt;
    &lt;/SomeContext.Provider&gt;
  );
}
See
   Context Caveats - React documentation 
]]></w:t>
            </w:r>
          </w:p>
        </w:tc>
        <w:tc>
          <w:p>
            <w:r>
              <w:t>CODE_SMELL</w:t>
            </w:r>
          </w:p>
        </w:tc>
        <w:tc>
          <w:p>
            <w:r>
              <w:t>MAJOR</w:t>
            </w:r>
          </w:p>
        </w:tc>
        <w:tc>
          <w:p>
            <w:r>
              <w:t>1</w:t>
            </w:r>
          </w:p>
        </w:tc>
      </w:tr>
      <w:tr>
        <w:tc>
          <w:p>
            <w:r>
              <w:t>Return of boolean expressions should not be wrapped into an "if-then-else" statement</w:t>
            </w:r>
          </w:p>
        </w:tc>
        <w:tc>
          <w:p>
            <w:r>
              <w:t xml:space="preserve">Return of boolean literal statements wrapped into if-then-else flow should be simplified.
Note that if the result of the expression is not a boolean but for instance an integer, then double negation should be used for proper
conversion.
if (expression) {
  return true;
} else {
  return false;
}
or
if (expression) {
  return true;
}
return false;
Compliant Solution
return expression;
or
return !!expression;
</w:t>
            </w:r>
          </w:p>
        </w:tc>
        <w:tc>
          <w:p>
            <w:r>
              <w:t>CODE_SMELL</w:t>
            </w:r>
          </w:p>
        </w:tc>
        <w:tc>
          <w:p>
            <w:r>
              <w:t>MINOR</w:t>
            </w:r>
          </w:p>
        </w:tc>
        <w:tc>
          <w:p>
            <w:r>
              <w:t>1</w:t>
            </w:r>
          </w:p>
        </w:tc>
      </w:tr>
      <w:tr>
        <w:tc>
          <w:p>
            <w:r>
              <w:t>Unnecessary imports should be removed</w:t>
            </w:r>
          </w:p>
        </w:tc>
        <w:tc>
          <w:p>
            <w:r>
              <w:t xml:space="preserve">There’s no reason to import modules you don’t use; and every reason not to: doing so needlessly increases the load.
Noncompliant Code Example
import A from 'a';      // Noncompliant, A isn't used
import { B1 } from 'b';
console.log(B1);
Compliant Solution
import { B1 } from 'b';
console.log(B1);
</w:t>
            </w:r>
          </w:p>
        </w:tc>
        <w:tc>
          <w:p>
            <w:r>
              <w:t>CODE_SMELL</w:t>
            </w:r>
          </w:p>
        </w:tc>
        <w:tc>
          <w:p>
            <w:r>
              <w:t>MINOR</w:t>
            </w:r>
          </w:p>
        </w:tc>
        <w:tc>
          <w:p>
            <w:r>
              <w:t>3</w:t>
            </w:r>
          </w:p>
        </w:tc>
      </w:tr>
      <w:tr>
        <w:tc>
          <w:p>
            <w:r>
              <w:t>Unused local variables and functions should be removed</w:t>
            </w:r>
          </w:p>
        </w:tc>
        <w:tc>
          <w:p>
            <w:r>
              <w:t xml:space="preserve">If a local variable or a local function is declared but not used, it is dead code and should be removed. Doing so will improve maintainability
because developers will not wonder what the variable or function is used for.
Noncompliant Code Example
function numberOfMinutes(hours) {
  var seconds = 0;   // seconds is never used
  return hours * 60;
}
Compliant Solution
function numberOfMinutes(hours) {
  return hours * 60;
}
</w:t>
            </w:r>
          </w:p>
        </w:tc>
        <w:tc>
          <w:p>
            <w:r>
              <w:t>CODE_SMELL</w:t>
            </w:r>
          </w:p>
        </w:tc>
        <w:tc>
          <w:p>
            <w:r>
              <w:t>MINOR</w:t>
            </w:r>
          </w:p>
        </w:tc>
        <w:tc>
          <w:p>
            <w:r>
              <w:t>4</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1</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0</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0</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1</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Insecure Configuration</w:t>
            </w:r>
          </w:p>
        </w:tc>
        <w:tc>
          <w:p>
            <w:r>
              <w:t>Having a permissive Cross-Origin Resource Sharing policy is security-sensitive</w:t>
            </w:r>
          </w:p>
        </w:tc>
        <w:tc>
          <w:p>
            <w:r>
              <w:t>LOW</w:t>
            </w:r>
          </w:p>
        </w:tc>
        <w:tc>
          <w:p>
            <w:r>
              <w:t>MINOR</w:t>
            </w:r>
          </w:p>
        </w:tc>
        <w:tc>
          <w:p>
            <w:r>
              <w:t>1</w:t>
            </w:r>
          </w:p>
        </w:tc>
      </w:tr>
      <w:tr>
        <w:tc>
          <w:p>
            <w:r>
              <w:t>Others</w:t>
            </w:r>
          </w:p>
        </w:tc>
        <w:tc>
          <w:p>
            <w:r>
              <w:t>Disclosing fingerprints from web application technologies is security-sensitive</w:t>
            </w:r>
          </w:p>
        </w:tc>
        <w:tc>
          <w:p>
            <w:r>
              <w:t>LOW</w:t>
            </w:r>
          </w:p>
        </w:tc>
        <w:tc>
          <w:p>
            <w:r>
              <w:t>MINOR</w:t>
            </w:r>
          </w:p>
        </w:tc>
        <w:tc>
          <w:p>
            <w:r>
              <w:t>1</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TWD_GRUPO1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0</c:v>
                </c:pt>
                <c:pt idx="2">
                  <c:v>35</c:v>
                </c:pt>
                <c:pt idx="3">
                  <c:v>10</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2</c:v>
                </c:pt>
                <c:pt idx="1">
                  <c:v>0</c:v>
                </c:pt>
                <c:pt idx="2">
                  <c:v>43</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45623.76048611111</c:v>
                </c:pt>
              </c:numCache>
            </c:numRef>
          </c:xVal>
          <c:yVal>
            <c:numRef>
              <c:f>Feuil1!$B$2:$B$3</c:f>
              <c:numCache>
                <c:formatCode>General</c:formatCode>
                <c:ptCount val="2"/>
                <c:pt idx="0">
                  <c:v>45</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45623.76048611111</c:v>
                </c:pt>
              </c:numCache>
            </c:numRef>
          </c:xVal>
          <c:yVal>
            <c:numRef>
              <c:f>Feuil1!$B$2:$B$3</c:f>
              <c:numCache>
                <c:formatCode>General</c:formatCode>
                <c:ptCount val="2"/>
                <c:pt idx="0">
                  <c:v>0.1</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