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both"/>
      </w:pPr>
    </w:p>
    <w:p>
      <w:pPr>
        <w:spacing w:before="0" w:after="0"/>
        <w:jc w:val="both"/>
      </w:pPr>
    </w:p>
    <w:p>
      <w:pPr>
        <w:spacing w:before="0" w:after="0"/>
        <w:jc w:val="both"/>
      </w:pPr>
    </w:p>
    <w:p>
      <w:pPr>
        <w:spacing w:before="0" w:after="0"/>
        <w:jc w:val="both"/>
      </w:pPr>
    </w:p>
    <w:p>
      <w:pPr>
        <w:spacing w:before="0" w:after="0"/>
        <w:jc w:val="center"/>
      </w:pPr>
      <w:r>
        <w:rPr>
          <w:color w:val="475569"/>
          <w:sz w:val="26"/>
        </w:rPr>
        <w:t>BECE355L — Advanced Cloud Computing</w:t>
      </w:r>
    </w:p>
    <w:p>
      <w:pPr>
        <w:spacing w:before="0" w:after="360"/>
        <w:jc w:val="center"/>
      </w:pPr>
      <w:r>
        <w:rPr>
          <w:color w:val="475569"/>
          <w:sz w:val="22"/>
        </w:rPr>
        <w:t>Fall Semester 2026–27</w:t>
      </w:r>
    </w:p>
    <w:p>
      <w:pPr>
        <w:spacing w:before="0" w:after="160"/>
        <w:jc w:val="center"/>
      </w:pPr>
      <w:r>
        <w:rPr>
          <w:b/>
          <w:sz w:val="48"/>
        </w:rPr>
        <w:t>Cloud-Native Parallel Computing Framework for Scalable Image Processing</w:t>
      </w:r>
    </w:p>
    <w:p>
      <w:pPr>
        <w:spacing w:before="0" w:after="280"/>
        <w:jc w:val="center"/>
      </w:pPr>
      <w:r>
        <w:rPr>
          <w:i/>
          <w:sz w:val="26"/>
        </w:rPr>
        <w:t>Object Storage, Deep-Learning Operations, a Cost-Aware Planner and Work-Aware Autoscaling</w:t>
      </w:r>
    </w:p>
    <w:p>
      <w:pPr>
        <w:spacing w:before="0" w:after="120"/>
        <w:jc w:val="center"/>
      </w:pPr>
      <w:r>
        <w:rPr>
          <w:sz w:val="30"/>
        </w:rPr>
        <w:t>Project Report</w:t>
      </w:r>
    </w:p>
    <w:p>
      <w:pPr>
        <w:spacing w:before="0" w:after="800"/>
        <w:jc w:val="center"/>
      </w:pPr>
      <w:r>
        <w:rPr>
          <w:color w:val="475569"/>
          <w:sz w:val="21"/>
        </w:rPr>
        <w:t>Python · OpenCV · ONNX Runtime · Redis · MinIO / Amazon S3 · FastAPI · Docker · Kubernetes · KEDA</w:t>
      </w:r>
    </w:p>
    <w:p>
      <w:pPr>
        <w:spacing w:before="0" w:after="120"/>
        <w:jc w:val="center"/>
      </w:pPr>
      <w:r>
        <w:rPr>
          <w:b/>
          <w:sz w:val="24"/>
        </w:rPr>
        <w:t>Submitted by</w:t>
      </w:r>
    </w:p>
    <w:tbl>
      <w:tblPr>
        <w:tblStyle w:val="TableGrid"/>
        <w:tblW w:type="auto" w:w="0"/>
        <w:jc w:val="center"/>
        <w:tblLook w:firstColumn="1" w:firstRow="1" w:lastColumn="0" w:lastRow="0" w:noHBand="0" w:noVBand="1" w:val="04A0"/>
      </w:tblPr>
      <w:tblGrid>
        <w:gridCol w:w="5063"/>
        <w:gridCol w:w="5063"/>
      </w:tblGrid>
      <w:tr>
        <w:tc>
          <w:tcPr>
            <w:tcW w:type="dxa" w:w="3118"/>
          </w:tcPr>
          <w:p>
            <w:pPr>
              <w:jc w:val="center"/>
            </w:pPr>
            <w:r/>
            <w:r>
              <w:rPr>
                <w:b/>
              </w:rPr>
              <w:t>Name</w:t>
            </w:r>
          </w:p>
        </w:tc>
        <w:tc>
          <w:tcPr>
            <w:tcW w:type="dxa" w:w="2268"/>
          </w:tcPr>
          <w:p>
            <w:pPr>
              <w:jc w:val="center"/>
            </w:pPr>
            <w:r/>
            <w:r>
              <w:rPr>
                <w:b/>
              </w:rPr>
              <w:t>Register No.</w:t>
            </w:r>
          </w:p>
        </w:tc>
      </w:tr>
      <w:tr>
        <w:tc>
          <w:tcPr>
            <w:tcW w:type="dxa" w:w="3118"/>
          </w:tcPr>
          <w:p>
            <w:pPr>
              <w:jc w:val="center"/>
            </w:pPr>
            <w:r/>
            <w:r>
              <w:rPr>
                <w:sz w:val="22"/>
              </w:rPr>
              <w:t>Prapti Kurkuri</w:t>
            </w:r>
          </w:p>
        </w:tc>
        <w:tc>
          <w:tcPr>
            <w:tcW w:type="dxa" w:w="2268"/>
          </w:tcPr>
          <w:p>
            <w:pPr>
              <w:jc w:val="center"/>
            </w:pPr>
            <w:r/>
            <w:r>
              <w:rPr>
                <w:sz w:val="22"/>
              </w:rPr>
              <w:t>24BVD0185</w:t>
            </w:r>
          </w:p>
        </w:tc>
      </w:tr>
      <w:tr>
        <w:tc>
          <w:tcPr>
            <w:tcW w:type="dxa" w:w="3118"/>
          </w:tcPr>
          <w:p>
            <w:pPr>
              <w:jc w:val="center"/>
            </w:pPr>
            <w:r/>
            <w:r>
              <w:rPr>
                <w:sz w:val="22"/>
              </w:rPr>
              <w:t>Vaanya Garg</w:t>
            </w:r>
          </w:p>
        </w:tc>
        <w:tc>
          <w:tcPr>
            <w:tcW w:type="dxa" w:w="2268"/>
          </w:tcPr>
          <w:p>
            <w:pPr>
              <w:jc w:val="center"/>
            </w:pPr>
            <w:r/>
            <w:r>
              <w:rPr>
                <w:sz w:val="22"/>
              </w:rPr>
              <w:t>24BVD0139</w:t>
            </w:r>
          </w:p>
        </w:tc>
      </w:tr>
      <w:tr>
        <w:tc>
          <w:tcPr>
            <w:tcW w:type="dxa" w:w="3118"/>
          </w:tcPr>
          <w:p>
            <w:pPr>
              <w:jc w:val="center"/>
            </w:pPr>
            <w:r/>
            <w:r>
              <w:rPr>
                <w:sz w:val="22"/>
              </w:rPr>
              <w:t>Aditya Manoj</w:t>
            </w:r>
          </w:p>
        </w:tc>
        <w:tc>
          <w:tcPr>
            <w:tcW w:type="dxa" w:w="2268"/>
          </w:tcPr>
          <w:p>
            <w:pPr>
              <w:jc w:val="center"/>
            </w:pPr>
            <w:r/>
            <w:r>
              <w:rPr>
                <w:sz w:val="22"/>
              </w:rPr>
              <w:t>24BVD0070</w:t>
            </w:r>
          </w:p>
        </w:tc>
      </w:tr>
      <w:tr>
        <w:tc>
          <w:tcPr>
            <w:tcW w:type="dxa" w:w="3118"/>
          </w:tcPr>
          <w:p>
            <w:pPr>
              <w:jc w:val="center"/>
            </w:pPr>
            <w:r/>
            <w:r>
              <w:rPr>
                <w:sz w:val="22"/>
              </w:rPr>
              <w:t>Arrnav Trisal</w:t>
            </w:r>
          </w:p>
        </w:tc>
        <w:tc>
          <w:tcPr>
            <w:tcW w:type="dxa" w:w="2268"/>
          </w:tcPr>
          <w:p>
            <w:pPr>
              <w:jc w:val="center"/>
            </w:pPr>
            <w:r/>
            <w:r>
              <w:rPr>
                <w:sz w:val="22"/>
              </w:rPr>
              <w:t>24BVD0064</w:t>
            </w:r>
          </w:p>
        </w:tc>
      </w:tr>
    </w:tbl>
    <w:p>
      <w:pPr>
        <w:spacing w:before="0" w:after="600"/>
        <w:jc w:val="both"/>
      </w:pPr>
    </w:p>
    <w:p>
      <w:pPr>
        <w:spacing w:before="0" w:after="80"/>
        <w:jc w:val="center"/>
      </w:pPr>
      <w:r>
        <w:rPr>
          <w:sz w:val="24"/>
        </w:rPr>
        <w:t xml:space="preserve">Submitted to: </w:t>
      </w:r>
      <w:r>
        <w:rPr>
          <w:b/>
          <w:sz w:val="24"/>
        </w:rPr>
        <w:t>Aparna Mohanty</w:t>
      </w:r>
    </w:p>
    <w:p>
      <w:pPr>
        <w:spacing w:before="0" w:after="80"/>
        <w:jc w:val="center"/>
      </w:pPr>
      <w:r>
        <w:rPr>
          <w:color w:val="475569"/>
          <w:sz w:val="21"/>
        </w:rPr>
        <w:t>School of Electronics Engineering (SENSE), Vellore Institute of Technology, Vellore</w:t>
      </w:r>
    </w:p>
    <w:p>
      <w:pPr>
        <w:spacing w:before="0" w:after="0"/>
        <w:jc w:val="center"/>
      </w:pPr>
      <w:r>
        <w:rPr>
          <w:sz w:val="22"/>
        </w:rPr>
        <w:t>31 October 2026</w:t>
      </w:r>
    </w:p>
    <w:p>
      <w:r>
        <w:br w:type="page"/>
      </w:r>
    </w:p>
    <w:p>
      <w:pPr>
        <w:spacing w:before="0" w:after="80"/>
        <w:jc w:val="center"/>
      </w:pPr>
      <w:r>
        <w:rPr>
          <w:sz w:val="44"/>
        </w:rPr>
        <w:t>Cloud-Native Parallel Computing Framework for Scalable Image Processing</w:t>
      </w:r>
    </w:p>
    <w:p>
      <w:pPr>
        <w:spacing w:before="0" w:after="200"/>
        <w:jc w:val="center"/>
      </w:pPr>
      <w:r>
        <w:rPr>
          <w:i/>
          <w:sz w:val="24"/>
        </w:rPr>
        <w:t>Object Storage, Deep-Learning Operations, a Cost-Aware Planner and Work-Aware Autoscaling</w:t>
      </w:r>
    </w:p>
    <w:tbl>
      <w:tblPr>
        <w:tblW w:type="auto" w:w="0"/>
        <w:jc w:val="center"/>
        <w:tblLook w:firstColumn="1" w:firstRow="1" w:lastColumn="0" w:lastRow="0" w:noHBand="0" w:noVBand="1" w:val="04A0"/>
        <w:tblBorders>
          <w:top w:val="nil"/>
          <w:bottom w:val="nil"/>
          <w:left w:val="nil"/>
          <w:right w:val="nil"/>
          <w:insideH w:val="nil"/>
          <w:insideV w:val="nil"/>
        </w:tblBorders>
      </w:tblPr>
      <w:tblGrid>
        <w:gridCol w:w="2531"/>
        <w:gridCol w:w="2531"/>
        <w:gridCol w:w="2531"/>
        <w:gridCol w:w="2531"/>
      </w:tblGrid>
      <w:tr>
        <w:tc>
          <w:tcPr>
            <w:tcW w:type="dxa" w:w="2523"/>
          </w:tcPr>
          <w:p>
            <w:pPr>
              <w:jc w:val="center"/>
            </w:pPr>
            <w:r/>
            <w:r>
              <w:rPr>
                <w:i w:val="0"/>
                <w:sz w:val="20"/>
              </w:rPr>
              <w:t>Prapti Kurkuri</w:t>
            </w:r>
          </w:p>
          <w:p>
            <w:pPr>
              <w:jc w:val="center"/>
            </w:pPr>
            <w:r>
              <w:rPr>
                <w:i w:val="0"/>
                <w:sz w:val="17"/>
              </w:rPr>
              <w:t>Reg. No. 24BVD0185</w:t>
            </w:r>
          </w:p>
          <w:p>
            <w:pPr>
              <w:jc w:val="center"/>
            </w:pPr>
            <w:r>
              <w:rPr>
                <w:i/>
                <w:sz w:val="17"/>
              </w:rPr>
              <w:t>SENSE</w:t>
            </w:r>
          </w:p>
          <w:p>
            <w:pPr>
              <w:jc w:val="center"/>
            </w:pPr>
            <w:r>
              <w:rPr>
                <w:i/>
                <w:sz w:val="17"/>
              </w:rPr>
              <w:t>Vellore Institute of Technology</w:t>
            </w:r>
          </w:p>
          <w:p>
            <w:pPr>
              <w:jc w:val="center"/>
            </w:pPr>
            <w:r>
              <w:rPr>
                <w:i w:val="0"/>
                <w:sz w:val="17"/>
              </w:rPr>
              <w:t>Vellore, Tamil Nadu, India</w:t>
            </w:r>
          </w:p>
          <w:p>
            <w:pPr>
              <w:jc w:val="center"/>
            </w:pPr>
            <w:r>
              <w:rPr>
                <w:i w:val="0"/>
                <w:sz w:val="15"/>
              </w:rPr>
              <w:t>Praptikurkuri2024@vitstudent.ac.in</w:t>
            </w:r>
          </w:p>
        </w:tc>
        <w:tc>
          <w:tcPr>
            <w:tcW w:type="dxa" w:w="2523"/>
          </w:tcPr>
          <w:p>
            <w:pPr>
              <w:jc w:val="center"/>
            </w:pPr>
            <w:r/>
            <w:r>
              <w:rPr>
                <w:i w:val="0"/>
                <w:sz w:val="20"/>
              </w:rPr>
              <w:t>Vaanya Garg</w:t>
            </w:r>
          </w:p>
          <w:p>
            <w:pPr>
              <w:jc w:val="center"/>
            </w:pPr>
            <w:r>
              <w:rPr>
                <w:i w:val="0"/>
                <w:sz w:val="17"/>
              </w:rPr>
              <w:t>Reg. No. 24BVD0139</w:t>
            </w:r>
          </w:p>
          <w:p>
            <w:pPr>
              <w:jc w:val="center"/>
            </w:pPr>
            <w:r>
              <w:rPr>
                <w:i/>
                <w:sz w:val="17"/>
              </w:rPr>
              <w:t>SENSE</w:t>
            </w:r>
          </w:p>
          <w:p>
            <w:pPr>
              <w:jc w:val="center"/>
            </w:pPr>
            <w:r>
              <w:rPr>
                <w:i/>
                <w:sz w:val="17"/>
              </w:rPr>
              <w:t>Vellore Institute of Technology</w:t>
            </w:r>
          </w:p>
          <w:p>
            <w:pPr>
              <w:jc w:val="center"/>
            </w:pPr>
            <w:r>
              <w:rPr>
                <w:i w:val="0"/>
                <w:sz w:val="17"/>
              </w:rPr>
              <w:t>Vellore, Tamil Nadu, India</w:t>
            </w:r>
          </w:p>
          <w:p>
            <w:pPr>
              <w:jc w:val="center"/>
            </w:pPr>
            <w:r>
              <w:rPr>
                <w:i w:val="0"/>
                <w:sz w:val="15"/>
              </w:rPr>
              <w:t>Vaanyagarg2024@vitstudent.ac.in</w:t>
            </w:r>
          </w:p>
        </w:tc>
        <w:tc>
          <w:tcPr>
            <w:tcW w:type="dxa" w:w="2523"/>
          </w:tcPr>
          <w:p>
            <w:pPr>
              <w:jc w:val="center"/>
            </w:pPr>
            <w:r/>
            <w:r>
              <w:rPr>
                <w:i w:val="0"/>
                <w:sz w:val="20"/>
              </w:rPr>
              <w:t>Aditya Manoj</w:t>
            </w:r>
          </w:p>
          <w:p>
            <w:pPr>
              <w:jc w:val="center"/>
            </w:pPr>
            <w:r>
              <w:rPr>
                <w:i w:val="0"/>
                <w:sz w:val="17"/>
              </w:rPr>
              <w:t>Reg. No. 24BVD0070</w:t>
            </w:r>
          </w:p>
          <w:p>
            <w:pPr>
              <w:jc w:val="center"/>
            </w:pPr>
            <w:r>
              <w:rPr>
                <w:i/>
                <w:sz w:val="17"/>
              </w:rPr>
              <w:t>SENSE</w:t>
            </w:r>
          </w:p>
          <w:p>
            <w:pPr>
              <w:jc w:val="center"/>
            </w:pPr>
            <w:r>
              <w:rPr>
                <w:i/>
                <w:sz w:val="17"/>
              </w:rPr>
              <w:t>Vellore Institute of Technology</w:t>
            </w:r>
          </w:p>
          <w:p>
            <w:pPr>
              <w:jc w:val="center"/>
            </w:pPr>
            <w:r>
              <w:rPr>
                <w:i w:val="0"/>
                <w:sz w:val="17"/>
              </w:rPr>
              <w:t>Vellore, Tamil Nadu, India</w:t>
            </w:r>
          </w:p>
          <w:p>
            <w:pPr>
              <w:jc w:val="center"/>
            </w:pPr>
            <w:r>
              <w:rPr>
                <w:i w:val="0"/>
                <w:sz w:val="15"/>
              </w:rPr>
              <w:t>Adityamanoj2024@vitstudent.ac.in</w:t>
            </w:r>
          </w:p>
        </w:tc>
        <w:tc>
          <w:tcPr>
            <w:tcW w:type="dxa" w:w="2523"/>
          </w:tcPr>
          <w:p>
            <w:pPr>
              <w:jc w:val="center"/>
            </w:pPr>
            <w:r/>
            <w:r>
              <w:rPr>
                <w:i w:val="0"/>
                <w:sz w:val="20"/>
              </w:rPr>
              <w:t>Arrnav Trisal</w:t>
            </w:r>
          </w:p>
          <w:p>
            <w:pPr>
              <w:jc w:val="center"/>
            </w:pPr>
            <w:r>
              <w:rPr>
                <w:i w:val="0"/>
                <w:sz w:val="17"/>
              </w:rPr>
              <w:t>Reg. No. 24BVD0064</w:t>
            </w:r>
          </w:p>
          <w:p>
            <w:pPr>
              <w:jc w:val="center"/>
            </w:pPr>
            <w:r>
              <w:rPr>
                <w:i/>
                <w:sz w:val="17"/>
              </w:rPr>
              <w:t>SENSE</w:t>
            </w:r>
          </w:p>
          <w:p>
            <w:pPr>
              <w:jc w:val="center"/>
            </w:pPr>
            <w:r>
              <w:rPr>
                <w:i/>
                <w:sz w:val="17"/>
              </w:rPr>
              <w:t>Vellore Institute of Technology</w:t>
            </w:r>
          </w:p>
          <w:p>
            <w:pPr>
              <w:jc w:val="center"/>
            </w:pPr>
            <w:r>
              <w:rPr>
                <w:i w:val="0"/>
                <w:sz w:val="17"/>
              </w:rPr>
              <w:t>Vellore, Tamil Nadu, India</w:t>
            </w:r>
          </w:p>
          <w:p>
            <w:pPr>
              <w:jc w:val="center"/>
            </w:pPr>
            <w:r>
              <w:rPr>
                <w:i w:val="0"/>
                <w:sz w:val="15"/>
              </w:rPr>
              <w:t>Arrnavtrisal2024@vitstudent.ac.in</w:t>
            </w:r>
          </w:p>
        </w:tc>
      </w:tr>
    </w:tbl>
    <w:p>
      <w:pPr>
        <w:spacing w:before="0" w:after="120"/>
        <w:jc w:val="both"/>
      </w:pPr>
    </w:p>
    <w:p>
      <w:pPr>
        <w:sectPr>
          <w:footerReference w:type="default" r:id="rId19"/>
          <w:pgSz w:w="11906" w:h="16838"/>
          <w:pgMar w:top="1077" w:right="890" w:bottom="1440" w:left="890" w:header="720" w:footer="720" w:gutter="0"/>
          <w:cols w:space="720"/>
          <w:docGrid w:linePitch="360"/>
        </w:sectPr>
      </w:pPr>
    </w:p>
    <w:p>
      <w:pPr>
        <w:spacing w:before="0" w:after="80"/>
        <w:jc w:val="both"/>
      </w:pPr>
      <w:r>
        <w:rPr>
          <w:b/>
          <w:i/>
          <w:sz w:val="18"/>
        </w:rPr>
        <w:t>Abstract</w:t>
      </w:r>
      <w:r>
        <w:rPr>
          <w:b/>
          <w:sz w:val="18"/>
        </w:rPr>
        <w:t>—</w:t>
      </w:r>
      <w:r>
        <w:rPr>
          <w:b/>
          <w:sz w:val="18"/>
        </w:rPr>
        <w:t xml:space="preserve">Our earlier framework splits a large image into halo tiles, schedules one task per tile through a reliable Redis queue to stateless worker pods and stitches the results, with leases for fault tolerance and a queue-length autoscaler. Its evaluation exposed four weaknesses: every tile byte passed through Redis, which capped image size and concurrency; only cheap classical filters were supported, so most operations ran </w:t>
      </w:r>
      <w:r>
        <w:rPr>
          <w:b/>
          <w:i/>
          <w:sz w:val="18"/>
        </w:rPr>
        <w:t>slower</w:t>
      </w:r>
      <w:r>
        <w:rPr>
          <w:b/>
          <w:sz w:val="18"/>
        </w:rPr>
        <w:t xml:space="preserve"> when distributed; the tile size and worker count were fixed by hand; and the autoscaler counted tiles, not work. This report presents four upgrades that address them. (1) Tiles, inputs and results move to S3-compatible object storage (MinIO locally, Amazon S3 in the cloud) and Redis carries only task IDs; Redis memory per 8192² job drops from 226 MB to 0.05 MB and accepted concurrent 8192² jobs rise from 2 to at least 12. (2) Two deep-learning operations, HED edge detection and Real-ESRGAN ×4 super-resolution, run under ONNX Runtime; their halos are calibrated empirically from the effective receptive field (80 px and 4 px instead of the theoretical 98 px and 34 px) and the stitcher is scale- and stride-aware. (3) A cost-aware planner predicts job time from a calibrated model of compute, per-tile overhead and a measured multi-worker capacity curve and chooses whether to distribute, the tile size and the worker count. Its prediction error is 25 % MAPE versus 40 % for a linear model, and it turns the 16× slowdown of naively tiled grayscale into a 1.11× result. (4) A work-aware autoscaler sizes the worker pool from queued compute-seconds and a latency target. On a replayed trace it met a 30 s latency target for every job with 9 % fewer worker pod-seconds than KEDA, while the CPU-based HPA met it for only 54 % of jobs. Neural operations reach only 2.5× (HED) and 2.4× (Real-ESRGAN) on a 16-thread laptop because they are memory-bandwidth bound, a result the planner models explicitly.</w:t>
      </w:r>
    </w:p>
    <w:p>
      <w:pPr>
        <w:spacing w:before="0" w:after="120"/>
        <w:jc w:val="both"/>
      </w:pPr>
      <w:r>
        <w:rPr>
          <w:b/>
          <w:i/>
          <w:sz w:val="18"/>
        </w:rPr>
        <w:t>Index Terms</w:t>
      </w:r>
      <w:r>
        <w:rPr>
          <w:b/>
          <w:sz w:val="18"/>
        </w:rPr>
        <w:t>—</w:t>
      </w:r>
      <w:r>
        <w:rPr>
          <w:b/>
          <w:sz w:val="18"/>
        </w:rPr>
        <w:t>cloud-native computing, object storage, Kubernetes autoscaling, KEDA, performance model, tiled image processing, receptive field, ONNX Runtime, Redis, fault tolerance.</w:t>
      </w:r>
    </w:p>
    <w:p>
      <w:pPr>
        <w:keepNext/>
        <w:spacing w:before="160" w:after="80"/>
        <w:jc w:val="center"/>
      </w:pPr>
      <w:r>
        <w:rPr>
          <w:smallCaps/>
          <w:sz w:val="20"/>
        </w:rPr>
        <w:t>I. Introduction</w:t>
      </w:r>
    </w:p>
    <w:p>
      <w:pPr>
        <w:keepNext/>
        <w:spacing w:before="100" w:after="40"/>
      </w:pPr>
      <w:r>
        <w:rPr>
          <w:i/>
          <w:sz w:val="20"/>
        </w:rPr>
        <w:t>A. Background</w:t>
      </w:r>
    </w:p>
    <w:p>
      <w:pPr>
        <w:spacing w:before="0" w:after="0"/>
        <w:ind w:firstLine="204"/>
        <w:jc w:val="both"/>
      </w:pPr>
      <w:r>
        <w:rPr/>
        <w:t xml:space="preserve">Satellite scenes, whole-slide pathology images and microscopy mosaics reach hundreds of megapixels. Most image filters are </w:t>
      </w:r>
      <w:r>
        <w:rPr>
          <w:i/>
        </w:rPr>
        <w:t>local</w:t>
      </w:r>
      <w:r>
        <w:rPr/>
        <w:t xml:space="preserve">: each output pixel depends on a small neighbourhood. Such work can be split into tiles, processed in parallel and stitched, provided every tile carries a </w:t>
      </w:r>
      <w:r>
        <w:rPr>
          <w:i/>
        </w:rPr>
        <w:t>halo</w:t>
      </w:r>
      <w:r>
        <w:rPr/>
        <w:t xml:space="preserve"> (overlap) wide enough that the stitched output equals whole-image processing. Our first version (v1) built this on Kubernetes: a FastAPI service partitions the image, Redis holds a reliable queue with one task per tile, stateless workers claim tiles under a lease and the last finisher reconstructs the output.</w:t>
      </w:r>
    </w:p>
    <w:p>
      <w:pPr>
        <w:keepNext/>
        <w:spacing w:before="100" w:after="40"/>
      </w:pPr>
      <w:r>
        <w:rPr>
          <w:i/>
          <w:sz w:val="20"/>
        </w:rPr>
        <w:t>B. Problems Found in v1</w:t>
      </w:r>
    </w:p>
    <w:p>
      <w:pPr>
        <w:spacing w:before="0" w:after="0"/>
        <w:ind w:firstLine="204"/>
        <w:jc w:val="both"/>
      </w:pPr>
      <w:r>
        <w:rPr/>
        <w:t>The v1 evaluation [Sec. XI] showed where a simple design stops working:</w:t>
      </w:r>
    </w:p>
    <w:p>
      <w:pPr>
        <w:tabs>
          <w:tab w:pos="340" w:val="left"/>
        </w:tabs>
        <w:spacing w:after="20"/>
        <w:ind w:left="340" w:hanging="255"/>
        <w:jc w:val="both"/>
      </w:pPr>
      <w:r>
        <w:rPr/>
        <w:t>1)</w:t>
        <w:tab/>
      </w:r>
      <w:r>
        <w:rPr>
          <w:b/>
        </w:rPr>
        <w:t>Redis was the data plane.</w:t>
      </w:r>
      <w:r>
        <w:rPr/>
        <w:t xml:space="preserve"> Every tile and result went through Redis, so an 8192² job used about 226 MB of Redis memory. With a 1 GB limit only 2 such jobs fit and 12288² images were rejected.</w:t>
      </w:r>
    </w:p>
    <w:p>
      <w:pPr>
        <w:tabs>
          <w:tab w:pos="340" w:val="left"/>
        </w:tabs>
        <w:spacing w:after="20"/>
        <w:ind w:left="340" w:hanging="255"/>
        <w:jc w:val="both"/>
      </w:pPr>
      <w:r>
        <w:rPr/>
        <w:t>2)</w:t>
        <w:tab/>
      </w:r>
      <w:r>
        <w:rPr>
          <w:b/>
        </w:rPr>
        <w:t>Cheap operations got slower.</w:t>
      </w:r>
      <w:r>
        <w:rPr/>
        <w:t xml:space="preserve"> Canny ran at 0.45× and Gaussian blur at 0.41× when distributed, because moving a tile cost more than filtering it. Only the bilateral filter (4.2×) benefited.</w:t>
      </w:r>
    </w:p>
    <w:p>
      <w:pPr>
        <w:tabs>
          <w:tab w:pos="340" w:val="left"/>
        </w:tabs>
        <w:spacing w:after="20"/>
        <w:ind w:left="340" w:hanging="255"/>
        <w:jc w:val="both"/>
      </w:pPr>
      <w:r>
        <w:rPr/>
        <w:t>3)</w:t>
        <w:tab/>
      </w:r>
      <w:r>
        <w:rPr>
          <w:b/>
        </w:rPr>
        <w:t>Configuration was manual.</w:t>
      </w:r>
      <w:r>
        <w:rPr/>
        <w:t xml:space="preserve"> The user picked the tile size; the system always distributed.</w:t>
      </w:r>
    </w:p>
    <w:p>
      <w:pPr>
        <w:tabs>
          <w:tab w:pos="340" w:val="left"/>
        </w:tabs>
        <w:spacing w:after="20"/>
        <w:ind w:left="340" w:hanging="255"/>
        <w:jc w:val="both"/>
      </w:pPr>
      <w:r>
        <w:rPr/>
        <w:t>4)</w:t>
        <w:tab/>
      </w:r>
      <w:r>
        <w:rPr>
          <w:b/>
        </w:rPr>
        <w:t>The autoscaler counted tiles.</w:t>
      </w:r>
      <w:r>
        <w:rPr/>
        <w:t xml:space="preserve"> One HED tile costs about 1800 times a Canny tile of the same size, yet both counted as one unit of queue length.</w:t>
      </w:r>
    </w:p>
    <w:p>
      <w:pPr>
        <w:keepNext/>
        <w:spacing w:before="100" w:after="40"/>
      </w:pPr>
      <w:r>
        <w:rPr>
          <w:i/>
          <w:sz w:val="20"/>
        </w:rPr>
        <w:t>C. Contributions</w:t>
      </w:r>
    </w:p>
    <w:p>
      <w:pPr>
        <w:spacing w:before="0" w:after="0"/>
        <w:ind w:firstLine="204"/>
        <w:jc w:val="both"/>
      </w:pPr>
      <w:r>
        <w:rPr/>
        <w:t>This report describes four upgrades, all implemented in the same repository, tested and measured on the same hardware:</w:t>
      </w:r>
    </w:p>
    <w:p>
      <w:pPr>
        <w:tabs>
          <w:tab w:pos="283" w:val="left"/>
        </w:tabs>
        <w:spacing w:after="20"/>
        <w:ind w:left="283" w:hanging="170"/>
        <w:jc w:val="both"/>
      </w:pPr>
      <w:r>
        <w:rPr/>
        <w:t>•</w:t>
        <w:tab/>
      </w:r>
      <w:r>
        <w:rPr>
          <w:b/>
        </w:rPr>
        <w:t>Object-storage data plane</w:t>
      </w:r>
      <w:r>
        <w:rPr/>
        <w:t xml:space="preserve"> (S3/MinIO) with presigned result URLs, SSE-KMS, least-privilege IAM, lifecycle expiry and streaming tiled BigTIFF output for images too large for memory.</w:t>
      </w:r>
    </w:p>
    <w:p>
      <w:pPr>
        <w:tabs>
          <w:tab w:pos="283" w:val="left"/>
        </w:tabs>
        <w:spacing w:after="20"/>
        <w:ind w:left="283" w:hanging="170"/>
        <w:jc w:val="both"/>
      </w:pPr>
      <w:r>
        <w:rPr/>
        <w:t>•</w:t>
        <w:tab/>
      </w:r>
      <w:r>
        <w:rPr>
          <w:b/>
        </w:rPr>
        <w:t>Deep-learning operations</w:t>
      </w:r>
      <w:r>
        <w:rPr/>
        <w:t xml:space="preserve"> (HED, Real-ESRGAN ×4) with empirical halo calibration, stride-aligned halos and scale-aware stitching.</w:t>
      </w:r>
    </w:p>
    <w:p>
      <w:pPr>
        <w:tabs>
          <w:tab w:pos="283" w:val="left"/>
        </w:tabs>
        <w:spacing w:after="20"/>
        <w:ind w:left="283" w:hanging="170"/>
        <w:jc w:val="both"/>
      </w:pPr>
      <w:r>
        <w:rPr/>
        <w:t>•</w:t>
        <w:tab/>
      </w:r>
      <w:r>
        <w:rPr>
          <w:b/>
        </w:rPr>
        <w:t>A cost-aware adaptive planner</w:t>
      </w:r>
      <w:r>
        <w:rPr/>
        <w:t xml:space="preserve"> with a calibrated time model, a measured capacity curve per operation and online re-calibration from completed tasks.</w:t>
      </w:r>
    </w:p>
    <w:p>
      <w:pPr>
        <w:tabs>
          <w:tab w:pos="283" w:val="left"/>
        </w:tabs>
        <w:spacing w:after="20"/>
        <w:ind w:left="283" w:hanging="170"/>
        <w:jc w:val="both"/>
      </w:pPr>
      <w:r>
        <w:rPr/>
        <w:t>•</w:t>
        <w:tab/>
      </w:r>
      <w:r>
        <w:rPr>
          <w:b/>
        </w:rPr>
        <w:t>A work-aware autoscaler</w:t>
      </w:r>
      <w:r>
        <w:rPr/>
        <w:t xml:space="preserve"> evaluated against the Kubernetes HPA and KEDA on an identical seeded trace.</w:t>
      </w:r>
    </w:p>
    <w:p>
      <w:pPr>
        <w:keepNext/>
        <w:spacing w:before="160" w:after="80"/>
        <w:jc w:val="center"/>
      </w:pPr>
      <w:r>
        <w:rPr>
          <w:smallCaps/>
          <w:sz w:val="20"/>
        </w:rPr>
        <w:t>II. Objectives</w:t>
      </w:r>
    </w:p>
    <w:p>
      <w:pPr>
        <w:keepNext/>
        <w:spacing w:before="120"/>
        <w:jc w:val="center"/>
      </w:pPr>
      <w:r>
        <w:rPr>
          <w:sz w:val="15"/>
        </w:rPr>
        <w:t>TABLE I</w:t>
      </w:r>
    </w:p>
    <w:p>
      <w:pPr>
        <w:keepNext/>
        <w:spacing w:after="60"/>
        <w:jc w:val="center"/>
      </w:pPr>
      <w:r>
        <w:rPr>
          <w:smallCaps/>
          <w:sz w:val="15"/>
        </w:rPr>
        <w:t>Project objectives and outcomes</w:t>
      </w:r>
    </w:p>
    <w:tbl>
      <w:tblPr>
        <w:tblW w:type="auto" w:w="0"/>
        <w:jc w:val="center"/>
        <w:tblLook w:firstColumn="1" w:firstRow="1" w:lastColumn="0" w:lastRow="0" w:noHBand="0" w:noVBand="1" w:val="04A0"/>
        <w:tblLayout w:type="fixed"/>
        <w:tblBorders>
          <w:top w:val="single" w:sz="8" w:color="000000"/>
          <w:bottom w:val="single" w:sz="8" w:color="000000"/>
          <w:insideH w:val="nil"/>
          <w:insideV w:val="nil"/>
          <w:left w:val="nil"/>
          <w:right w:val="nil"/>
        </w:tblBorders>
      </w:tblPr>
      <w:tblGrid>
        <w:gridCol w:w="340"/>
        <w:gridCol w:w="1928"/>
        <w:gridCol w:w="2608"/>
      </w:tblGrid>
      <w:tr>
        <w:tc>
          <w:tcPr>
            <w:tcW w:type="dxa" w:w="340"/>
            <w:tcBorders>
              <w:bottom w:val="single" w:sz="4" w:color="000000"/>
            </w:tcBorders>
          </w:tcPr>
          <w:p>
            <w:pPr>
              <w:jc w:val="center"/>
            </w:pPr>
            <w:r/>
            <w:r>
              <w:rPr>
                <w:b/>
                <w:sz w:val="15"/>
              </w:rPr>
              <w:t>#</w:t>
            </w:r>
          </w:p>
        </w:tc>
        <w:tc>
          <w:tcPr>
            <w:tcW w:type="dxa" w:w="1928"/>
            <w:tcBorders>
              <w:bottom w:val="single" w:sz="4" w:color="000000"/>
            </w:tcBorders>
          </w:tcPr>
          <w:p>
            <w:pPr>
              <w:jc w:val="center"/>
            </w:pPr>
            <w:r/>
            <w:r>
              <w:rPr>
                <w:b/>
                <w:sz w:val="15"/>
              </w:rPr>
              <w:t>Objective</w:t>
            </w:r>
          </w:p>
        </w:tc>
        <w:tc>
          <w:tcPr>
            <w:tcW w:type="dxa" w:w="2608"/>
            <w:tcBorders>
              <w:bottom w:val="single" w:sz="4" w:color="000000"/>
            </w:tcBorders>
          </w:tcPr>
          <w:p>
            <w:pPr>
              <w:jc w:val="center"/>
            </w:pPr>
            <w:r/>
            <w:r>
              <w:rPr>
                <w:b/>
                <w:sz w:val="15"/>
              </w:rPr>
              <w:t>Outcome</w:t>
            </w:r>
          </w:p>
        </w:tc>
      </w:tr>
      <w:tr>
        <w:tc>
          <w:tcPr>
            <w:tcW w:type="dxa" w:w="340"/>
          </w:tcPr>
          <w:p>
            <w:pPr>
              <w:jc w:val="left"/>
            </w:pPr>
            <w:r/>
            <w:r>
              <w:rPr>
                <w:sz w:val="15"/>
              </w:rPr>
              <w:t>1</w:t>
            </w:r>
          </w:p>
        </w:tc>
        <w:tc>
          <w:tcPr>
            <w:tcW w:type="dxa" w:w="1928"/>
          </w:tcPr>
          <w:p>
            <w:pPr>
              <w:jc w:val="center"/>
            </w:pPr>
            <w:r/>
            <w:r>
              <w:rPr>
                <w:sz w:val="15"/>
              </w:rPr>
              <w:t>Remove the Redis memory ceiling</w:t>
            </w:r>
          </w:p>
        </w:tc>
        <w:tc>
          <w:tcPr>
            <w:tcW w:type="dxa" w:w="2608"/>
          </w:tcPr>
          <w:p>
            <w:pPr>
              <w:jc w:val="center"/>
            </w:pPr>
            <w:r/>
            <w:r>
              <w:rPr>
                <w:sz w:val="15"/>
              </w:rPr>
              <w:t>Achieved: S3/MinIO data plane; Redis holds IDs (Sec. V)</w:t>
            </w:r>
          </w:p>
        </w:tc>
      </w:tr>
      <w:tr>
        <w:tc>
          <w:tcPr>
            <w:tcW w:type="dxa" w:w="340"/>
          </w:tcPr>
          <w:p>
            <w:pPr>
              <w:jc w:val="left"/>
            </w:pPr>
            <w:r/>
            <w:r>
              <w:rPr>
                <w:sz w:val="15"/>
              </w:rPr>
              <w:t>2</w:t>
            </w:r>
          </w:p>
        </w:tc>
        <w:tc>
          <w:tcPr>
            <w:tcW w:type="dxa" w:w="1928"/>
          </w:tcPr>
          <w:p>
            <w:pPr>
              <w:jc w:val="center"/>
            </w:pPr>
            <w:r/>
            <w:r>
              <w:rPr>
                <w:sz w:val="15"/>
              </w:rPr>
              <w:t>Support heavy neural operations seam-free</w:t>
            </w:r>
          </w:p>
        </w:tc>
        <w:tc>
          <w:tcPr>
            <w:tcW w:type="dxa" w:w="2608"/>
          </w:tcPr>
          <w:p>
            <w:pPr>
              <w:jc w:val="center"/>
            </w:pPr>
            <w:r/>
            <w:r>
              <w:rPr>
                <w:sz w:val="15"/>
              </w:rPr>
              <w:t>Achieved: HED and Real-ESRGAN, calibrated halos (Sec. VI)</w:t>
            </w:r>
          </w:p>
        </w:tc>
      </w:tr>
      <w:tr>
        <w:tc>
          <w:tcPr>
            <w:tcW w:type="dxa" w:w="340"/>
          </w:tcPr>
          <w:p>
            <w:pPr>
              <w:jc w:val="left"/>
            </w:pPr>
            <w:r/>
            <w:r>
              <w:rPr>
                <w:sz w:val="15"/>
              </w:rPr>
              <w:t>3</w:t>
            </w:r>
          </w:p>
        </w:tc>
        <w:tc>
          <w:tcPr>
            <w:tcW w:type="dxa" w:w="1928"/>
          </w:tcPr>
          <w:p>
            <w:pPr>
              <w:jc w:val="center"/>
            </w:pPr>
            <w:r/>
            <w:r>
              <w:rPr>
                <w:sz w:val="15"/>
              </w:rPr>
              <w:t>Choose execution strategy automatically</w:t>
            </w:r>
          </w:p>
        </w:tc>
        <w:tc>
          <w:tcPr>
            <w:tcW w:type="dxa" w:w="2608"/>
          </w:tcPr>
          <w:p>
            <w:pPr>
              <w:jc w:val="center"/>
            </w:pPr>
            <w:r/>
            <w:r>
              <w:rPr>
                <w:sz w:val="15"/>
              </w:rPr>
              <w:t>Achieved: planner; 25 % MAPE (Sec. VII, X-C)</w:t>
            </w:r>
          </w:p>
        </w:tc>
      </w:tr>
      <w:tr>
        <w:tc>
          <w:tcPr>
            <w:tcW w:type="dxa" w:w="340"/>
          </w:tcPr>
          <w:p>
            <w:pPr>
              <w:jc w:val="left"/>
            </w:pPr>
            <w:r/>
            <w:r>
              <w:rPr>
                <w:sz w:val="15"/>
              </w:rPr>
              <w:t>4</w:t>
            </w:r>
          </w:p>
        </w:tc>
        <w:tc>
          <w:tcPr>
            <w:tcW w:type="dxa" w:w="1928"/>
          </w:tcPr>
          <w:p>
            <w:pPr>
              <w:jc w:val="center"/>
            </w:pPr>
            <w:r/>
            <w:r>
              <w:rPr>
                <w:sz w:val="15"/>
              </w:rPr>
              <w:t>Scale on work instead of queue length</w:t>
            </w:r>
          </w:p>
        </w:tc>
        <w:tc>
          <w:tcPr>
            <w:tcW w:type="dxa" w:w="2608"/>
          </w:tcPr>
          <w:p>
            <w:pPr>
              <w:jc w:val="center"/>
            </w:pPr>
            <w:r/>
            <w:r>
              <w:rPr>
                <w:sz w:val="15"/>
              </w:rPr>
              <w:t>Achieved: work-aware scaler vs HPA, KEDA (Sec. VIII, X-D)</w:t>
            </w:r>
          </w:p>
        </w:tc>
      </w:tr>
      <w:tr>
        <w:tc>
          <w:tcPr>
            <w:tcW w:type="dxa" w:w="340"/>
          </w:tcPr>
          <w:p>
            <w:pPr>
              <w:jc w:val="left"/>
            </w:pPr>
            <w:r/>
            <w:r>
              <w:rPr>
                <w:sz w:val="15"/>
              </w:rPr>
              <w:t>5</w:t>
            </w:r>
          </w:p>
        </w:tc>
        <w:tc>
          <w:tcPr>
            <w:tcW w:type="dxa" w:w="1928"/>
          </w:tcPr>
          <w:p>
            <w:pPr>
              <w:jc w:val="center"/>
            </w:pPr>
            <w:r/>
            <w:r>
              <w:rPr>
                <w:sz w:val="15"/>
              </w:rPr>
              <w:t>Keep v1 guarantees</w:t>
            </w:r>
          </w:p>
        </w:tc>
        <w:tc>
          <w:tcPr>
            <w:tcW w:type="dxa" w:w="2608"/>
          </w:tcPr>
          <w:p>
            <w:pPr>
              <w:jc w:val="center"/>
            </w:pPr>
            <w:r/>
            <w:r>
              <w:rPr>
                <w:sz w:val="15"/>
              </w:rPr>
              <w:t>Kept: halo-exact output, leases, retries; 42 tests pass</w:t>
            </w:r>
          </w:p>
        </w:tc>
      </w:tr>
    </w:tbl>
    <w:p>
      <w:pPr>
        <w:spacing w:after="80"/>
      </w:pPr>
    </w:p>
    <w:p>
      <w:pPr>
        <w:keepNext/>
        <w:spacing w:before="160" w:after="80"/>
        <w:jc w:val="center"/>
      </w:pPr>
      <w:r>
        <w:rPr>
          <w:smallCaps/>
          <w:sz w:val="20"/>
        </w:rPr>
        <w:t>III. Related Work</w:t>
      </w:r>
    </w:p>
    <w:p>
      <w:pPr>
        <w:spacing w:before="0" w:after="0"/>
        <w:ind w:firstLine="204"/>
        <w:jc w:val="both"/>
      </w:pPr>
      <w:r>
        <w:rPr>
          <w:b/>
        </w:rPr>
        <w:t>Splitting and fault tolerance.</w:t>
      </w:r>
      <w:r>
        <w:rPr/>
        <w:t xml:space="preserve"> MapReduce [6] established splitting a job into independent tasks with re-execution on failure; our tile tasks are map tasks with a spatial reduce. Leases [7] bound how long a crashed holder can block a resource; our tiles use leases renewed by heartbeats. </w:t>
      </w:r>
      <w:r>
        <w:rPr>
          <w:b/>
        </w:rPr>
        <w:t>Image pipelines.</w:t>
      </w:r>
      <w:r>
        <w:rPr/>
        <w:t xml:space="preserve"> Halide [8] separates the algorithm from its schedule and treats tile size and recomputation of overlap as a trade-off; Distributed Halide [9] extends this to clusters and shows that communication, not compute, often limits scaling, which is exactly the effect our planner models. </w:t>
      </w:r>
      <w:r>
        <w:rPr>
          <w:b/>
        </w:rPr>
        <w:t>Performance models.</w:t>
      </w:r>
      <w:r>
        <w:rPr/>
        <w:t xml:space="preserve"> Ernest [10] predicts the runtime of analytics jobs from a few small runs with a simple parametric model; our planner follows the same idea (calibrate, then extrapolate) with terms for per-tile overhead and contention. </w:t>
      </w:r>
      <w:r>
        <w:rPr>
          <w:b/>
        </w:rPr>
        <w:t>Autoscaling.</w:t>
      </w:r>
      <w:r>
        <w:rPr/>
        <w:t xml:space="preserve"> The Kubernetes HPA [19] scales on resource utilisation and KEDA [18] on event-source metrics such as list length. Autopilot [11] at Google sets resources from observed usage rather than user limits. Bhosale </w:t>
      </w:r>
      <w:r>
        <w:rPr>
          <w:i/>
        </w:rPr>
        <w:t>et al.</w:t>
      </w:r>
      <w:r>
        <w:rPr/>
        <w:t xml:space="preserve"> [1], [2] argue for elastic, workload-aware resizing of cloud HPC jobs, and Liu </w:t>
      </w:r>
      <w:r>
        <w:rPr>
          <w:i/>
        </w:rPr>
        <w:t>et al.</w:t>
      </w:r>
      <w:r>
        <w:rPr/>
        <w:t xml:space="preserve"> [4] predict future workload requirements for containerised workflows; our work-aware scaler is a simple instance of both ideas. Chazapis </w:t>
      </w:r>
      <w:r>
        <w:rPr>
          <w:i/>
        </w:rPr>
        <w:t>et al.</w:t>
      </w:r>
      <w:r>
        <w:rPr/>
        <w:t xml:space="preserve"> [5] and the fog pipeline of [3] support the premise that a thin scheduler on Kubernetes is a viable substrate for parallel compute. </w:t>
      </w:r>
      <w:r>
        <w:rPr>
          <w:b/>
        </w:rPr>
        <w:t>Neural networks.</w:t>
      </w:r>
      <w:r>
        <w:rPr/>
        <w:t xml:space="preserve"> HED [12] and Real-ESRGAN [13] are fully convolutional, so they can be tiled, but their theoretical receptive fields are large. Luo </w:t>
      </w:r>
      <w:r>
        <w:rPr>
          <w:i/>
        </w:rPr>
        <w:t>et al.</w:t>
      </w:r>
      <w:r>
        <w:rPr/>
        <w:t xml:space="preserve"> [14] showed the </w:t>
      </w:r>
      <w:r>
        <w:rPr>
          <w:i/>
        </w:rPr>
        <w:t>effective</w:t>
      </w:r>
      <w:r>
        <w:rPr/>
        <w:t xml:space="preserve"> receptive field is much smaller and roughly Gaussian, which justifies calibrating the halo empirically.</w:t>
      </w:r>
    </w:p>
    <w:p>
      <w:pPr>
        <w:keepNext/>
        <w:spacing w:before="160" w:after="80"/>
        <w:jc w:val="center"/>
      </w:pPr>
      <w:r>
        <w:rPr>
          <w:smallCaps/>
          <w:sz w:val="20"/>
        </w:rPr>
        <w:t>IV. System Architecture</w:t>
      </w:r>
    </w:p>
    <w:p>
      <w:pPr>
        <w:keepNext/>
        <w:spacing w:before="80"/>
        <w:jc w:val="center"/>
      </w:pPr>
      <w:r>
        <w:drawing>
          <wp:inline xmlns:a="http://schemas.openxmlformats.org/drawingml/2006/main" xmlns:pic="http://schemas.openxmlformats.org/drawingml/2006/picture">
            <wp:extent cx="3139440" cy="1567021"/>
            <wp:docPr id="1" name="Picture 1"/>
            <wp:cNvGraphicFramePr>
              <a:graphicFrameLocks noChangeAspect="1"/>
            </wp:cNvGraphicFramePr>
            <a:graphic>
              <a:graphicData uri="http://schemas.openxmlformats.org/drawingml/2006/picture">
                <pic:pic>
                  <pic:nvPicPr>
                    <pic:cNvPr id="0" name="fig_architecture_v2.png"/>
                    <pic:cNvPicPr/>
                  </pic:nvPicPr>
                  <pic:blipFill>
                    <a:blip r:embed="rId9"/>
                    <a:stretch>
                      <a:fillRect/>
                    </a:stretch>
                  </pic:blipFill>
                  <pic:spPr>
                    <a:xfrm>
                      <a:off x="0" y="0"/>
                      <a:ext cx="3139440" cy="1567021"/>
                    </a:xfrm>
                    <a:prstGeom prst="rect"/>
                  </pic:spPr>
                </pic:pic>
              </a:graphicData>
            </a:graphic>
          </wp:inline>
        </w:drawing>
      </w:r>
    </w:p>
    <w:p>
      <w:pPr>
        <w:spacing w:after="120"/>
        <w:jc w:val="both"/>
      </w:pPr>
      <w:r>
        <w:rPr>
          <w:sz w:val="16"/>
        </w:rPr>
        <w:t>Fig. 1. Architecture after the upgrades. Bulk bytes (input, tiles, results) flow through object storage; Redis carries only task IDs, leases, per-tile costs and job state.</w:t>
      </w:r>
    </w:p>
    <w:p>
      <w:pPr>
        <w:spacing w:before="0" w:after="0"/>
        <w:ind w:firstLine="204"/>
        <w:jc w:val="both"/>
      </w:pPr>
      <w:r>
        <w:rPr/>
        <w:t>All components are built from one Docker image and run unchanged on a laptop, Docker Compose or Kubernetes:</w:t>
      </w:r>
    </w:p>
    <w:p>
      <w:pPr>
        <w:tabs>
          <w:tab w:pos="283" w:val="left"/>
        </w:tabs>
        <w:spacing w:after="20"/>
        <w:ind w:left="283" w:hanging="170"/>
        <w:jc w:val="both"/>
      </w:pPr>
      <w:r>
        <w:rPr/>
        <w:t>•</w:t>
        <w:tab/>
      </w:r>
      <w:r>
        <w:rPr>
          <w:b/>
        </w:rPr>
        <w:t>API (FastAPI).</w:t>
      </w:r>
      <w:r>
        <w:rPr/>
        <w:t xml:space="preserve"> Accepts uploads, asks the planner for a plan, partitions the image, uploads input and tiles to the bucket, enqueues one task per tile with its predicted cost, and serves status and results (a 307 redirect to a presigned URL).</w:t>
      </w:r>
    </w:p>
    <w:p>
      <w:pPr>
        <w:tabs>
          <w:tab w:pos="283" w:val="left"/>
        </w:tabs>
        <w:spacing w:after="20"/>
        <w:ind w:left="283" w:hanging="170"/>
        <w:jc w:val="both"/>
      </w:pPr>
      <w:r>
        <w:rPr/>
        <w:t>•</w:t>
        <w:tab/>
      </w:r>
      <w:r>
        <w:rPr>
          <w:b/>
        </w:rPr>
        <w:t>Redis.</w:t>
      </w:r>
      <w:r>
        <w:rPr/>
        <w:t xml:space="preserve"> Reliable queue (</w:t>
      </w:r>
      <w:r>
        <w:rPr>
          <w:rFonts w:ascii="Courier New" w:hAnsi="Courier New" w:eastAsia="Courier New"/>
          <w:sz w:val="18"/>
        </w:rPr>
        <w:t>pending</w:t>
      </w:r>
      <w:r>
        <w:rPr/>
        <w:t xml:space="preserve">, </w:t>
      </w:r>
      <w:r>
        <w:rPr>
          <w:rFonts w:ascii="Courier New" w:hAnsi="Courier New" w:eastAsia="Courier New"/>
          <w:sz w:val="18"/>
        </w:rPr>
        <w:t>processing</w:t>
      </w:r>
      <w:r>
        <w:rPr/>
        <w:t xml:space="preserve"> lists and a lease sorted set), job hashes, per-tile cost hash, the queued </w:t>
      </w:r>
      <w:r>
        <w:rPr>
          <w:i/>
        </w:rPr>
        <w:t>work-seconds</w:t>
      </w:r>
      <w:r>
        <w:rPr/>
        <w:t xml:space="preserve"> counter and the online profile. All state changes are Lua scripts so they are atomic.</w:t>
      </w:r>
    </w:p>
    <w:p>
      <w:pPr>
        <w:tabs>
          <w:tab w:pos="283" w:val="left"/>
        </w:tabs>
        <w:spacing w:after="20"/>
        <w:ind w:left="283" w:hanging="170"/>
        <w:jc w:val="both"/>
      </w:pPr>
      <w:r>
        <w:rPr/>
        <w:t>•</w:t>
        <w:tab/>
      </w:r>
      <w:r>
        <w:rPr>
          <w:b/>
        </w:rPr>
        <w:t>Object store.</w:t>
      </w:r>
      <w:r>
        <w:rPr/>
        <w:t xml:space="preserve"> MinIO locally, Amazon S3 in the cloud. Keys are </w:t>
      </w:r>
      <w:r>
        <w:rPr>
          <w:rFonts w:ascii="Courier New" w:hAnsi="Courier New" w:eastAsia="Courier New"/>
          <w:sz w:val="18"/>
        </w:rPr>
        <w:t>jobs/&lt;id&gt;/input.&lt;ext&gt;</w:t>
      </w:r>
      <w:r>
        <w:rPr/>
        <w:t xml:space="preserve">, </w:t>
      </w:r>
      <w:r>
        <w:rPr>
          <w:rFonts w:ascii="Courier New" w:hAnsi="Courier New" w:eastAsia="Courier New"/>
          <w:sz w:val="18"/>
        </w:rPr>
        <w:t>tiles/&lt;i&gt;.npy</w:t>
      </w:r>
      <w:r>
        <w:rPr/>
        <w:t xml:space="preserve">, </w:t>
      </w:r>
      <w:r>
        <w:rPr>
          <w:rFonts w:ascii="Courier New" w:hAnsi="Courier New" w:eastAsia="Courier New"/>
          <w:sz w:val="18"/>
        </w:rPr>
        <w:t>results/&lt;i&gt;.npy</w:t>
      </w:r>
      <w:r>
        <w:rPr/>
        <w:t xml:space="preserve">, </w:t>
      </w:r>
      <w:r>
        <w:rPr>
          <w:rFonts w:ascii="Courier New" w:hAnsi="Courier New" w:eastAsia="Courier New"/>
          <w:sz w:val="18"/>
        </w:rPr>
        <w:t>output.png|tif</w:t>
      </w:r>
      <w:r>
        <w:rPr/>
        <w:t xml:space="preserve"> and previews.</w:t>
      </w:r>
    </w:p>
    <w:p>
      <w:pPr>
        <w:tabs>
          <w:tab w:pos="283" w:val="left"/>
        </w:tabs>
        <w:spacing w:after="20"/>
        <w:ind w:left="283" w:hanging="170"/>
        <w:jc w:val="both"/>
      </w:pPr>
      <w:r>
        <w:rPr/>
        <w:t>•</w:t>
        <w:tab/>
      </w:r>
      <w:r>
        <w:rPr>
          <w:b/>
        </w:rPr>
        <w:t>Workers.</w:t>
      </w:r>
      <w:r>
        <w:rPr/>
        <w:t xml:space="preserve"> Stateless; claim a tile, GET it, run the OpenCV or ONNX operation, PUT the result, complete it. The last finisher stitches (or streams a tiled TIFF).</w:t>
      </w:r>
    </w:p>
    <w:p>
      <w:pPr>
        <w:tabs>
          <w:tab w:pos="283" w:val="left"/>
        </w:tabs>
        <w:spacing w:after="20"/>
        <w:ind w:left="283" w:hanging="170"/>
        <w:jc w:val="both"/>
      </w:pPr>
      <w:r>
        <w:rPr/>
        <w:t>•</w:t>
        <w:tab/>
      </w:r>
      <w:r>
        <w:rPr>
          <w:b/>
        </w:rPr>
        <w:t>Autoscaler.</w:t>
      </w:r>
      <w:r>
        <w:rPr/>
        <w:t xml:space="preserve"> Work-aware policy (ours), or the HPA / KEDA baselines; one is active at a time.</w:t>
      </w:r>
    </w:p>
    <w:p>
      <w:pPr>
        <w:keepNext/>
        <w:spacing w:before="160" w:after="80"/>
        <w:jc w:val="center"/>
      </w:pPr>
      <w:r>
        <w:rPr>
          <w:smallCaps/>
          <w:sz w:val="20"/>
        </w:rPr>
        <w:t>V. Upgrade 1: Object-Storage Data Plane</w:t>
      </w:r>
    </w:p>
    <w:p>
      <w:pPr>
        <w:keepNext/>
        <w:spacing w:before="100" w:after="40"/>
      </w:pPr>
      <w:r>
        <w:rPr>
          <w:i/>
          <w:sz w:val="20"/>
        </w:rPr>
        <w:t>A. Design</w:t>
      </w:r>
    </w:p>
    <w:p>
      <w:pPr>
        <w:spacing w:before="0" w:after="0"/>
        <w:ind w:firstLine="204"/>
        <w:jc w:val="both"/>
      </w:pPr>
      <w:r>
        <w:rPr/>
        <w:t xml:space="preserve">v1 stored encoded tiles in Redis, so Redis memory, not CPU, limited the system. The upgrade applies the </w:t>
      </w:r>
      <w:r>
        <w:rPr>
          <w:i/>
        </w:rPr>
        <w:t>claim-check</w:t>
      </w:r>
      <w:r>
        <w:rPr/>
        <w:t xml:space="preserve"> pattern: bulk bytes go to S3 and the queue entry carries only the tile ID. </w:t>
      </w:r>
      <w:r>
        <w:rPr>
          <w:rFonts w:ascii="Courier New" w:hAnsi="Courier New" w:eastAsia="Courier New"/>
          <w:sz w:val="18"/>
        </w:rPr>
        <w:t>imgframe/objstore.py</w:t>
      </w:r>
      <w:r>
        <w:rPr/>
        <w:t xml:space="preserve"> wraps boto3 with path-style addressing so the same code talks to MinIO and S3; tile uploads and downloads use a 32-thread pool. The API uploads all tiles </w:t>
      </w:r>
      <w:r>
        <w:rPr>
          <w:i/>
        </w:rPr>
        <w:t>before</w:t>
      </w:r>
      <w:r>
        <w:rPr/>
        <w:t xml:space="preserve"> enqueuing any task, so a worker never claims a tile whose bytes are missing. Deleting a job removes its prefix and subtracts its remaining cost from the work counter. Redis mode is kept (</w:t>
      </w:r>
      <w:r>
        <w:rPr>
          <w:rFonts w:ascii="Courier New" w:hAnsi="Courier New" w:eastAsia="Courier New"/>
          <w:sz w:val="18"/>
        </w:rPr>
        <w:t>S3_BUCKET</w:t>
      </w:r>
      <w:r>
        <w:rPr/>
        <w:t xml:space="preserve"> unset) for tests and for the comparison below.</w:t>
      </w:r>
    </w:p>
    <w:p>
      <w:pPr>
        <w:keepNext/>
        <w:spacing w:before="100" w:after="40"/>
      </w:pPr>
      <w:r>
        <w:rPr>
          <w:i/>
          <w:sz w:val="20"/>
        </w:rPr>
        <w:t>B. Result Delivery and Large Outputs</w:t>
      </w:r>
    </w:p>
    <w:p>
      <w:pPr>
        <w:spacing w:before="0" w:after="0"/>
        <w:ind w:firstLine="204"/>
        <w:jc w:val="both"/>
      </w:pPr>
      <w:r>
        <w:rPr>
          <w:rFonts w:ascii="Courier New" w:hAnsi="Courier New" w:eastAsia="Courier New"/>
          <w:sz w:val="18"/>
        </w:rPr>
        <w:t>GET /jobs/{id}/result</w:t>
      </w:r>
      <w:r>
        <w:rPr/>
        <w:t xml:space="preserve"> answers with a 307 redirect to a presigned URL valid for 300 s, so result bytes never pass through the API (a </w:t>
      </w:r>
      <w:r>
        <w:rPr>
          <w:rFonts w:ascii="Courier New" w:hAnsi="Courier New" w:eastAsia="Courier New"/>
          <w:sz w:val="18"/>
        </w:rPr>
        <w:t>proxy</w:t>
      </w:r>
      <w:r>
        <w:rPr/>
        <w:t xml:space="preserve"> mode exists for clients that cannot follow redirects). A separate signing client uses the public endpoint, because the in-cluster hostname of MinIO is not resolvable by a browser. Outputs above 150 MP (</w:t>
      </w:r>
      <w:r>
        <w:rPr>
          <w:rFonts w:ascii="Courier New" w:hAnsi="Courier New" w:eastAsia="Courier New"/>
          <w:sz w:val="18"/>
        </w:rPr>
        <w:t>STREAM_OUTPUT_MP</w:t>
      </w:r>
      <w:r>
        <w:rPr/>
        <w:t xml:space="preserve">) are written tile by tile into a tiled BigTIFF with </w:t>
      </w:r>
      <w:r>
        <w:rPr>
          <w:i/>
        </w:rPr>
        <w:t>tifffile</w:t>
      </w:r>
      <w:r>
        <w:rPr/>
        <w:t>, so the aggregator never holds the full image; a 1200 px JPEG preview is written alongside.</w:t>
      </w:r>
    </w:p>
    <w:p>
      <w:pPr>
        <w:keepNext/>
        <w:spacing w:before="100" w:after="40"/>
      </w:pPr>
      <w:r>
        <w:rPr>
          <w:i/>
          <w:sz w:val="20"/>
        </w:rPr>
        <w:t>C. Security</w:t>
      </w:r>
    </w:p>
    <w:p>
      <w:pPr>
        <w:spacing w:before="0" w:after="0"/>
        <w:ind w:firstLine="204"/>
        <w:jc w:val="both"/>
      </w:pPr>
      <w:r>
        <w:rPr/>
        <w:t xml:space="preserve">The AWS templates in </w:t>
      </w:r>
      <w:r>
        <w:rPr>
          <w:rFonts w:ascii="Courier New" w:hAnsi="Courier New" w:eastAsia="Courier New"/>
          <w:sz w:val="18"/>
        </w:rPr>
        <w:t>deploy/aws/</w:t>
      </w:r>
      <w:r>
        <w:rPr/>
        <w:t xml:space="preserve"> follow least privilege: the API role may put inputs and tiles, read results and presign; the worker role may only get tiles and put results. The bucket enforces Block Public Access and TLS-only access, encrypts with SSE-KMS [20], and expires </w:t>
      </w:r>
      <w:r>
        <w:rPr>
          <w:rFonts w:ascii="Courier New" w:hAnsi="Courier New" w:eastAsia="Courier New"/>
          <w:sz w:val="18"/>
        </w:rPr>
        <w:t>jobs/</w:t>
      </w:r>
      <w:r>
        <w:rPr/>
        <w:t xml:space="preserve"> after one day with a lifecycle rule. On EKS the roles are bound to Kubernetes service accounts with IRSA [21], so no keys are stored in pods. Locally, MinIO credentials live in a Kubernetes Secret. The AWS templates are written and syntax-checked but were not deployed (no AWS account was used).</w:t>
      </w:r>
    </w:p>
    <w:p>
      <w:pPr>
        <w:keepNext/>
        <w:spacing w:before="160" w:after="80"/>
        <w:jc w:val="center"/>
      </w:pPr>
      <w:r>
        <w:rPr>
          <w:smallCaps/>
          <w:sz w:val="20"/>
        </w:rPr>
        <w:t>VI. Upgrade 2: Deep-Learning Operations</w:t>
      </w:r>
    </w:p>
    <w:p>
      <w:pPr>
        <w:keepNext/>
        <w:spacing w:before="100" w:after="40"/>
      </w:pPr>
      <w:r>
        <w:rPr>
          <w:i/>
          <w:sz w:val="20"/>
        </w:rPr>
        <w:t>A. Models</w:t>
      </w:r>
    </w:p>
    <w:p>
      <w:pPr>
        <w:spacing w:before="0" w:after="0"/>
        <w:ind w:firstLine="204"/>
        <w:jc w:val="both"/>
      </w:pPr>
      <w:r>
        <w:rPr>
          <w:b/>
        </w:rPr>
        <w:t>HED</w:t>
      </w:r>
      <w:r>
        <w:rPr/>
        <w:t xml:space="preserve"> [12] produces a soft edge map from five VGG-16 side outputs. The public weights are a Caffe model and OpenCV 5 no longer imports Caffe, so we wrote </w:t>
      </w:r>
      <w:r>
        <w:rPr>
          <w:rFonts w:ascii="Courier New" w:hAnsi="Courier New" w:eastAsia="Courier New"/>
          <w:sz w:val="18"/>
        </w:rPr>
        <w:t>scripts/convert_hed.py</w:t>
      </w:r>
      <w:r>
        <w:rPr/>
        <w:t xml:space="preserve">, which decodes the Caffe protobuf wire format directly and emits an equivalent ONNX graph (bilinear resize of side outputs, as in the PyTorch port). </w:t>
      </w:r>
      <w:r>
        <w:rPr>
          <w:b/>
        </w:rPr>
        <w:t>Real-ESRGAN</w:t>
      </w:r>
      <w:r>
        <w:rPr/>
        <w:t xml:space="preserve"> [13] (</w:t>
      </w:r>
      <w:r>
        <w:rPr>
          <w:rFonts w:ascii="Courier New" w:hAnsi="Courier New" w:eastAsia="Courier New"/>
          <w:sz w:val="18"/>
        </w:rPr>
        <w:t>realesr-general-x4v3</w:t>
      </w:r>
      <w:r>
        <w:rPr/>
        <w:t xml:space="preserve">, 1.2 M parameters) upscales ×4. Both run under ONNX Runtime [22] with one intra-op thread per process, so parallelism comes only from the framework and the comparison with sequential execution is fair. Model files are fetched by </w:t>
      </w:r>
      <w:r>
        <w:rPr>
          <w:rFonts w:ascii="Courier New" w:hAnsi="Courier New" w:eastAsia="Courier New"/>
          <w:sz w:val="18"/>
        </w:rPr>
        <w:t>scripts/fetch_models.sh</w:t>
      </w:r>
      <w:r>
        <w:rPr/>
        <w:t xml:space="preserve"> and verified by SHA-256.</w:t>
      </w:r>
    </w:p>
    <w:p>
      <w:pPr>
        <w:sectPr>
          <w:type w:val="continuous"/>
          <w:pgSz w:w="11906" w:h="16838"/>
          <w:pgMar w:top="1077" w:right="890" w:bottom="1440" w:left="890" w:header="720" w:footer="720" w:gutter="0"/>
          <w:cols w:space="238" w:num="2"/>
          <w:docGrid w:linePitch="360"/>
        </w:sectPr>
      </w:pPr>
    </w:p>
    <w:p>
      <w:pPr>
        <w:keepNext/>
        <w:spacing w:before="80"/>
        <w:jc w:val="center"/>
      </w:pPr>
      <w:r>
        <w:drawing>
          <wp:inline xmlns:a="http://schemas.openxmlformats.org/drawingml/2006/main" xmlns:pic="http://schemas.openxmlformats.org/drawingml/2006/picture">
            <wp:extent cx="6430010" cy="1299596"/>
            <wp:docPr id="2" name="Picture 2"/>
            <wp:cNvGraphicFramePr>
              <a:graphicFrameLocks noChangeAspect="1"/>
            </wp:cNvGraphicFramePr>
            <a:graphic>
              <a:graphicData uri="http://schemas.openxmlformats.org/drawingml/2006/picture">
                <pic:pic>
                  <pic:nvPicPr>
                    <pic:cNvPr id="0" name="fig_canny_vs_hed.png"/>
                    <pic:cNvPicPr/>
                  </pic:nvPicPr>
                  <pic:blipFill>
                    <a:blip r:embed="rId10"/>
                    <a:stretch>
                      <a:fillRect/>
                    </a:stretch>
                  </pic:blipFill>
                  <pic:spPr>
                    <a:xfrm>
                      <a:off x="0" y="0"/>
                      <a:ext cx="6430010" cy="1299596"/>
                    </a:xfrm>
                    <a:prstGeom prst="rect"/>
                  </pic:spPr>
                </pic:pic>
              </a:graphicData>
            </a:graphic>
          </wp:inline>
        </w:drawing>
      </w:r>
    </w:p>
    <w:p>
      <w:pPr>
        <w:spacing w:after="120"/>
        <w:jc w:val="both"/>
      </w:pPr>
      <w:r>
        <w:rPr>
          <w:sz w:val="16"/>
        </w:rPr>
        <w:t>Fig. 2. Canny vs HED on the same photograph, and the tiled-minus-whole error maps. With the calibrated halo the tiled HED output is visually identical to whole-image inference.</w:t>
      </w:r>
    </w:p>
    <w:p>
      <w:pPr>
        <w:sectPr>
          <w:type w:val="continuous"/>
          <w:pgSz w:w="11906" w:h="16838"/>
          <w:pgMar w:top="1077" w:right="890" w:bottom="1440" w:left="890" w:header="720" w:footer="720" w:gutter="0"/>
          <w:cols w:space="238" w:num="1"/>
          <w:docGrid w:linePitch="360"/>
        </w:sectPr>
      </w:pPr>
    </w:p>
    <w:p>
      <w:pPr>
        <w:keepNext/>
        <w:spacing w:before="100" w:after="40"/>
      </w:pPr>
      <w:r>
        <w:rPr>
          <w:i/>
          <w:sz w:val="20"/>
        </w:rPr>
        <w:t>B. Halo Calibration from the Effective Receptive Field</w:t>
      </w:r>
    </w:p>
    <w:p>
      <w:pPr>
        <w:spacing w:before="0" w:after="0"/>
        <w:ind w:firstLine="204"/>
        <w:jc w:val="both"/>
      </w:pPr>
      <w:r>
        <w:rPr/>
        <w:t xml:space="preserve">The theoretical receptive-field radius of HED is 98 px and of Real-ESRGAN 34 px. Using it as the halo is exact but expensive: with 256 px tiles HED would compute 2.5× more pixels than needed. Following [14], </w:t>
      </w:r>
      <w:r>
        <w:rPr>
          <w:rFonts w:ascii="Courier New" w:hAnsi="Courier New" w:eastAsia="Courier New"/>
          <w:sz w:val="18"/>
        </w:rPr>
        <w:t>scripts/calibrate_halo.py</w:t>
      </w:r>
      <w:r>
        <w:rPr/>
        <w:t xml:space="preserve"> sweeps the halo, compares tiled with whole-image output and picks the smallest halo meeting two criteria: seam PSNR ≥ 40 dB (PSNR within 8 px of tile borders) and the 99.9th-percentile absolute error ≤ 8 grey levels. Table II and Fig. 3 show the sweep.</w:t>
      </w:r>
    </w:p>
    <w:p>
      <w:pPr>
        <w:keepNext/>
        <w:spacing w:before="120"/>
        <w:jc w:val="center"/>
      </w:pPr>
      <w:r>
        <w:rPr>
          <w:sz w:val="15"/>
        </w:rPr>
        <w:t>TABLE II</w:t>
      </w:r>
    </w:p>
    <w:p>
      <w:pPr>
        <w:keepNext/>
        <w:spacing w:after="60"/>
        <w:jc w:val="center"/>
      </w:pPr>
      <w:r>
        <w:rPr>
          <w:smallCaps/>
          <w:sz w:val="15"/>
        </w:rPr>
        <w:t>Halo calibration (256 px tiles); middle row = chosen halo</w:t>
      </w:r>
    </w:p>
    <w:tbl>
      <w:tblPr>
        <w:tblW w:type="auto" w:w="0"/>
        <w:jc w:val="center"/>
        <w:tblLook w:firstColumn="1" w:firstRow="1" w:lastColumn="0" w:lastRow="0" w:noHBand="0" w:noVBand="1" w:val="04A0"/>
        <w:tblLayout w:type="fixed"/>
        <w:tblBorders>
          <w:top w:val="single" w:sz="8" w:color="000000"/>
          <w:bottom w:val="single" w:sz="8" w:color="000000"/>
          <w:insideH w:val="nil"/>
          <w:insideV w:val="nil"/>
          <w:left w:val="nil"/>
          <w:right w:val="nil"/>
        </w:tblBorders>
      </w:tblPr>
      <w:tblGrid>
        <w:gridCol w:w="1020"/>
        <w:gridCol w:w="737"/>
        <w:gridCol w:w="1191"/>
        <w:gridCol w:w="964"/>
        <w:gridCol w:w="964"/>
      </w:tblGrid>
      <w:tr>
        <w:tc>
          <w:tcPr>
            <w:tcW w:type="dxa" w:w="1020"/>
            <w:tcBorders>
              <w:bottom w:val="single" w:sz="4" w:color="000000"/>
            </w:tcBorders>
          </w:tcPr>
          <w:p>
            <w:pPr>
              <w:jc w:val="center"/>
            </w:pPr>
            <w:r/>
            <w:r>
              <w:rPr>
                <w:b/>
                <w:sz w:val="15"/>
              </w:rPr>
              <w:t>Op</w:t>
            </w:r>
          </w:p>
        </w:tc>
        <w:tc>
          <w:tcPr>
            <w:tcW w:type="dxa" w:w="737"/>
            <w:tcBorders>
              <w:bottom w:val="single" w:sz="4" w:color="000000"/>
            </w:tcBorders>
          </w:tcPr>
          <w:p>
            <w:pPr>
              <w:jc w:val="center"/>
            </w:pPr>
            <w:r/>
            <w:r>
              <w:rPr>
                <w:b/>
                <w:sz w:val="15"/>
              </w:rPr>
              <w:t>Halo (px)</w:t>
            </w:r>
          </w:p>
        </w:tc>
        <w:tc>
          <w:tcPr>
            <w:tcW w:type="dxa" w:w="1191"/>
            <w:tcBorders>
              <w:bottom w:val="single" w:sz="4" w:color="000000"/>
            </w:tcBorders>
          </w:tcPr>
          <w:p>
            <w:pPr>
              <w:jc w:val="center"/>
            </w:pPr>
            <w:r/>
            <w:r>
              <w:rPr>
                <w:b/>
                <w:sz w:val="15"/>
              </w:rPr>
              <w:t>Seam PSNR (dB)</w:t>
            </w:r>
          </w:p>
        </w:tc>
        <w:tc>
          <w:tcPr>
            <w:tcW w:type="dxa" w:w="964"/>
            <w:tcBorders>
              <w:bottom w:val="single" w:sz="4" w:color="000000"/>
            </w:tcBorders>
          </w:tcPr>
          <w:p>
            <w:pPr>
              <w:jc w:val="center"/>
            </w:pPr>
            <w:r/>
            <w:r>
              <w:rPr>
                <w:b/>
                <w:sz w:val="15"/>
              </w:rPr>
              <w:t>p99.9 |err|</w:t>
            </w:r>
          </w:p>
        </w:tc>
        <w:tc>
          <w:tcPr>
            <w:tcW w:type="dxa" w:w="964"/>
            <w:tcBorders>
              <w:bottom w:val="single" w:sz="4" w:color="000000"/>
            </w:tcBorders>
          </w:tcPr>
          <w:p>
            <w:pPr>
              <w:jc w:val="center"/>
            </w:pPr>
            <w:r/>
            <w:r>
              <w:rPr>
                <w:b/>
                <w:sz w:val="15"/>
              </w:rPr>
              <w:t>Extra pixels</w:t>
            </w:r>
          </w:p>
        </w:tc>
      </w:tr>
      <w:tr>
        <w:tc>
          <w:tcPr>
            <w:tcW w:type="dxa" w:w="1020"/>
          </w:tcPr>
          <w:p>
            <w:pPr>
              <w:jc w:val="left"/>
            </w:pPr>
            <w:r/>
            <w:r>
              <w:rPr>
                <w:sz w:val="15"/>
              </w:rPr>
              <w:t>HED</w:t>
            </w:r>
          </w:p>
        </w:tc>
        <w:tc>
          <w:tcPr>
            <w:tcW w:type="dxa" w:w="737"/>
          </w:tcPr>
          <w:p>
            <w:pPr>
              <w:jc w:val="center"/>
            </w:pPr>
            <w:r/>
            <w:r>
              <w:rPr>
                <w:sz w:val="15"/>
              </w:rPr>
              <w:t>0</w:t>
            </w:r>
          </w:p>
        </w:tc>
        <w:tc>
          <w:tcPr>
            <w:tcW w:type="dxa" w:w="1191"/>
          </w:tcPr>
          <w:p>
            <w:pPr>
              <w:jc w:val="center"/>
            </w:pPr>
            <w:r/>
            <w:r>
              <w:rPr>
                <w:sz w:val="15"/>
              </w:rPr>
              <w:t>16.0</w:t>
            </w:r>
          </w:p>
        </w:tc>
        <w:tc>
          <w:tcPr>
            <w:tcW w:type="dxa" w:w="964"/>
          </w:tcPr>
          <w:p>
            <w:pPr>
              <w:jc w:val="center"/>
            </w:pPr>
            <w:r/>
            <w:r>
              <w:rPr>
                <w:sz w:val="15"/>
              </w:rPr>
              <w:t>155</w:t>
            </w:r>
          </w:p>
        </w:tc>
        <w:tc>
          <w:tcPr>
            <w:tcW w:type="dxa" w:w="964"/>
          </w:tcPr>
          <w:p>
            <w:pPr>
              <w:jc w:val="center"/>
            </w:pPr>
            <w:r/>
            <w:r>
              <w:rPr>
                <w:sz w:val="15"/>
              </w:rPr>
              <w:t>0 %</w:t>
            </w:r>
          </w:p>
        </w:tc>
      </w:tr>
      <w:tr>
        <w:tc>
          <w:tcPr>
            <w:tcW w:type="dxa" w:w="1020"/>
          </w:tcPr>
          <w:p>
            <w:pPr>
              <w:jc w:val="left"/>
            </w:pPr>
            <w:r/>
            <w:r>
              <w:rPr>
                <w:sz w:val="15"/>
              </w:rPr>
              <w:t>HED</w:t>
            </w:r>
          </w:p>
        </w:tc>
        <w:tc>
          <w:tcPr>
            <w:tcW w:type="dxa" w:w="737"/>
          </w:tcPr>
          <w:p>
            <w:pPr>
              <w:jc w:val="center"/>
            </w:pPr>
            <w:r/>
            <w:r>
              <w:rPr>
                <w:sz w:val="15"/>
              </w:rPr>
              <w:t>80</w:t>
            </w:r>
          </w:p>
        </w:tc>
        <w:tc>
          <w:tcPr>
            <w:tcW w:type="dxa" w:w="1191"/>
          </w:tcPr>
          <w:p>
            <w:pPr>
              <w:jc w:val="center"/>
            </w:pPr>
            <w:r/>
            <w:r>
              <w:rPr>
                <w:sz w:val="15"/>
              </w:rPr>
              <w:t>42.3</w:t>
            </w:r>
          </w:p>
        </w:tc>
        <w:tc>
          <w:tcPr>
            <w:tcW w:type="dxa" w:w="964"/>
          </w:tcPr>
          <w:p>
            <w:pPr>
              <w:jc w:val="center"/>
            </w:pPr>
            <w:r/>
            <w:r>
              <w:rPr>
                <w:sz w:val="15"/>
              </w:rPr>
              <w:t>8</w:t>
            </w:r>
          </w:p>
        </w:tc>
        <w:tc>
          <w:tcPr>
            <w:tcW w:type="dxa" w:w="964"/>
          </w:tcPr>
          <w:p>
            <w:pPr>
              <w:jc w:val="center"/>
            </w:pPr>
            <w:r/>
            <w:r>
              <w:rPr>
                <w:sz w:val="15"/>
              </w:rPr>
              <w:t>164 %</w:t>
            </w:r>
          </w:p>
        </w:tc>
      </w:tr>
      <w:tr>
        <w:tc>
          <w:tcPr>
            <w:tcW w:type="dxa" w:w="1020"/>
          </w:tcPr>
          <w:p>
            <w:pPr>
              <w:jc w:val="left"/>
            </w:pPr>
            <w:r/>
            <w:r>
              <w:rPr>
                <w:sz w:val="15"/>
              </w:rPr>
              <w:t>HED</w:t>
            </w:r>
          </w:p>
        </w:tc>
        <w:tc>
          <w:tcPr>
            <w:tcW w:type="dxa" w:w="737"/>
          </w:tcPr>
          <w:p>
            <w:pPr>
              <w:jc w:val="center"/>
            </w:pPr>
            <w:r/>
            <w:r>
              <w:rPr>
                <w:sz w:val="15"/>
              </w:rPr>
              <w:t>98</w:t>
            </w:r>
          </w:p>
        </w:tc>
        <w:tc>
          <w:tcPr>
            <w:tcW w:type="dxa" w:w="1191"/>
          </w:tcPr>
          <w:p>
            <w:pPr>
              <w:jc w:val="center"/>
            </w:pPr>
            <w:r/>
            <w:r>
              <w:rPr>
                <w:sz w:val="15"/>
              </w:rPr>
              <w:t>99.0</w:t>
            </w:r>
          </w:p>
        </w:tc>
        <w:tc>
          <w:tcPr>
            <w:tcW w:type="dxa" w:w="964"/>
          </w:tcPr>
          <w:p>
            <w:pPr>
              <w:jc w:val="center"/>
            </w:pPr>
            <w:r/>
            <w:r>
              <w:rPr>
                <w:sz w:val="15"/>
              </w:rPr>
              <w:t>0</w:t>
            </w:r>
          </w:p>
        </w:tc>
        <w:tc>
          <w:tcPr>
            <w:tcW w:type="dxa" w:w="964"/>
          </w:tcPr>
          <w:p>
            <w:pPr>
              <w:jc w:val="center"/>
            </w:pPr>
            <w:r/>
            <w:r>
              <w:rPr>
                <w:sz w:val="15"/>
              </w:rPr>
              <w:t>252 %</w:t>
            </w:r>
          </w:p>
        </w:tc>
      </w:tr>
      <w:tr>
        <w:tc>
          <w:tcPr>
            <w:tcW w:type="dxa" w:w="1020"/>
          </w:tcPr>
          <w:p>
            <w:pPr>
              <w:jc w:val="left"/>
            </w:pPr>
            <w:r/>
            <w:r>
              <w:rPr>
                <w:sz w:val="15"/>
              </w:rPr>
              <w:t>Real-ESRGAN</w:t>
            </w:r>
          </w:p>
        </w:tc>
        <w:tc>
          <w:tcPr>
            <w:tcW w:type="dxa" w:w="737"/>
          </w:tcPr>
          <w:p>
            <w:pPr>
              <w:jc w:val="center"/>
            </w:pPr>
            <w:r/>
            <w:r>
              <w:rPr>
                <w:sz w:val="15"/>
              </w:rPr>
              <w:t>0</w:t>
            </w:r>
          </w:p>
        </w:tc>
        <w:tc>
          <w:tcPr>
            <w:tcW w:type="dxa" w:w="1191"/>
          </w:tcPr>
          <w:p>
            <w:pPr>
              <w:jc w:val="center"/>
            </w:pPr>
            <w:r/>
            <w:r>
              <w:rPr>
                <w:sz w:val="15"/>
              </w:rPr>
              <w:t>33.3</w:t>
            </w:r>
          </w:p>
        </w:tc>
        <w:tc>
          <w:tcPr>
            <w:tcW w:type="dxa" w:w="964"/>
          </w:tcPr>
          <w:p>
            <w:pPr>
              <w:jc w:val="center"/>
            </w:pPr>
            <w:r/>
            <w:r>
              <w:rPr>
                <w:sz w:val="15"/>
              </w:rPr>
              <w:t>14</w:t>
            </w:r>
          </w:p>
        </w:tc>
        <w:tc>
          <w:tcPr>
            <w:tcW w:type="dxa" w:w="964"/>
          </w:tcPr>
          <w:p>
            <w:pPr>
              <w:jc w:val="center"/>
            </w:pPr>
            <w:r/>
            <w:r>
              <w:rPr>
                <w:sz w:val="15"/>
              </w:rPr>
              <w:t>0 %</w:t>
            </w:r>
          </w:p>
        </w:tc>
      </w:tr>
      <w:tr>
        <w:tc>
          <w:tcPr>
            <w:tcW w:type="dxa" w:w="1020"/>
          </w:tcPr>
          <w:p>
            <w:pPr>
              <w:jc w:val="left"/>
            </w:pPr>
            <w:r/>
            <w:r>
              <w:rPr>
                <w:sz w:val="15"/>
              </w:rPr>
              <w:t>Real-ESRGAN</w:t>
            </w:r>
          </w:p>
        </w:tc>
        <w:tc>
          <w:tcPr>
            <w:tcW w:type="dxa" w:w="737"/>
          </w:tcPr>
          <w:p>
            <w:pPr>
              <w:jc w:val="center"/>
            </w:pPr>
            <w:r/>
            <w:r>
              <w:rPr>
                <w:sz w:val="15"/>
              </w:rPr>
              <w:t>4</w:t>
            </w:r>
          </w:p>
        </w:tc>
        <w:tc>
          <w:tcPr>
            <w:tcW w:type="dxa" w:w="1191"/>
          </w:tcPr>
          <w:p>
            <w:pPr>
              <w:jc w:val="center"/>
            </w:pPr>
            <w:r/>
            <w:r>
              <w:rPr>
                <w:sz w:val="15"/>
              </w:rPr>
              <w:t>42.2</w:t>
            </w:r>
          </w:p>
        </w:tc>
        <w:tc>
          <w:tcPr>
            <w:tcW w:type="dxa" w:w="964"/>
          </w:tcPr>
          <w:p>
            <w:pPr>
              <w:jc w:val="center"/>
            </w:pPr>
            <w:r/>
            <w:r>
              <w:rPr>
                <w:sz w:val="15"/>
              </w:rPr>
              <w:t>5</w:t>
            </w:r>
          </w:p>
        </w:tc>
        <w:tc>
          <w:tcPr>
            <w:tcW w:type="dxa" w:w="964"/>
          </w:tcPr>
          <w:p>
            <w:pPr>
              <w:jc w:val="center"/>
            </w:pPr>
            <w:r/>
            <w:r>
              <w:rPr>
                <w:sz w:val="15"/>
              </w:rPr>
              <w:t>6 %</w:t>
            </w:r>
          </w:p>
        </w:tc>
      </w:tr>
      <w:tr>
        <w:tc>
          <w:tcPr>
            <w:tcW w:type="dxa" w:w="1020"/>
          </w:tcPr>
          <w:p>
            <w:pPr>
              <w:jc w:val="left"/>
            </w:pPr>
            <w:r/>
            <w:r>
              <w:rPr>
                <w:sz w:val="15"/>
              </w:rPr>
              <w:t>Real-ESRGAN</w:t>
            </w:r>
          </w:p>
        </w:tc>
        <w:tc>
          <w:tcPr>
            <w:tcW w:type="dxa" w:w="737"/>
          </w:tcPr>
          <w:p>
            <w:pPr>
              <w:jc w:val="center"/>
            </w:pPr>
            <w:r/>
            <w:r>
              <w:rPr>
                <w:sz w:val="15"/>
              </w:rPr>
              <w:t>34</w:t>
            </w:r>
          </w:p>
        </w:tc>
        <w:tc>
          <w:tcPr>
            <w:tcW w:type="dxa" w:w="1191"/>
          </w:tcPr>
          <w:p>
            <w:pPr>
              <w:jc w:val="center"/>
            </w:pPr>
            <w:r/>
            <w:r>
              <w:rPr>
                <w:sz w:val="15"/>
              </w:rPr>
              <w:t>99.0</w:t>
            </w:r>
          </w:p>
        </w:tc>
        <w:tc>
          <w:tcPr>
            <w:tcW w:type="dxa" w:w="964"/>
          </w:tcPr>
          <w:p>
            <w:pPr>
              <w:jc w:val="center"/>
            </w:pPr>
            <w:r/>
            <w:r>
              <w:rPr>
                <w:sz w:val="15"/>
              </w:rPr>
              <w:t>0</w:t>
            </w:r>
          </w:p>
        </w:tc>
        <w:tc>
          <w:tcPr>
            <w:tcW w:type="dxa" w:w="964"/>
          </w:tcPr>
          <w:p>
            <w:pPr>
              <w:jc w:val="center"/>
            </w:pPr>
            <w:r/>
            <w:r>
              <w:rPr>
                <w:sz w:val="15"/>
              </w:rPr>
              <w:t>60 %</w:t>
            </w:r>
          </w:p>
        </w:tc>
      </w:tr>
    </w:tbl>
    <w:p>
      <w:pPr>
        <w:spacing w:after="80"/>
      </w:pPr>
    </w:p>
    <w:p>
      <w:pPr>
        <w:keepNext/>
        <w:spacing w:before="80"/>
        <w:jc w:val="center"/>
      </w:pPr>
      <w:r>
        <w:drawing>
          <wp:inline xmlns:a="http://schemas.openxmlformats.org/drawingml/2006/main" xmlns:pic="http://schemas.openxmlformats.org/drawingml/2006/picture">
            <wp:extent cx="3139440" cy="1164500"/>
            <wp:docPr id="3" name="Picture 3"/>
            <wp:cNvGraphicFramePr>
              <a:graphicFrameLocks noChangeAspect="1"/>
            </wp:cNvGraphicFramePr>
            <a:graphic>
              <a:graphicData uri="http://schemas.openxmlformats.org/drawingml/2006/picture">
                <pic:pic>
                  <pic:nvPicPr>
                    <pic:cNvPr id="0" name="fig_halo.png"/>
                    <pic:cNvPicPr/>
                  </pic:nvPicPr>
                  <pic:blipFill>
                    <a:blip r:embed="rId11"/>
                    <a:stretch>
                      <a:fillRect/>
                    </a:stretch>
                  </pic:blipFill>
                  <pic:spPr>
                    <a:xfrm>
                      <a:off x="0" y="0"/>
                      <a:ext cx="3139440" cy="1164500"/>
                    </a:xfrm>
                    <a:prstGeom prst="rect"/>
                  </pic:spPr>
                </pic:pic>
              </a:graphicData>
            </a:graphic>
          </wp:inline>
        </w:drawing>
      </w:r>
    </w:p>
    <w:p>
      <w:pPr>
        <w:spacing w:after="120"/>
        <w:jc w:val="both"/>
      </w:pPr>
      <w:r>
        <w:rPr>
          <w:sz w:val="16"/>
        </w:rPr>
        <w:t>Fig. 3. Halo sweep: seam PSNR (left) and compute overhead (right). The chosen halo is the first point above both thresholds.</w:t>
      </w:r>
    </w:p>
    <w:p>
      <w:pPr>
        <w:spacing w:before="0" w:after="0"/>
        <w:ind w:firstLine="204"/>
        <w:jc w:val="both"/>
      </w:pPr>
      <w:r>
        <w:rPr/>
        <w:t xml:space="preserve">Two details mattered. First, HED downsamples by up to 16, so a tile whose origin is not a multiple of 16 sees a shifted pooling grid; </w:t>
      </w:r>
      <w:r>
        <w:rPr>
          <w:rFonts w:ascii="Courier New" w:hAnsi="Courier New" w:eastAsia="Courier New"/>
          <w:sz w:val="18"/>
        </w:rPr>
        <w:t>plan_tiles(..., align=16)</w:t>
      </w:r>
      <w:r>
        <w:rPr/>
        <w:t xml:space="preserve"> snaps </w:t>
      </w:r>
      <w:r>
        <w:rPr>
          <w:i/>
        </w:rPr>
        <w:t>both</w:t>
      </w:r>
      <w:r>
        <w:rPr/>
        <w:t xml:space="preserve"> halo edges to the stride, which made the theoretical halo bit-exact (99 dB) where it had been worse than a 64 px halo. Second, Real-ESRGAN outputs 4× the input, so </w:t>
      </w:r>
      <w:r>
        <w:rPr>
          <w:rFonts w:ascii="Courier New" w:hAnsi="Courier New" w:eastAsia="Courier New"/>
          <w:sz w:val="18"/>
        </w:rPr>
        <w:t>crop_core</w:t>
      </w:r>
      <w:r>
        <w:rPr/>
        <w:t xml:space="preserve"> and </w:t>
      </w:r>
      <w:r>
        <w:rPr>
          <w:rFonts w:ascii="Courier New" w:hAnsi="Courier New" w:eastAsia="Courier New"/>
          <w:sz w:val="18"/>
        </w:rPr>
        <w:t>reconstruct</w:t>
      </w:r>
      <w:r>
        <w:rPr/>
        <w:t xml:space="preserve"> scale tile coordinates by the operation's </w:t>
      </w:r>
      <w:r>
        <w:rPr>
          <w:rFonts w:ascii="Courier New" w:hAnsi="Courier New" w:eastAsia="Courier New"/>
          <w:sz w:val="18"/>
        </w:rPr>
        <w:t>scale</w:t>
      </w:r>
      <w:r>
        <w:rPr/>
        <w:t>. The calibrated halos cut extra computation from 252 % to 164 % (HED) and from 60 % to 6 % (Real-ESRGAN).</w:t>
      </w:r>
    </w:p>
    <w:p>
      <w:pPr>
        <w:keepNext/>
        <w:spacing w:before="160" w:after="80"/>
        <w:jc w:val="center"/>
      </w:pPr>
      <w:r>
        <w:rPr>
          <w:smallCaps/>
          <w:sz w:val="20"/>
        </w:rPr>
        <w:t>VII. Upgrade 3: Cost-Aware Adaptive Planner</w:t>
      </w:r>
    </w:p>
    <w:p>
      <w:pPr>
        <w:keepNext/>
        <w:spacing w:before="100" w:after="40"/>
      </w:pPr>
      <w:r>
        <w:rPr>
          <w:i/>
          <w:sz w:val="20"/>
        </w:rPr>
        <w:t>A. Time Model</w:t>
      </w:r>
    </w:p>
    <w:p>
      <w:pPr>
        <w:spacing w:before="0" w:after="0"/>
        <w:ind w:firstLine="204"/>
        <w:jc w:val="both"/>
      </w:pPr>
      <w:r>
        <w:rPr/>
        <w:t xml:space="preserve">For an image of </w:t>
      </w:r>
      <w:r>
        <w:rPr>
          <w:i/>
        </w:rPr>
        <w:t>P</w:t>
      </w:r>
      <w:r>
        <w:rPr/>
        <w:t xml:space="preserve"> pixels, operation cost </w:t>
      </w:r>
      <w:r>
        <w:rPr>
          <w:i/>
        </w:rPr>
        <w:t>c</w:t>
      </w:r>
      <w:r>
        <w:rPr/>
        <w:t xml:space="preserve"> (s/px), </w:t>
      </w:r>
      <w:r>
        <w:rPr>
          <w:i/>
        </w:rPr>
        <w:t>K</w:t>
      </w:r>
      <w:r>
        <w:rPr/>
        <w:t xml:space="preserve"> tiles of mean size </w:t>
      </w:r>
      <w:r>
        <w:rPr>
          <w:i/>
        </w:rPr>
        <w:t>p̄</w:t>
      </w:r>
      <w:r>
        <w:rPr/>
        <w:t xml:space="preserve"> with halo </w:t>
      </w:r>
      <w:r>
        <w:rPr>
          <w:i/>
        </w:rPr>
        <w:t>h</w:t>
      </w:r>
      <w:r>
        <w:rPr/>
        <w:t xml:space="preserve"> and </w:t>
      </w:r>
      <w:r>
        <w:rPr>
          <w:i/>
        </w:rPr>
        <w:t>n</w:t>
      </w:r>
      <w:r>
        <w:rPr/>
        <w:t xml:space="preserve"> workers, the planner predicts</w:t>
      </w:r>
    </w:p>
    <w:p>
      <w:pPr>
        <w:tabs>
          <w:tab w:pos="2472" w:val="center"/>
          <w:tab w:pos="4944" w:val="right"/>
        </w:tabs>
        <w:spacing w:before="60" w:after="60"/>
      </w:pPr>
      <w:r>
        <w:rPr/>
        <w:tab/>
      </w:r>
      <w:r>
        <w:rPr>
          <w:i/>
        </w:rPr>
        <w:t>T</w:t>
      </w:r>
      <w:r>
        <w:rPr>
          <w:vertAlign w:val="subscript"/>
        </w:rPr>
        <w:t>dist</w:t>
      </w:r>
      <w:r>
        <w:rPr/>
        <w:t xml:space="preserve"> = </w:t>
      </w:r>
      <w:r>
        <w:rPr>
          <w:i/>
        </w:rPr>
        <w:t>T</w:t>
      </w:r>
      <w:r>
        <w:rPr>
          <w:vertAlign w:val="subscript"/>
        </w:rPr>
        <w:t>split</w:t>
      </w:r>
      <w:r>
        <w:rPr/>
        <w:t xml:space="preserve"> + </w:t>
      </w:r>
      <w:r>
        <w:rPr>
          <w:i/>
        </w:rPr>
        <w:t>T</w:t>
      </w:r>
      <w:r>
        <w:rPr>
          <w:vertAlign w:val="subscript"/>
        </w:rPr>
        <w:t>comp</w:t>
      </w:r>
      <w:r>
        <w:rPr/>
        <w:t xml:space="preserve"> + </w:t>
      </w:r>
      <w:r>
        <w:rPr>
          <w:i/>
        </w:rPr>
        <w:t>T</w:t>
      </w:r>
      <w:r>
        <w:rPr>
          <w:vertAlign w:val="subscript"/>
        </w:rPr>
        <w:t>over</w:t>
      </w:r>
      <w:r>
        <w:rPr/>
        <w:t xml:space="preserve"> + </w:t>
      </w:r>
      <w:r>
        <w:rPr>
          <w:i/>
        </w:rPr>
        <w:t>T</w:t>
      </w:r>
      <w:r>
        <w:rPr>
          <w:vertAlign w:val="subscript"/>
        </w:rPr>
        <w:t>stitch</w:t>
      </w:r>
      <w:r>
        <w:tab/>
        <w:t>(1)</w:t>
      </w:r>
    </w:p>
    <w:p>
      <w:pPr>
        <w:tabs>
          <w:tab w:pos="2472" w:val="center"/>
          <w:tab w:pos="4944" w:val="right"/>
        </w:tabs>
        <w:spacing w:before="60" w:after="60"/>
      </w:pPr>
      <w:r>
        <w:rPr/>
        <w:tab/>
      </w:r>
      <w:r>
        <w:rPr>
          <w:i/>
        </w:rPr>
        <w:t>T</w:t>
      </w:r>
      <w:r>
        <w:rPr>
          <w:vertAlign w:val="subscript"/>
        </w:rPr>
        <w:t>comp</w:t>
      </w:r>
      <w:r>
        <w:rPr/>
        <w:t xml:space="preserve"> = ⌈</w:t>
      </w:r>
      <w:r>
        <w:rPr>
          <w:i/>
        </w:rPr>
        <w:t>K</w:t>
      </w:r>
      <w:r>
        <w:rPr/>
        <w:t>/</w:t>
      </w:r>
      <w:r>
        <w:rPr>
          <w:i/>
        </w:rPr>
        <w:t>n</w:t>
      </w:r>
      <w:r>
        <w:rPr/>
        <w:t xml:space="preserve">⌉ · </w:t>
      </w:r>
      <w:r>
        <w:rPr>
          <w:i/>
        </w:rPr>
        <w:t>c</w:t>
      </w:r>
      <w:r>
        <w:rPr/>
        <w:t xml:space="preserve"> · </w:t>
      </w:r>
      <w:r>
        <w:rPr>
          <w:i/>
        </w:rPr>
        <w:t>p̄</w:t>
      </w:r>
      <w:r>
        <w:rPr>
          <w:vertAlign w:val="subscript"/>
        </w:rPr>
        <w:t>halo</w:t>
      </w:r>
      <w:r>
        <w:rPr/>
        <w:t xml:space="preserve"> · </w:t>
      </w:r>
      <w:r>
        <w:rPr>
          <w:i/>
        </w:rPr>
        <w:t>n</w:t>
      </w:r>
      <w:r>
        <w:rPr/>
        <w:t xml:space="preserve"> / </w:t>
      </w:r>
      <w:r>
        <w:rPr>
          <w:i/>
        </w:rPr>
        <w:t>S</w:t>
      </w:r>
      <w:r>
        <w:rPr/>
        <w:t>(</w:t>
      </w:r>
      <w:r>
        <w:rPr>
          <w:i/>
        </w:rPr>
        <w:t>n</w:t>
      </w:r>
      <w:r>
        <w:rPr/>
        <w:t>)</w:t>
      </w:r>
      <w:r>
        <w:tab/>
        <w:t>(2)</w:t>
      </w:r>
    </w:p>
    <w:p>
      <w:pPr>
        <w:tabs>
          <w:tab w:pos="2472" w:val="center"/>
          <w:tab w:pos="4944" w:val="right"/>
        </w:tabs>
        <w:spacing w:before="60" w:after="60"/>
      </w:pPr>
      <w:r>
        <w:rPr/>
        <w:tab/>
      </w:r>
      <w:r>
        <w:rPr>
          <w:i/>
        </w:rPr>
        <w:t>o</w:t>
      </w:r>
      <w:r>
        <w:rPr/>
        <w:t>(</w:t>
      </w:r>
      <w:r>
        <w:rPr>
          <w:i/>
        </w:rPr>
        <w:t>p</w:t>
      </w:r>
      <w:r>
        <w:rPr/>
        <w:t xml:space="preserve">) = </w:t>
      </w:r>
      <w:r>
        <w:rPr>
          <w:i/>
        </w:rPr>
        <w:t>o</w:t>
      </w:r>
      <w:r>
        <w:rPr>
          <w:vertAlign w:val="subscript"/>
        </w:rPr>
        <w:t>0</w:t>
      </w:r>
      <w:r>
        <w:rPr/>
        <w:t xml:space="preserve"> + </w:t>
      </w:r>
      <w:r>
        <w:rPr>
          <w:i/>
        </w:rPr>
        <w:t>o</w:t>
      </w:r>
      <w:r>
        <w:rPr>
          <w:vertAlign w:val="subscript"/>
        </w:rPr>
        <w:t>px</w:t>
      </w:r>
      <w:r>
        <w:rPr/>
        <w:t xml:space="preserve"> · </w:t>
      </w:r>
      <w:r>
        <w:rPr>
          <w:i/>
        </w:rPr>
        <w:t>p</w:t>
      </w:r>
      <w:r>
        <w:rPr>
          <w:vertAlign w:val="subscript"/>
        </w:rPr>
        <w:t>halo</w:t>
      </w:r>
      <w:r>
        <w:rPr/>
        <w:t xml:space="preserve"> · (1 + </w:t>
      </w:r>
      <w:r>
        <w:rPr>
          <w:i/>
        </w:rPr>
        <w:t>s</w:t>
      </w:r>
      <w:r>
        <w:rPr/>
        <w:t>2</w:t>
      </w:r>
      <w:r>
        <w:rPr/>
        <w:t>)</w:t>
      </w:r>
      <w:r>
        <w:tab/>
        <w:t>(3)</w:t>
      </w:r>
    </w:p>
    <w:p>
      <w:pPr>
        <w:spacing w:before="0" w:after="0"/>
        <w:ind w:firstLine="204"/>
        <w:jc w:val="both"/>
      </w:pPr>
      <w:r>
        <w:rPr/>
        <w:t xml:space="preserve">where </w:t>
      </w:r>
      <w:r>
        <w:rPr>
          <w:i/>
        </w:rPr>
        <w:t>S</w:t>
      </w:r>
      <w:r>
        <w:rPr/>
        <w:t>(</w:t>
      </w:r>
      <w:r>
        <w:rPr>
          <w:i/>
        </w:rPr>
        <w:t>n</w:t>
      </w:r>
      <w:r>
        <w:rPr/>
        <w:t xml:space="preserve">) is the measured </w:t>
      </w:r>
      <w:r>
        <w:rPr>
          <w:i/>
        </w:rPr>
        <w:t>capacity curve</w:t>
      </w:r>
      <w:r>
        <w:rPr/>
        <w:t xml:space="preserve"> of the operation (throughput of </w:t>
      </w:r>
      <w:r>
        <w:rPr>
          <w:i/>
        </w:rPr>
        <w:t>n</w:t>
      </w:r>
      <w:r>
        <w:rPr/>
        <w:t xml:space="preserve"> concurrently busy workers relative to one), </w:t>
      </w:r>
      <w:r>
        <w:rPr>
          <w:i/>
        </w:rPr>
        <w:t>o</w:t>
      </w:r>
      <w:r>
        <w:rPr/>
        <w:t>(</w:t>
      </w:r>
      <w:r>
        <w:rPr>
          <w:i/>
        </w:rPr>
        <w:t>p</w:t>
      </w:r>
      <w:r>
        <w:rPr/>
        <w:t xml:space="preserve">) the per-tile overhead (encode, transfer, queue round trip) and </w:t>
      </w:r>
      <w:r>
        <w:rPr>
          <w:i/>
        </w:rPr>
        <w:t>s</w:t>
      </w:r>
      <w:r>
        <w:rPr/>
        <w:t xml:space="preserve"> the output scale. Overheads are paid in ⌈</w:t>
      </w:r>
      <w:r>
        <w:rPr>
          <w:i/>
        </w:rPr>
        <w:t>K</w:t>
      </w:r>
      <w:r>
        <w:rPr/>
        <w:t>/</w:t>
      </w:r>
      <w:r>
        <w:rPr>
          <w:i/>
        </w:rPr>
        <w:t>n</w:t>
      </w:r>
      <w:r>
        <w:rPr/>
        <w:t xml:space="preserve">⌉ waves on the cluster; on the single-process engine, where dispatch is serial, </w:t>
      </w:r>
      <w:r>
        <w:rPr>
          <w:i/>
        </w:rPr>
        <w:t>T</w:t>
      </w:r>
      <w:r>
        <w:rPr/>
        <w:t xml:space="preserve"> = </w:t>
      </w:r>
      <w:r>
        <w:rPr>
          <w:i/>
        </w:rPr>
        <w:t>T</w:t>
      </w:r>
      <w:r>
        <w:rPr>
          <w:vertAlign w:val="subscript"/>
        </w:rPr>
        <w:t>serial</w:t>
      </w:r>
      <w:r>
        <w:rPr/>
        <w:t xml:space="preserve"> + max(</w:t>
      </w:r>
      <w:r>
        <w:rPr>
          <w:i/>
        </w:rPr>
        <w:t>T</w:t>
      </w:r>
      <w:r>
        <w:rPr>
          <w:vertAlign w:val="subscript"/>
        </w:rPr>
        <w:t>comp</w:t>
      </w:r>
      <w:r>
        <w:rPr/>
        <w:t xml:space="preserve"> + </w:t>
      </w:r>
      <w:r>
        <w:rPr>
          <w:i/>
        </w:rPr>
        <w:t>T</w:t>
      </w:r>
      <w:r>
        <w:rPr>
          <w:vertAlign w:val="subscript"/>
        </w:rPr>
        <w:t>over</w:t>
      </w:r>
      <w:r>
        <w:rPr/>
        <w:t xml:space="preserve">, </w:t>
      </w:r>
      <w:r>
        <w:rPr>
          <w:i/>
        </w:rPr>
        <w:t>K</w:t>
      </w:r>
      <w:r>
        <w:rPr/>
        <w:t>·</w:t>
      </w:r>
      <w:r>
        <w:rPr>
          <w:i/>
        </w:rPr>
        <w:t>o</w:t>
      </w:r>
      <w:r>
        <w:rPr/>
        <w:t xml:space="preserve">). The local alternative is </w:t>
      </w:r>
      <w:r>
        <w:rPr>
          <w:i/>
        </w:rPr>
        <w:t>T</w:t>
      </w:r>
      <w:r>
        <w:rPr>
          <w:vertAlign w:val="subscript"/>
        </w:rPr>
        <w:t>local</w:t>
      </w:r>
      <w:r>
        <w:rPr/>
        <w:t xml:space="preserve"> = </w:t>
      </w:r>
      <w:r>
        <w:rPr>
          <w:i/>
        </w:rPr>
        <w:t>c·P</w:t>
      </w:r>
      <w:r>
        <w:rPr/>
        <w:t xml:space="preserve"> (plus split and stitch when it runs as a single tile on the cluster). The planner evaluates tile sizes {256, 512, 1024, 2048} and every worker count up to the available workers, adds a 20 % safety margin to the distributed estimate, and among plans within 2 % of the best picks the one with fewer workers.</w:t>
      </w:r>
    </w:p>
    <w:p>
      <w:pPr>
        <w:keepNext/>
        <w:spacing w:before="100" w:after="40"/>
      </w:pPr>
      <w:r>
        <w:rPr>
          <w:i/>
          <w:sz w:val="20"/>
        </w:rPr>
        <w:t>B. Calibration</w:t>
      </w:r>
    </w:p>
    <w:p>
      <w:pPr>
        <w:spacing w:before="0" w:after="0"/>
        <w:ind w:firstLine="204"/>
        <w:jc w:val="both"/>
      </w:pPr>
      <w:r>
        <w:rPr>
          <w:rFonts w:ascii="Courier New" w:hAnsi="Courier New" w:eastAsia="Courier New"/>
          <w:sz w:val="18"/>
        </w:rPr>
        <w:t>scripts/profile_ops.py</w:t>
      </w:r>
      <w:r>
        <w:rPr/>
        <w:t xml:space="preserve"> measures </w:t>
      </w:r>
      <w:r>
        <w:rPr>
          <w:i/>
        </w:rPr>
        <w:t>c</w:t>
      </w:r>
      <w:r>
        <w:rPr/>
        <w:t xml:space="preserve"> for each operation on four tile sizes, the capacity curve for 1–16 workers and the per-tile overhead of each backend (in-process engine, cluster with S3, cluster with Redis), and writes </w:t>
      </w:r>
      <w:r>
        <w:rPr>
          <w:rFonts w:ascii="Courier New" w:hAnsi="Courier New" w:eastAsia="Courier New"/>
          <w:sz w:val="18"/>
        </w:rPr>
        <w:t>imgframe/profiles.json</w:t>
      </w:r>
      <w:r>
        <w:rPr/>
        <w:t xml:space="preserve"> (Table III, Fig. 4). Workers keep refining </w:t>
      </w:r>
      <w:r>
        <w:rPr>
          <w:i/>
        </w:rPr>
        <w:t>c</w:t>
      </w:r>
      <w:r>
        <w:rPr/>
        <w:t xml:space="preserve"> online: after each tile they add an exponential moving average (α = 0.05) to Redis, normalised for the contention at that moment as </w:t>
      </w:r>
      <w:r>
        <w:rPr>
          <w:i/>
        </w:rPr>
        <w:t>c</w:t>
      </w:r>
      <w:r>
        <w:rPr/>
        <w:t xml:space="preserve"> ← </w:t>
      </w:r>
      <w:r>
        <w:rPr>
          <w:i/>
        </w:rPr>
        <w:t>t</w:t>
      </w:r>
      <w:r>
        <w:rPr/>
        <w:t>·</w:t>
      </w:r>
      <w:r>
        <w:rPr>
          <w:i/>
        </w:rPr>
        <w:t>S</w:t>
      </w:r>
      <w:r>
        <w:rPr/>
        <w:t>(</w:t>
      </w:r>
      <w:r>
        <w:rPr>
          <w:i/>
        </w:rPr>
        <w:t>b</w:t>
      </w:r>
      <w:r>
        <w:rPr/>
        <w:t>)/(</w:t>
      </w:r>
      <w:r>
        <w:rPr>
          <w:i/>
        </w:rPr>
        <w:t>b</w:t>
      </w:r>
      <w:r>
        <w:rPr/>
        <w:t>·</w:t>
      </w:r>
      <w:r>
        <w:rPr>
          <w:i/>
        </w:rPr>
        <w:t>p</w:t>
      </w:r>
      <w:r>
        <w:rPr/>
        <w:t xml:space="preserve">), where </w:t>
      </w:r>
      <w:r>
        <w:rPr>
          <w:i/>
        </w:rPr>
        <w:t>b</w:t>
      </w:r>
      <w:r>
        <w:rPr/>
        <w:t xml:space="preserve"> is the number of busy workers.</w:t>
      </w:r>
    </w:p>
    <w:p>
      <w:pPr>
        <w:keepNext/>
        <w:spacing w:before="120"/>
        <w:jc w:val="center"/>
      </w:pPr>
      <w:r>
        <w:rPr>
          <w:sz w:val="15"/>
        </w:rPr>
        <w:t>TABLE III</w:t>
      </w:r>
    </w:p>
    <w:p>
      <w:pPr>
        <w:keepNext/>
        <w:spacing w:after="60"/>
        <w:jc w:val="center"/>
      </w:pPr>
      <w:r>
        <w:rPr>
          <w:smallCaps/>
          <w:sz w:val="15"/>
        </w:rPr>
        <w:t>Measured per-pixel cost and capacity curve (16-thread host)</w:t>
      </w:r>
    </w:p>
    <w:tbl>
      <w:tblPr>
        <w:tblW w:type="auto" w:w="0"/>
        <w:jc w:val="center"/>
        <w:tblLook w:firstColumn="1" w:firstRow="1" w:lastColumn="0" w:lastRow="0" w:noHBand="0" w:noVBand="1" w:val="04A0"/>
        <w:tblLayout w:type="fixed"/>
        <w:tblBorders>
          <w:top w:val="single" w:sz="8" w:color="000000"/>
          <w:bottom w:val="single" w:sz="8" w:color="000000"/>
          <w:insideH w:val="nil"/>
          <w:insideV w:val="nil"/>
          <w:left w:val="nil"/>
          <w:right w:val="nil"/>
        </w:tblBorders>
      </w:tblPr>
      <w:tblGrid>
        <w:gridCol w:w="1134"/>
        <w:gridCol w:w="964"/>
        <w:gridCol w:w="680"/>
        <w:gridCol w:w="680"/>
        <w:gridCol w:w="680"/>
      </w:tblGrid>
      <w:tr>
        <w:tc>
          <w:tcPr>
            <w:tcW w:type="dxa" w:w="1134"/>
            <w:tcBorders>
              <w:bottom w:val="single" w:sz="4" w:color="000000"/>
            </w:tcBorders>
          </w:tcPr>
          <w:p>
            <w:pPr>
              <w:jc w:val="center"/>
            </w:pPr>
            <w:r/>
            <w:r>
              <w:rPr>
                <w:b/>
                <w:sz w:val="15"/>
              </w:rPr>
              <w:t>Op</w:t>
            </w:r>
          </w:p>
        </w:tc>
        <w:tc>
          <w:tcPr>
            <w:tcW w:type="dxa" w:w="964"/>
            <w:tcBorders>
              <w:bottom w:val="single" w:sz="4" w:color="000000"/>
            </w:tcBorders>
          </w:tcPr>
          <w:p>
            <w:pPr>
              <w:jc w:val="center"/>
            </w:pPr>
            <w:r/>
            <w:r>
              <w:rPr>
                <w:b/>
                <w:sz w:val="15"/>
              </w:rPr>
              <w:t>c (ns/px)</w:t>
            </w:r>
          </w:p>
        </w:tc>
        <w:tc>
          <w:tcPr>
            <w:tcW w:type="dxa" w:w="680"/>
            <w:tcBorders>
              <w:bottom w:val="single" w:sz="4" w:color="000000"/>
            </w:tcBorders>
          </w:tcPr>
          <w:p>
            <w:pPr>
              <w:jc w:val="center"/>
            </w:pPr>
            <w:r/>
            <w:r>
              <w:rPr>
                <w:b/>
                <w:sz w:val="15"/>
              </w:rPr>
              <w:t>S(4)</w:t>
            </w:r>
          </w:p>
        </w:tc>
        <w:tc>
          <w:tcPr>
            <w:tcW w:type="dxa" w:w="680"/>
            <w:tcBorders>
              <w:bottom w:val="single" w:sz="4" w:color="000000"/>
            </w:tcBorders>
          </w:tcPr>
          <w:p>
            <w:pPr>
              <w:jc w:val="center"/>
            </w:pPr>
            <w:r/>
            <w:r>
              <w:rPr>
                <w:b/>
                <w:sz w:val="15"/>
              </w:rPr>
              <w:t>S(8)</w:t>
            </w:r>
          </w:p>
        </w:tc>
        <w:tc>
          <w:tcPr>
            <w:tcW w:type="dxa" w:w="680"/>
            <w:tcBorders>
              <w:bottom w:val="single" w:sz="4" w:color="000000"/>
            </w:tcBorders>
          </w:tcPr>
          <w:p>
            <w:pPr>
              <w:jc w:val="center"/>
            </w:pPr>
            <w:r/>
            <w:r>
              <w:rPr>
                <w:b/>
                <w:sz w:val="15"/>
              </w:rPr>
              <w:t>S(16)</w:t>
            </w:r>
          </w:p>
        </w:tc>
      </w:tr>
      <w:tr>
        <w:tc>
          <w:tcPr>
            <w:tcW w:type="dxa" w:w="1134"/>
          </w:tcPr>
          <w:p>
            <w:pPr>
              <w:jc w:val="left"/>
            </w:pPr>
            <w:r/>
            <w:r>
              <w:rPr>
                <w:sz w:val="15"/>
              </w:rPr>
              <w:t>Grayscale</w:t>
            </w:r>
          </w:p>
        </w:tc>
        <w:tc>
          <w:tcPr>
            <w:tcW w:type="dxa" w:w="964"/>
          </w:tcPr>
          <w:p>
            <w:pPr>
              <w:jc w:val="center"/>
            </w:pPr>
            <w:r/>
            <w:r>
              <w:rPr>
                <w:sz w:val="15"/>
              </w:rPr>
              <w:t>0.3</w:t>
            </w:r>
          </w:p>
        </w:tc>
        <w:tc>
          <w:tcPr>
            <w:tcW w:type="dxa" w:w="680"/>
          </w:tcPr>
          <w:p>
            <w:pPr>
              <w:jc w:val="center"/>
            </w:pPr>
            <w:r/>
            <w:r>
              <w:rPr>
                <w:sz w:val="15"/>
              </w:rPr>
              <w:t>1.06</w:t>
            </w:r>
          </w:p>
        </w:tc>
        <w:tc>
          <w:tcPr>
            <w:tcW w:type="dxa" w:w="680"/>
          </w:tcPr>
          <w:p>
            <w:pPr>
              <w:jc w:val="center"/>
            </w:pPr>
            <w:r/>
            <w:r>
              <w:rPr>
                <w:sz w:val="15"/>
              </w:rPr>
              <w:t>2.55</w:t>
            </w:r>
          </w:p>
        </w:tc>
        <w:tc>
          <w:tcPr>
            <w:tcW w:type="dxa" w:w="680"/>
          </w:tcPr>
          <w:p>
            <w:pPr>
              <w:jc w:val="center"/>
            </w:pPr>
            <w:r/>
            <w:r>
              <w:rPr>
                <w:sz w:val="15"/>
              </w:rPr>
              <w:t>3.80</w:t>
            </w:r>
          </w:p>
        </w:tc>
      </w:tr>
      <w:tr>
        <w:tc>
          <w:tcPr>
            <w:tcW w:type="dxa" w:w="1134"/>
          </w:tcPr>
          <w:p>
            <w:pPr>
              <w:jc w:val="left"/>
            </w:pPr>
            <w:r/>
            <w:r>
              <w:rPr>
                <w:sz w:val="15"/>
              </w:rPr>
              <w:t>Canny</w:t>
            </w:r>
          </w:p>
        </w:tc>
        <w:tc>
          <w:tcPr>
            <w:tcW w:type="dxa" w:w="964"/>
          </w:tcPr>
          <w:p>
            <w:pPr>
              <w:jc w:val="center"/>
            </w:pPr>
            <w:r/>
            <w:r>
              <w:rPr>
                <w:sz w:val="15"/>
              </w:rPr>
              <w:t>2.6</w:t>
            </w:r>
          </w:p>
        </w:tc>
        <w:tc>
          <w:tcPr>
            <w:tcW w:type="dxa" w:w="680"/>
          </w:tcPr>
          <w:p>
            <w:pPr>
              <w:jc w:val="center"/>
            </w:pPr>
            <w:r/>
            <w:r>
              <w:rPr>
                <w:sz w:val="15"/>
              </w:rPr>
              <w:t>2.24</w:t>
            </w:r>
          </w:p>
        </w:tc>
        <w:tc>
          <w:tcPr>
            <w:tcW w:type="dxa" w:w="680"/>
          </w:tcPr>
          <w:p>
            <w:pPr>
              <w:jc w:val="center"/>
            </w:pPr>
            <w:r/>
            <w:r>
              <w:rPr>
                <w:sz w:val="15"/>
              </w:rPr>
              <w:t>4.29</w:t>
            </w:r>
          </w:p>
        </w:tc>
        <w:tc>
          <w:tcPr>
            <w:tcW w:type="dxa" w:w="680"/>
          </w:tcPr>
          <w:p>
            <w:pPr>
              <w:jc w:val="center"/>
            </w:pPr>
            <w:r/>
            <w:r>
              <w:rPr>
                <w:sz w:val="15"/>
              </w:rPr>
              <w:t>5.97</w:t>
            </w:r>
          </w:p>
        </w:tc>
      </w:tr>
      <w:tr>
        <w:tc>
          <w:tcPr>
            <w:tcW w:type="dxa" w:w="1134"/>
          </w:tcPr>
          <w:p>
            <w:pPr>
              <w:jc w:val="left"/>
            </w:pPr>
            <w:r/>
            <w:r>
              <w:rPr>
                <w:sz w:val="15"/>
              </w:rPr>
              <w:t>Gaussian</w:t>
            </w:r>
          </w:p>
        </w:tc>
        <w:tc>
          <w:tcPr>
            <w:tcW w:type="dxa" w:w="964"/>
          </w:tcPr>
          <w:p>
            <w:pPr>
              <w:jc w:val="center"/>
            </w:pPr>
            <w:r/>
            <w:r>
              <w:rPr>
                <w:sz w:val="15"/>
              </w:rPr>
              <w:t>4.2</w:t>
            </w:r>
          </w:p>
        </w:tc>
        <w:tc>
          <w:tcPr>
            <w:tcW w:type="dxa" w:w="680"/>
          </w:tcPr>
          <w:p>
            <w:pPr>
              <w:jc w:val="center"/>
            </w:pPr>
            <w:r/>
            <w:r>
              <w:rPr>
                <w:sz w:val="15"/>
              </w:rPr>
              <w:t>3.39</w:t>
            </w:r>
          </w:p>
        </w:tc>
        <w:tc>
          <w:tcPr>
            <w:tcW w:type="dxa" w:w="680"/>
          </w:tcPr>
          <w:p>
            <w:pPr>
              <w:jc w:val="center"/>
            </w:pPr>
            <w:r/>
            <w:r>
              <w:rPr>
                <w:sz w:val="15"/>
              </w:rPr>
              <w:t>4.67</w:t>
            </w:r>
          </w:p>
        </w:tc>
        <w:tc>
          <w:tcPr>
            <w:tcW w:type="dxa" w:w="680"/>
          </w:tcPr>
          <w:p>
            <w:pPr>
              <w:jc w:val="center"/>
            </w:pPr>
            <w:r/>
            <w:r>
              <w:rPr>
                <w:sz w:val="15"/>
              </w:rPr>
              <w:t>6.32</w:t>
            </w:r>
          </w:p>
        </w:tc>
      </w:tr>
      <w:tr>
        <w:tc>
          <w:tcPr>
            <w:tcW w:type="dxa" w:w="1134"/>
          </w:tcPr>
          <w:p>
            <w:pPr>
              <w:jc w:val="left"/>
            </w:pPr>
            <w:r/>
            <w:r>
              <w:rPr>
                <w:sz w:val="15"/>
              </w:rPr>
              <w:t>Bilateral</w:t>
            </w:r>
          </w:p>
        </w:tc>
        <w:tc>
          <w:tcPr>
            <w:tcW w:type="dxa" w:w="964"/>
          </w:tcPr>
          <w:p>
            <w:pPr>
              <w:jc w:val="center"/>
            </w:pPr>
            <w:r/>
            <w:r>
              <w:rPr>
                <w:sz w:val="15"/>
              </w:rPr>
              <w:t>73.9</w:t>
            </w:r>
          </w:p>
        </w:tc>
        <w:tc>
          <w:tcPr>
            <w:tcW w:type="dxa" w:w="680"/>
          </w:tcPr>
          <w:p>
            <w:pPr>
              <w:jc w:val="center"/>
            </w:pPr>
            <w:r/>
            <w:r>
              <w:rPr>
                <w:sz w:val="15"/>
              </w:rPr>
              <w:t>3.79</w:t>
            </w:r>
          </w:p>
        </w:tc>
        <w:tc>
          <w:tcPr>
            <w:tcW w:type="dxa" w:w="680"/>
          </w:tcPr>
          <w:p>
            <w:pPr>
              <w:jc w:val="center"/>
            </w:pPr>
            <w:r/>
            <w:r>
              <w:rPr>
                <w:sz w:val="15"/>
              </w:rPr>
              <w:t>6.46</w:t>
            </w:r>
          </w:p>
        </w:tc>
        <w:tc>
          <w:tcPr>
            <w:tcW w:type="dxa" w:w="680"/>
          </w:tcPr>
          <w:p>
            <w:pPr>
              <w:jc w:val="center"/>
            </w:pPr>
            <w:r/>
            <w:r>
              <w:rPr>
                <w:sz w:val="15"/>
              </w:rPr>
              <w:t>7.29</w:t>
            </w:r>
          </w:p>
        </w:tc>
      </w:tr>
      <w:tr>
        <w:tc>
          <w:tcPr>
            <w:tcW w:type="dxa" w:w="1134"/>
          </w:tcPr>
          <w:p>
            <w:pPr>
              <w:jc w:val="left"/>
            </w:pPr>
            <w:r/>
            <w:r>
              <w:rPr>
                <w:sz w:val="15"/>
              </w:rPr>
              <w:t>HED</w:t>
            </w:r>
          </w:p>
        </w:tc>
        <w:tc>
          <w:tcPr>
            <w:tcW w:type="dxa" w:w="964"/>
          </w:tcPr>
          <w:p>
            <w:pPr>
              <w:jc w:val="center"/>
            </w:pPr>
            <w:r/>
            <w:r>
              <w:rPr>
                <w:sz w:val="15"/>
              </w:rPr>
              <w:t>4,545</w:t>
            </w:r>
          </w:p>
        </w:tc>
        <w:tc>
          <w:tcPr>
            <w:tcW w:type="dxa" w:w="680"/>
          </w:tcPr>
          <w:p>
            <w:pPr>
              <w:jc w:val="center"/>
            </w:pPr>
            <w:r/>
            <w:r>
              <w:rPr>
                <w:sz w:val="15"/>
              </w:rPr>
              <w:t>3.37</w:t>
            </w:r>
          </w:p>
        </w:tc>
        <w:tc>
          <w:tcPr>
            <w:tcW w:type="dxa" w:w="680"/>
          </w:tcPr>
          <w:p>
            <w:pPr>
              <w:jc w:val="center"/>
            </w:pPr>
            <w:r/>
            <w:r>
              <w:rPr>
                <w:sz w:val="15"/>
              </w:rPr>
              <w:t>5.07</w:t>
            </w:r>
          </w:p>
        </w:tc>
        <w:tc>
          <w:tcPr>
            <w:tcW w:type="dxa" w:w="680"/>
          </w:tcPr>
          <w:p>
            <w:pPr>
              <w:jc w:val="center"/>
            </w:pPr>
            <w:r/>
            <w:r>
              <w:rPr>
                <w:sz w:val="15"/>
              </w:rPr>
              <w:t>4.54</w:t>
            </w:r>
          </w:p>
        </w:tc>
      </w:tr>
      <w:tr>
        <w:tc>
          <w:tcPr>
            <w:tcW w:type="dxa" w:w="1134"/>
          </w:tcPr>
          <w:p>
            <w:pPr>
              <w:jc w:val="left"/>
            </w:pPr>
            <w:r/>
            <w:r>
              <w:rPr>
                <w:sz w:val="15"/>
              </w:rPr>
              <w:t>Real-ESRGAN</w:t>
            </w:r>
          </w:p>
        </w:tc>
        <w:tc>
          <w:tcPr>
            <w:tcW w:type="dxa" w:w="964"/>
          </w:tcPr>
          <w:p>
            <w:pPr>
              <w:jc w:val="center"/>
            </w:pPr>
            <w:r/>
            <w:r>
              <w:rPr>
                <w:sz w:val="15"/>
              </w:rPr>
              <w:t>23,814</w:t>
            </w:r>
          </w:p>
        </w:tc>
        <w:tc>
          <w:tcPr>
            <w:tcW w:type="dxa" w:w="680"/>
          </w:tcPr>
          <w:p>
            <w:pPr>
              <w:jc w:val="center"/>
            </w:pPr>
            <w:r/>
            <w:r>
              <w:rPr>
                <w:sz w:val="15"/>
              </w:rPr>
              <w:t>2.16</w:t>
            </w:r>
          </w:p>
        </w:tc>
        <w:tc>
          <w:tcPr>
            <w:tcW w:type="dxa" w:w="680"/>
          </w:tcPr>
          <w:p>
            <w:pPr>
              <w:jc w:val="center"/>
            </w:pPr>
            <w:r/>
            <w:r>
              <w:rPr>
                <w:sz w:val="15"/>
              </w:rPr>
              <w:t>1.96</w:t>
            </w:r>
          </w:p>
        </w:tc>
        <w:tc>
          <w:tcPr>
            <w:tcW w:type="dxa" w:w="680"/>
          </w:tcPr>
          <w:p>
            <w:pPr>
              <w:jc w:val="center"/>
            </w:pPr>
            <w:r/>
            <w:r>
              <w:rPr>
                <w:sz w:val="15"/>
              </w:rPr>
              <w:t>1.88</w:t>
            </w:r>
          </w:p>
        </w:tc>
      </w:tr>
    </w:tbl>
    <w:p>
      <w:pPr>
        <w:spacing w:after="80"/>
      </w:pPr>
    </w:p>
    <w:p>
      <w:pPr>
        <w:spacing w:before="0" w:after="0"/>
        <w:ind w:firstLine="204"/>
        <w:jc w:val="both"/>
      </w:pPr>
      <w:r>
        <w:rPr/>
        <w:t xml:space="preserve">Per-tile overhead on the cluster is </w:t>
      </w:r>
      <w:r>
        <w:rPr>
          <w:i/>
        </w:rPr>
        <w:t>o</w:t>
      </w:r>
      <w:r>
        <w:rPr>
          <w:vertAlign w:val="subscript"/>
        </w:rPr>
        <w:t>0</w:t>
      </w:r>
      <w:r>
        <w:rPr/>
        <w:t xml:space="preserve"> = 2.59 ms + 3.85 ns/px with S3 and 3.29 ns/px with Redis; a 512² tile PUT+GET takes 5.7 ms on MinIO and 0.52 ms on Redis. Since Canny costs only 2.6 ns/px, a 512² Canny tile computes in 0.7 ms but costs ≈ 5 ms to move, which is why cheap operations must not be distributed finely.</w:t>
      </w:r>
    </w:p>
    <w:p>
      <w:pPr>
        <w:keepNext/>
        <w:spacing w:before="80"/>
        <w:jc w:val="center"/>
      </w:pPr>
      <w:r>
        <w:drawing>
          <wp:inline xmlns:a="http://schemas.openxmlformats.org/drawingml/2006/main" xmlns:pic="http://schemas.openxmlformats.org/drawingml/2006/picture">
            <wp:extent cx="3072230" cy="2011679"/>
            <wp:docPr id="4" name="Picture 4"/>
            <wp:cNvGraphicFramePr>
              <a:graphicFrameLocks noChangeAspect="1"/>
            </wp:cNvGraphicFramePr>
            <a:graphic>
              <a:graphicData uri="http://schemas.openxmlformats.org/drawingml/2006/picture">
                <pic:pic>
                  <pic:nvPicPr>
                    <pic:cNvPr id="0" name="fig_capacity.png"/>
                    <pic:cNvPicPr/>
                  </pic:nvPicPr>
                  <pic:blipFill>
                    <a:blip r:embed="rId12"/>
                    <a:stretch>
                      <a:fillRect/>
                    </a:stretch>
                  </pic:blipFill>
                  <pic:spPr>
                    <a:xfrm>
                      <a:off x="0" y="0"/>
                      <a:ext cx="3072230" cy="2011679"/>
                    </a:xfrm>
                    <a:prstGeom prst="rect"/>
                  </pic:spPr>
                </pic:pic>
              </a:graphicData>
            </a:graphic>
          </wp:inline>
        </w:drawing>
      </w:r>
    </w:p>
    <w:p>
      <w:pPr>
        <w:spacing w:after="120"/>
        <w:jc w:val="both"/>
      </w:pPr>
      <w:r>
        <w:rPr>
          <w:sz w:val="16"/>
        </w:rPr>
        <w:t>Fig. 4. Capacity curves S(n). Bilateral scales to ≈ 7× on 16 threads; HED peaks at ≈ 5× at 8 workers and Real-ESRGAN saturates at ≈ 2× from 4 workers: both are memory-bandwidth bound on this host.</w:t>
      </w:r>
    </w:p>
    <w:p>
      <w:pPr>
        <w:keepNext/>
        <w:spacing w:before="160" w:after="80"/>
        <w:jc w:val="center"/>
      </w:pPr>
      <w:r>
        <w:rPr>
          <w:smallCaps/>
          <w:sz w:val="20"/>
        </w:rPr>
        <w:t>VIII. Upgrade 4: Work-Aware Autoscaling</w:t>
      </w:r>
    </w:p>
    <w:p>
      <w:pPr>
        <w:spacing w:before="0" w:after="0"/>
        <w:ind w:firstLine="204"/>
        <w:jc w:val="both"/>
      </w:pPr>
      <w:r>
        <w:rPr/>
        <w:t xml:space="preserve">When the API enqueues a tile it stores the tile's predicted compute time and adds it to a Redis counter </w:t>
      </w:r>
      <w:r>
        <w:rPr>
          <w:i/>
        </w:rPr>
        <w:t>W</w:t>
      </w:r>
      <w:r>
        <w:rPr/>
        <w:t xml:space="preserve"> (queued work-seconds). The completion, give-up and delete Lua scripts subtract exactly the stored cost, so </w:t>
      </w:r>
      <w:r>
        <w:rPr>
          <w:i/>
        </w:rPr>
        <w:t>W</w:t>
      </w:r>
      <w:r>
        <w:rPr/>
        <w:t xml:space="preserve"> never drifts. Every 3 s the autoscaler reads </w:t>
      </w:r>
      <w:r>
        <w:rPr>
          <w:i/>
        </w:rPr>
        <w:t>W</w:t>
      </w:r>
      <w:r>
        <w:rPr/>
        <w:t xml:space="preserve">, estimates the arrival rate of work λ (s of work per s) as an EMA of the increase of a monotonic </w:t>
      </w:r>
      <w:r>
        <w:rPr>
          <w:i/>
        </w:rPr>
        <w:t>work-added</w:t>
      </w:r>
      <w:r>
        <w:rPr/>
        <w:t xml:space="preserve"> counter, and sets</w:t>
      </w:r>
    </w:p>
    <w:p>
      <w:pPr>
        <w:tabs>
          <w:tab w:pos="2472" w:val="center"/>
          <w:tab w:pos="4944" w:val="right"/>
        </w:tabs>
        <w:spacing w:before="60" w:after="60"/>
      </w:pPr>
      <w:r>
        <w:rPr/>
        <w:tab/>
      </w:r>
      <w:r>
        <w:rPr>
          <w:i/>
        </w:rPr>
        <w:t>n</w:t>
      </w:r>
      <w:r>
        <w:rPr/>
        <w:t xml:space="preserve"> = clamp(max(⌈</w:t>
      </w:r>
      <w:r>
        <w:rPr>
          <w:i/>
        </w:rPr>
        <w:t>W</w:t>
      </w:r>
      <w:r>
        <w:rPr/>
        <w:t xml:space="preserve"> / (</w:t>
      </w:r>
      <w:r>
        <w:rPr>
          <w:i/>
        </w:rPr>
        <w:t>D</w:t>
      </w:r>
      <w:r>
        <w:rPr/>
        <w:t>·</w:t>
      </w:r>
      <w:r>
        <w:rPr>
          <w:i/>
        </w:rPr>
        <w:t>u</w:t>
      </w:r>
      <w:r>
        <w:rPr/>
        <w:t>)⌉, ⌈λ/</w:t>
      </w:r>
      <w:r>
        <w:rPr>
          <w:i/>
        </w:rPr>
        <w:t>u</w:t>
      </w:r>
      <w:r>
        <w:rPr/>
        <w:t xml:space="preserve">⌉), </w:t>
      </w:r>
      <w:r>
        <w:rPr>
          <w:i/>
        </w:rPr>
        <w:t>n</w:t>
      </w:r>
      <w:r>
        <w:rPr>
          <w:vertAlign w:val="subscript"/>
        </w:rPr>
        <w:t>min</w:t>
      </w:r>
      <w:r>
        <w:rPr/>
        <w:t xml:space="preserve">, </w:t>
      </w:r>
      <w:r>
        <w:rPr>
          <w:i/>
        </w:rPr>
        <w:t>n</w:t>
      </w:r>
      <w:r>
        <w:rPr>
          <w:vertAlign w:val="subscript"/>
        </w:rPr>
        <w:t>max</w:t>
      </w:r>
      <w:r>
        <w:rPr/>
        <w:t>)</w:t>
      </w:r>
      <w:r>
        <w:tab/>
        <w:t>(4)</w:t>
      </w:r>
    </w:p>
    <w:p>
      <w:pPr>
        <w:spacing w:before="0" w:after="0"/>
        <w:ind w:firstLine="204"/>
        <w:jc w:val="both"/>
      </w:pPr>
      <w:r>
        <w:rPr/>
        <w:t xml:space="preserve">with </w:t>
      </w:r>
      <w:r>
        <w:rPr>
          <w:i/>
        </w:rPr>
        <w:t>D</w:t>
      </w:r>
      <w:r>
        <w:rPr/>
        <w:t xml:space="preserve"> = </w:t>
      </w:r>
      <w:r>
        <w:rPr>
          <w:i/>
        </w:rPr>
        <w:t>L</w:t>
      </w:r>
      <w:r>
        <w:rPr/>
        <w:t xml:space="preserve"> − </w:t>
      </w:r>
      <w:r>
        <w:rPr>
          <w:i/>
        </w:rPr>
        <w:t>t</w:t>
      </w:r>
      <w:r>
        <w:rPr>
          <w:vertAlign w:val="subscript"/>
        </w:rPr>
        <w:t>start</w:t>
      </w:r>
      <w:r>
        <w:rPr/>
        <w:t xml:space="preserve"> the time left to drain the queue once a pod has started (latency target </w:t>
      </w:r>
      <w:r>
        <w:rPr>
          <w:i/>
        </w:rPr>
        <w:t>L</w:t>
      </w:r>
      <w:r>
        <w:rPr/>
        <w:t xml:space="preserve"> = 30 s, pod start-up </w:t>
      </w:r>
      <w:r>
        <w:rPr>
          <w:i/>
        </w:rPr>
        <w:t>t</w:t>
      </w:r>
      <w:r>
        <w:rPr>
          <w:vertAlign w:val="subscript"/>
        </w:rPr>
        <w:t>start</w:t>
      </w:r>
      <w:r>
        <w:rPr/>
        <w:t xml:space="preserve"> = 5 s) and </w:t>
      </w:r>
      <w:r>
        <w:rPr>
          <w:i/>
        </w:rPr>
        <w:t>u</w:t>
      </w:r>
      <w:r>
        <w:rPr/>
        <w:t xml:space="preserve"> = 0.8 the target utilisation. The first term drains the backlog within the latency target; the second keeps up with the steady arrival rate. Scale-down is delayed by a 30 s stabilisation window, as in the baselines. Unlike a queue-length rule, ten HED tiles and ten Canny tiles produce very different </w:t>
      </w:r>
      <w:r>
        <w:rPr>
          <w:i/>
        </w:rPr>
        <w:t>W</w:t>
      </w:r>
      <w:r>
        <w:rPr/>
        <w:t>, so the pool reacts to how much work is waiting.</w:t>
      </w:r>
    </w:p>
    <w:p>
      <w:pPr>
        <w:spacing w:before="0" w:after="0"/>
        <w:ind w:firstLine="204"/>
        <w:jc w:val="both"/>
      </w:pPr>
      <w:r>
        <w:rPr>
          <w:b/>
        </w:rPr>
        <w:t>Baselines.</w:t>
      </w:r>
      <w:r>
        <w:rPr/>
        <w:t xml:space="preserve"> </w:t>
      </w:r>
      <w:r>
        <w:rPr>
          <w:i/>
        </w:rPr>
        <w:t>HPA</w:t>
      </w:r>
      <w:r>
        <w:rPr/>
        <w:t>: CPU utilisation target 70 % of the worker request (</w:t>
      </w:r>
      <w:r>
        <w:rPr>
          <w:rFonts w:ascii="Courier New" w:hAnsi="Courier New" w:eastAsia="Courier New"/>
          <w:sz w:val="18"/>
        </w:rPr>
        <w:t>autoscaling/v2</w:t>
      </w:r>
      <w:r>
        <w:rPr/>
        <w:t xml:space="preserve">, 30 s scale-down window) [19]. </w:t>
      </w:r>
      <w:r>
        <w:rPr>
          <w:i/>
        </w:rPr>
        <w:t>KEDA</w:t>
      </w:r>
      <w:r>
        <w:rPr/>
        <w:t xml:space="preserve"> 2.21 [18]: Redis Lists scaler on </w:t>
      </w:r>
      <w:r>
        <w:rPr>
          <w:rFonts w:ascii="Courier New" w:hAnsi="Courier New" w:eastAsia="Courier New"/>
          <w:sz w:val="18"/>
        </w:rPr>
        <w:t>queue:pending</w:t>
      </w:r>
      <w:r>
        <w:rPr/>
        <w:t xml:space="preserve">, 16 tiles per replica, polling every 3 s. All three use 1–8 replicas; </w:t>
      </w:r>
      <w:r>
        <w:rPr>
          <w:rFonts w:ascii="Courier New" w:hAnsi="Courier New" w:eastAsia="Courier New"/>
          <w:sz w:val="18"/>
        </w:rPr>
        <w:t>scripts/k8s_scaler.sh</w:t>
      </w:r>
      <w:r>
        <w:rPr/>
        <w:t xml:space="preserve"> switches between them so exactly one controls the worker Deployment.</w:t>
      </w:r>
    </w:p>
    <w:p>
      <w:pPr>
        <w:keepNext/>
        <w:spacing w:before="160" w:after="80"/>
        <w:jc w:val="center"/>
      </w:pPr>
      <w:r>
        <w:rPr>
          <w:smallCaps/>
          <w:sz w:val="20"/>
        </w:rPr>
        <w:t>IX. Experimental Setup</w:t>
      </w:r>
    </w:p>
    <w:p>
      <w:pPr>
        <w:spacing w:before="0" w:after="0"/>
        <w:ind w:firstLine="204"/>
        <w:jc w:val="both"/>
      </w:pPr>
      <w:r>
        <w:rPr/>
        <w:t xml:space="preserve">All experiments ran on one laptop: Intel Core i7-11800H (8 cores, 16 threads), 22 GB RAM, Ubuntu 25.10, Python 3.13, OpenCV 5.0, ONNX Runtime 1.31, Redis 7.2, MinIO (Chainguard image). Kubernetes experiments use Minikube 1.37 (Docker driver, 8 CPUs, 12 GB) with metrics-server and KEDA 2.21. Engine benchmarks use 8192² synthetic images for classical operations, a 2048² photograph for HED and a 1024² one for Real-ESRGAN. Each point is the median of three runs unless stated. Because workers share one host, results show </w:t>
      </w:r>
      <w:r>
        <w:rPr>
          <w:i/>
        </w:rPr>
        <w:t>relative</w:t>
      </w:r>
      <w:r>
        <w:rPr/>
        <w:t xml:space="preserve"> behaviour; absolute speedups on a multi-node cluster would differ.</w:t>
      </w:r>
    </w:p>
    <w:p>
      <w:pPr>
        <w:keepNext/>
        <w:spacing w:before="160" w:after="80"/>
        <w:jc w:val="center"/>
      </w:pPr>
      <w:r>
        <w:rPr>
          <w:smallCaps/>
          <w:sz w:val="20"/>
        </w:rPr>
        <w:t>X. Results</w:t>
      </w:r>
    </w:p>
    <w:p>
      <w:pPr>
        <w:keepNext/>
        <w:spacing w:before="100" w:after="40"/>
      </w:pPr>
      <w:r>
        <w:rPr>
          <w:i/>
          <w:sz w:val="20"/>
        </w:rPr>
        <w:t>A. Object Storage vs Redis Data Plane</w:t>
      </w:r>
    </w:p>
    <w:p>
      <w:pPr>
        <w:keepNext/>
        <w:spacing w:before="120"/>
        <w:jc w:val="center"/>
      </w:pPr>
      <w:r>
        <w:rPr>
          <w:sz w:val="15"/>
        </w:rPr>
        <w:t>TABLE IV</w:t>
      </w:r>
    </w:p>
    <w:p>
      <w:pPr>
        <w:keepNext/>
        <w:spacing w:after="60"/>
        <w:jc w:val="center"/>
      </w:pPr>
      <w:r>
        <w:rPr>
          <w:smallCaps/>
          <w:sz w:val="15"/>
        </w:rPr>
        <w:t>Storage study</w:t>
      </w:r>
    </w:p>
    <w:tbl>
      <w:tblPr>
        <w:tblW w:type="auto" w:w="0"/>
        <w:jc w:val="center"/>
        <w:tblLook w:firstColumn="1" w:firstRow="1" w:lastColumn="0" w:lastRow="0" w:noHBand="0" w:noVBand="1" w:val="04A0"/>
        <w:tblLayout w:type="fixed"/>
        <w:tblBorders>
          <w:top w:val="single" w:sz="8" w:color="000000"/>
          <w:bottom w:val="single" w:sz="8" w:color="000000"/>
          <w:insideH w:val="nil"/>
          <w:insideV w:val="nil"/>
          <w:left w:val="nil"/>
          <w:right w:val="nil"/>
        </w:tblBorders>
      </w:tblPr>
      <w:tblGrid>
        <w:gridCol w:w="2041"/>
        <w:gridCol w:w="1474"/>
        <w:gridCol w:w="1361"/>
      </w:tblGrid>
      <w:tr>
        <w:tc>
          <w:tcPr>
            <w:tcW w:type="dxa" w:w="2041"/>
            <w:tcBorders>
              <w:bottom w:val="single" w:sz="4" w:color="000000"/>
            </w:tcBorders>
          </w:tcPr>
          <w:p>
            <w:pPr>
              <w:jc w:val="center"/>
            </w:pPr>
            <w:r/>
            <w:r>
              <w:rPr>
                <w:b/>
                <w:sz w:val="15"/>
              </w:rPr>
              <w:t>Metric (Redis maxmemory 1 GB)</w:t>
            </w:r>
          </w:p>
        </w:tc>
        <w:tc>
          <w:tcPr>
            <w:tcW w:type="dxa" w:w="1474"/>
            <w:tcBorders>
              <w:bottom w:val="single" w:sz="4" w:color="000000"/>
            </w:tcBorders>
          </w:tcPr>
          <w:p>
            <w:pPr>
              <w:jc w:val="center"/>
            </w:pPr>
            <w:r/>
            <w:r>
              <w:rPr>
                <w:b/>
                <w:sz w:val="15"/>
              </w:rPr>
              <w:t>Redis mode</w:t>
            </w:r>
          </w:p>
        </w:tc>
        <w:tc>
          <w:tcPr>
            <w:tcW w:type="dxa" w:w="1361"/>
            <w:tcBorders>
              <w:bottom w:val="single" w:sz="4" w:color="000000"/>
            </w:tcBorders>
          </w:tcPr>
          <w:p>
            <w:pPr>
              <w:jc w:val="center"/>
            </w:pPr>
            <w:r/>
            <w:r>
              <w:rPr>
                <w:b/>
                <w:sz w:val="15"/>
              </w:rPr>
              <w:t>S3 mode</w:t>
            </w:r>
          </w:p>
        </w:tc>
      </w:tr>
      <w:tr>
        <w:tc>
          <w:tcPr>
            <w:tcW w:type="dxa" w:w="2041"/>
          </w:tcPr>
          <w:p>
            <w:pPr>
              <w:jc w:val="left"/>
            </w:pPr>
            <w:r/>
            <w:r>
              <w:rPr>
                <w:sz w:val="15"/>
              </w:rPr>
              <w:t>Largest image accepted</w:t>
            </w:r>
          </w:p>
        </w:tc>
        <w:tc>
          <w:tcPr>
            <w:tcW w:type="dxa" w:w="1474"/>
          </w:tcPr>
          <w:p>
            <w:pPr>
              <w:jc w:val="center"/>
            </w:pPr>
            <w:r/>
            <w:r>
              <w:rPr>
                <w:sz w:val="15"/>
              </w:rPr>
              <w:t>8192² (12288² → 503)</w:t>
            </w:r>
          </w:p>
        </w:tc>
        <w:tc>
          <w:tcPr>
            <w:tcW w:type="dxa" w:w="1361"/>
          </w:tcPr>
          <w:p>
            <w:pPr>
              <w:jc w:val="center"/>
            </w:pPr>
            <w:r/>
            <w:r>
              <w:rPr>
                <w:sz w:val="15"/>
              </w:rPr>
              <w:t>≥ 16384²</w:t>
            </w:r>
          </w:p>
        </w:tc>
      </w:tr>
      <w:tr>
        <w:tc>
          <w:tcPr>
            <w:tcW w:type="dxa" w:w="2041"/>
          </w:tcPr>
          <w:p>
            <w:pPr>
              <w:jc w:val="left"/>
            </w:pPr>
            <w:r/>
            <w:r>
              <w:rPr>
                <w:sz w:val="15"/>
              </w:rPr>
              <w:t>Concurrent 8192² jobs accepted</w:t>
            </w:r>
          </w:p>
        </w:tc>
        <w:tc>
          <w:tcPr>
            <w:tcW w:type="dxa" w:w="1474"/>
          </w:tcPr>
          <w:p>
            <w:pPr>
              <w:jc w:val="center"/>
            </w:pPr>
            <w:r/>
            <w:r>
              <w:rPr>
                <w:sz w:val="15"/>
              </w:rPr>
              <w:t>2</w:t>
            </w:r>
          </w:p>
        </w:tc>
        <w:tc>
          <w:tcPr>
            <w:tcW w:type="dxa" w:w="1361"/>
          </w:tcPr>
          <w:p>
            <w:pPr>
              <w:jc w:val="center"/>
            </w:pPr>
            <w:r/>
            <w:r>
              <w:rPr>
                <w:sz w:val="15"/>
              </w:rPr>
              <w:t>12 (all tried)</w:t>
            </w:r>
          </w:p>
        </w:tc>
      </w:tr>
      <w:tr>
        <w:tc>
          <w:tcPr>
            <w:tcW w:type="dxa" w:w="2041"/>
          </w:tcPr>
          <w:p>
            <w:pPr>
              <w:jc w:val="left"/>
            </w:pPr>
            <w:r/>
            <w:r>
              <w:rPr>
                <w:sz w:val="15"/>
              </w:rPr>
              <w:t>Redis memory per 8192² job</w:t>
            </w:r>
          </w:p>
        </w:tc>
        <w:tc>
          <w:tcPr>
            <w:tcW w:type="dxa" w:w="1474"/>
          </w:tcPr>
          <w:p>
            <w:pPr>
              <w:jc w:val="center"/>
            </w:pPr>
            <w:r/>
            <w:r>
              <w:rPr>
                <w:sz w:val="15"/>
              </w:rPr>
              <w:t>226.4 MB</w:t>
            </w:r>
          </w:p>
        </w:tc>
        <w:tc>
          <w:tcPr>
            <w:tcW w:type="dxa" w:w="1361"/>
          </w:tcPr>
          <w:p>
            <w:pPr>
              <w:jc w:val="center"/>
            </w:pPr>
            <w:r/>
            <w:r>
              <w:rPr>
                <w:sz w:val="15"/>
              </w:rPr>
              <w:t>0.054 MB</w:t>
            </w:r>
          </w:p>
        </w:tc>
      </w:tr>
      <w:tr>
        <w:tc>
          <w:tcPr>
            <w:tcW w:type="dxa" w:w="2041"/>
          </w:tcPr>
          <w:p>
            <w:pPr>
              <w:jc w:val="left"/>
            </w:pPr>
            <w:r/>
            <w:r>
              <w:rPr>
                <w:sz w:val="15"/>
              </w:rPr>
              <w:t>I/O per 512² tile</w:t>
            </w:r>
          </w:p>
        </w:tc>
        <w:tc>
          <w:tcPr>
            <w:tcW w:type="dxa" w:w="1474"/>
          </w:tcPr>
          <w:p>
            <w:pPr>
              <w:jc w:val="center"/>
            </w:pPr>
            <w:r/>
            <w:r>
              <w:rPr>
                <w:sz w:val="15"/>
              </w:rPr>
              <w:t>7.2 ms</w:t>
            </w:r>
          </w:p>
        </w:tc>
        <w:tc>
          <w:tcPr>
            <w:tcW w:type="dxa" w:w="1361"/>
          </w:tcPr>
          <w:p>
            <w:pPr>
              <w:jc w:val="center"/>
            </w:pPr>
            <w:r/>
            <w:r>
              <w:rPr>
                <w:sz w:val="15"/>
              </w:rPr>
              <w:t>8.6 ms</w:t>
            </w:r>
          </w:p>
        </w:tc>
      </w:tr>
      <w:tr>
        <w:tc>
          <w:tcPr>
            <w:tcW w:type="dxa" w:w="2041"/>
          </w:tcPr>
          <w:p>
            <w:pPr>
              <w:jc w:val="left"/>
            </w:pPr>
            <w:r/>
            <w:r>
              <w:rPr>
                <w:sz w:val="15"/>
              </w:rPr>
              <w:t>Bilateral 4096², end-to-end</w:t>
            </w:r>
          </w:p>
        </w:tc>
        <w:tc>
          <w:tcPr>
            <w:tcW w:type="dxa" w:w="1474"/>
          </w:tcPr>
          <w:p>
            <w:pPr>
              <w:jc w:val="center"/>
            </w:pPr>
            <w:r/>
            <w:r>
              <w:rPr>
                <w:sz w:val="15"/>
              </w:rPr>
              <w:t>0.82 s</w:t>
            </w:r>
          </w:p>
        </w:tc>
        <w:tc>
          <w:tcPr>
            <w:tcW w:type="dxa" w:w="1361"/>
          </w:tcPr>
          <w:p>
            <w:pPr>
              <w:jc w:val="center"/>
            </w:pPr>
            <w:r/>
            <w:r>
              <w:rPr>
                <w:sz w:val="15"/>
              </w:rPr>
              <w:t>1.09 s</w:t>
            </w:r>
          </w:p>
        </w:tc>
      </w:tr>
    </w:tbl>
    <w:p>
      <w:pPr>
        <w:spacing w:after="80"/>
      </w:pPr>
    </w:p>
    <w:p>
      <w:pPr>
        <w:spacing w:before="0" w:after="0"/>
        <w:ind w:firstLine="204"/>
        <w:jc w:val="both"/>
      </w:pPr>
      <w:r>
        <w:rPr/>
        <w:t>Moving bytes out of Redis reduces its footprint per job by a factor of 4,215 and removes the concurrency limit (the 12 jobs we tried were all accepted; the remaining limit is the configurable tile-count back-pressure, 20 000 queued tiles). The price is latency: each tile costs 1.3 ms more I/O and a small bilateral job takes 33 % longer, mostly from uploading the input. For large or many concurrent jobs this trade is clearly worth it; the planner already accounts for the higher per-tile overhead.</w:t>
      </w:r>
    </w:p>
    <w:p>
      <w:pPr>
        <w:keepNext/>
        <w:spacing w:before="80"/>
        <w:jc w:val="center"/>
      </w:pPr>
      <w:r>
        <w:drawing>
          <wp:inline xmlns:a="http://schemas.openxmlformats.org/drawingml/2006/main" xmlns:pic="http://schemas.openxmlformats.org/drawingml/2006/picture">
            <wp:extent cx="3139440" cy="1116817"/>
            <wp:docPr id="5" name="Picture 5"/>
            <wp:cNvGraphicFramePr>
              <a:graphicFrameLocks noChangeAspect="1"/>
            </wp:cNvGraphicFramePr>
            <a:graphic>
              <a:graphicData uri="http://schemas.openxmlformats.org/drawingml/2006/picture">
                <pic:pic>
                  <pic:nvPicPr>
                    <pic:cNvPr id="0" name="fig_storage.png"/>
                    <pic:cNvPicPr/>
                  </pic:nvPicPr>
                  <pic:blipFill>
                    <a:blip r:embed="rId13"/>
                    <a:stretch>
                      <a:fillRect/>
                    </a:stretch>
                  </pic:blipFill>
                  <pic:spPr>
                    <a:xfrm>
                      <a:off x="0" y="0"/>
                      <a:ext cx="3139440" cy="1116817"/>
                    </a:xfrm>
                    <a:prstGeom prst="rect"/>
                  </pic:spPr>
                </pic:pic>
              </a:graphicData>
            </a:graphic>
          </wp:inline>
        </w:drawing>
      </w:r>
    </w:p>
    <w:p>
      <w:pPr>
        <w:spacing w:after="120"/>
        <w:jc w:val="both"/>
      </w:pPr>
      <w:r>
        <w:rPr>
          <w:sz w:val="16"/>
        </w:rPr>
        <w:t>Fig. 5. Redis memory per 8192² job (log scale) and 8192² jobs accepted before HTTP 503, per storage mode.</w:t>
      </w:r>
    </w:p>
    <w:p>
      <w:pPr>
        <w:keepNext/>
        <w:spacing w:before="100" w:after="40"/>
      </w:pPr>
      <w:r>
        <w:rPr>
          <w:i/>
          <w:sz w:val="20"/>
        </w:rPr>
        <w:t>B. Parallel Scaling of Neural Operations</w:t>
      </w:r>
    </w:p>
    <w:p>
      <w:pPr>
        <w:keepNext/>
        <w:spacing w:before="80"/>
        <w:jc w:val="center"/>
      </w:pPr>
      <w:r>
        <w:drawing>
          <wp:inline xmlns:a="http://schemas.openxmlformats.org/drawingml/2006/main" xmlns:pic="http://schemas.openxmlformats.org/drawingml/2006/picture">
            <wp:extent cx="2884377" cy="1920240"/>
            <wp:docPr id="6" name="Picture 6"/>
            <wp:cNvGraphicFramePr>
              <a:graphicFrameLocks noChangeAspect="1"/>
            </wp:cNvGraphicFramePr>
            <a:graphic>
              <a:graphicData uri="http://schemas.openxmlformats.org/drawingml/2006/picture">
                <pic:pic>
                  <pic:nvPicPr>
                    <pic:cNvPr id="0" name="fig_scaling.png"/>
                    <pic:cNvPicPr/>
                  </pic:nvPicPr>
                  <pic:blipFill>
                    <a:blip r:embed="rId14"/>
                    <a:stretch>
                      <a:fillRect/>
                    </a:stretch>
                  </pic:blipFill>
                  <pic:spPr>
                    <a:xfrm>
                      <a:off x="0" y="0"/>
                      <a:ext cx="2884377" cy="1920240"/>
                    </a:xfrm>
                    <a:prstGeom prst="rect"/>
                  </pic:spPr>
                </pic:pic>
              </a:graphicData>
            </a:graphic>
          </wp:inline>
        </w:drawing>
      </w:r>
    </w:p>
    <w:p>
      <w:pPr>
        <w:spacing w:after="120"/>
        <w:jc w:val="both"/>
      </w:pPr>
      <w:r>
        <w:rPr>
          <w:sz w:val="16"/>
        </w:rPr>
        <w:t>Fig. 6. Speedup vs workers. Bilateral (compute-bound) scales furthest; HED peaks at 8 workers and Real-ESRGAN plateaus from 4.</w:t>
      </w:r>
    </w:p>
    <w:p>
      <w:pPr>
        <w:spacing w:before="0" w:after="0"/>
        <w:ind w:firstLine="204"/>
        <w:jc w:val="both"/>
      </w:pPr>
      <w:r>
        <w:rPr/>
        <w:t>HED reaches 2.45× at 8 workers and Real-ESRGAN 2.43× at 16. The upgrade plan expected near-linear speedup for neural operations because they are compute-heavy, but on one host they are limited by memory bandwidth: convolution activations of many concurrent tiles exceed the caches, so extra workers wait on DRAM. HED's per-process memory also grows with workers (peak RSS ≈ 3 GB per 8 workers). On a multi-node cluster, where every node brings its own memory bandwidth, the curve would continue; the planner learns the measured curve, so it stops adding workers where they no longer help.</w:t>
      </w:r>
    </w:p>
    <w:p>
      <w:pPr>
        <w:keepNext/>
        <w:spacing w:before="100" w:after="40"/>
      </w:pPr>
      <w:r>
        <w:rPr>
          <w:i/>
          <w:sz w:val="20"/>
        </w:rPr>
        <w:t>C. Planner</w:t>
      </w:r>
    </w:p>
    <w:p>
      <w:pPr>
        <w:keepNext/>
        <w:spacing w:before="120"/>
        <w:jc w:val="center"/>
      </w:pPr>
      <w:r>
        <w:rPr>
          <w:sz w:val="15"/>
        </w:rPr>
        <w:t>TABLE V</w:t>
      </w:r>
    </w:p>
    <w:p>
      <w:pPr>
        <w:keepNext/>
        <w:spacing w:after="60"/>
        <w:jc w:val="center"/>
      </w:pPr>
      <w:r>
        <w:rPr>
          <w:smallCaps/>
          <w:sz w:val="15"/>
        </w:rPr>
        <w:t>Engine: naive (512 px, 16 workers) vs planner; speedup over sequential</w:t>
      </w:r>
    </w:p>
    <w:tbl>
      <w:tblPr>
        <w:tblW w:type="auto" w:w="0"/>
        <w:jc w:val="center"/>
        <w:tblLook w:firstColumn="1" w:firstRow="1" w:lastColumn="0" w:lastRow="0" w:noHBand="0" w:noVBand="1" w:val="04A0"/>
        <w:tblLayout w:type="fixed"/>
        <w:tblBorders>
          <w:top w:val="single" w:sz="8" w:color="000000"/>
          <w:bottom w:val="single" w:sz="8" w:color="000000"/>
          <w:insideH w:val="nil"/>
          <w:insideV w:val="nil"/>
          <w:left w:val="nil"/>
          <w:right w:val="nil"/>
        </w:tblBorders>
      </w:tblPr>
      <w:tblGrid>
        <w:gridCol w:w="1361"/>
        <w:gridCol w:w="737"/>
        <w:gridCol w:w="737"/>
        <w:gridCol w:w="794"/>
        <w:gridCol w:w="1247"/>
      </w:tblGrid>
      <w:tr>
        <w:tc>
          <w:tcPr>
            <w:tcW w:type="dxa" w:w="1361"/>
            <w:tcBorders>
              <w:bottom w:val="single" w:sz="4" w:color="000000"/>
            </w:tcBorders>
          </w:tcPr>
          <w:p>
            <w:pPr>
              <w:jc w:val="center"/>
            </w:pPr>
            <w:r/>
            <w:r>
              <w:rPr>
                <w:b/>
                <w:sz w:val="15"/>
              </w:rPr>
              <w:t>Op (image)</w:t>
            </w:r>
          </w:p>
        </w:tc>
        <w:tc>
          <w:tcPr>
            <w:tcW w:type="dxa" w:w="737"/>
            <w:tcBorders>
              <w:bottom w:val="single" w:sz="4" w:color="000000"/>
            </w:tcBorders>
          </w:tcPr>
          <w:p>
            <w:pPr>
              <w:jc w:val="center"/>
            </w:pPr>
            <w:r/>
            <w:r>
              <w:rPr>
                <w:b/>
                <w:sz w:val="15"/>
              </w:rPr>
              <w:t>Seq. (s)</w:t>
            </w:r>
          </w:p>
        </w:tc>
        <w:tc>
          <w:tcPr>
            <w:tcW w:type="dxa" w:w="737"/>
            <w:tcBorders>
              <w:bottom w:val="single" w:sz="4" w:color="000000"/>
            </w:tcBorders>
          </w:tcPr>
          <w:p>
            <w:pPr>
              <w:jc w:val="center"/>
            </w:pPr>
            <w:r/>
            <w:r>
              <w:rPr>
                <w:b/>
                <w:sz w:val="15"/>
              </w:rPr>
              <w:t>Naive</w:t>
            </w:r>
          </w:p>
        </w:tc>
        <w:tc>
          <w:tcPr>
            <w:tcW w:type="dxa" w:w="794"/>
            <w:tcBorders>
              <w:bottom w:val="single" w:sz="4" w:color="000000"/>
            </w:tcBorders>
          </w:tcPr>
          <w:p>
            <w:pPr>
              <w:jc w:val="center"/>
            </w:pPr>
            <w:r/>
            <w:r>
              <w:rPr>
                <w:b/>
                <w:sz w:val="15"/>
              </w:rPr>
              <w:t>Planner</w:t>
            </w:r>
          </w:p>
        </w:tc>
        <w:tc>
          <w:tcPr>
            <w:tcW w:type="dxa" w:w="1247"/>
            <w:tcBorders>
              <w:bottom w:val="single" w:sz="4" w:color="000000"/>
            </w:tcBorders>
          </w:tcPr>
          <w:p>
            <w:pPr>
              <w:jc w:val="center"/>
            </w:pPr>
            <w:r/>
            <w:r>
              <w:rPr>
                <w:b/>
                <w:sz w:val="15"/>
              </w:rPr>
              <w:t>Plan</w:t>
            </w:r>
          </w:p>
        </w:tc>
      </w:tr>
      <w:tr>
        <w:tc>
          <w:tcPr>
            <w:tcW w:type="dxa" w:w="1361"/>
          </w:tcPr>
          <w:p>
            <w:pPr>
              <w:jc w:val="left"/>
            </w:pPr>
            <w:r/>
            <w:r>
              <w:rPr>
                <w:sz w:val="15"/>
              </w:rPr>
              <w:t>Grayscale (8192²)</w:t>
            </w:r>
          </w:p>
        </w:tc>
        <w:tc>
          <w:tcPr>
            <w:tcW w:type="dxa" w:w="737"/>
          </w:tcPr>
          <w:p>
            <w:pPr>
              <w:jc w:val="center"/>
            </w:pPr>
            <w:r/>
            <w:r>
              <w:rPr>
                <w:sz w:val="15"/>
              </w:rPr>
              <w:t>0.03</w:t>
            </w:r>
          </w:p>
        </w:tc>
        <w:tc>
          <w:tcPr>
            <w:tcW w:type="dxa" w:w="737"/>
          </w:tcPr>
          <w:p>
            <w:pPr>
              <w:jc w:val="center"/>
            </w:pPr>
            <w:r/>
            <w:r>
              <w:rPr>
                <w:sz w:val="15"/>
              </w:rPr>
              <w:t>0.06×</w:t>
            </w:r>
          </w:p>
        </w:tc>
        <w:tc>
          <w:tcPr>
            <w:tcW w:type="dxa" w:w="794"/>
          </w:tcPr>
          <w:p>
            <w:pPr>
              <w:jc w:val="center"/>
            </w:pPr>
            <w:r/>
            <w:r>
              <w:rPr>
                <w:sz w:val="15"/>
              </w:rPr>
              <w:t>1.11×</w:t>
            </w:r>
          </w:p>
        </w:tc>
        <w:tc>
          <w:tcPr>
            <w:tcW w:type="dxa" w:w="1247"/>
          </w:tcPr>
          <w:p>
            <w:pPr>
              <w:jc w:val="center"/>
            </w:pPr>
            <w:r/>
            <w:r>
              <w:rPr>
                <w:sz w:val="15"/>
              </w:rPr>
              <w:t>local</w:t>
            </w:r>
          </w:p>
        </w:tc>
      </w:tr>
      <w:tr>
        <w:tc>
          <w:tcPr>
            <w:tcW w:type="dxa" w:w="1361"/>
          </w:tcPr>
          <w:p>
            <w:pPr>
              <w:jc w:val="left"/>
            </w:pPr>
            <w:r/>
            <w:r>
              <w:rPr>
                <w:sz w:val="15"/>
              </w:rPr>
              <w:t>Canny (8192²)</w:t>
            </w:r>
          </w:p>
        </w:tc>
        <w:tc>
          <w:tcPr>
            <w:tcW w:type="dxa" w:w="737"/>
          </w:tcPr>
          <w:p>
            <w:pPr>
              <w:jc w:val="center"/>
            </w:pPr>
            <w:r/>
            <w:r>
              <w:rPr>
                <w:sz w:val="15"/>
              </w:rPr>
              <w:t>0.18</w:t>
            </w:r>
          </w:p>
        </w:tc>
        <w:tc>
          <w:tcPr>
            <w:tcW w:type="dxa" w:w="737"/>
          </w:tcPr>
          <w:p>
            <w:pPr>
              <w:jc w:val="center"/>
            </w:pPr>
            <w:r/>
            <w:r>
              <w:rPr>
                <w:sz w:val="15"/>
              </w:rPr>
              <w:t>0.55×</w:t>
            </w:r>
          </w:p>
        </w:tc>
        <w:tc>
          <w:tcPr>
            <w:tcW w:type="dxa" w:w="794"/>
          </w:tcPr>
          <w:p>
            <w:pPr>
              <w:jc w:val="center"/>
            </w:pPr>
            <w:r/>
            <w:r>
              <w:rPr>
                <w:sz w:val="15"/>
              </w:rPr>
              <w:t>0.98×</w:t>
            </w:r>
          </w:p>
        </w:tc>
        <w:tc>
          <w:tcPr>
            <w:tcW w:type="dxa" w:w="1247"/>
          </w:tcPr>
          <w:p>
            <w:pPr>
              <w:jc w:val="center"/>
            </w:pPr>
            <w:r/>
            <w:r>
              <w:rPr>
                <w:sz w:val="15"/>
              </w:rPr>
              <w:t>local</w:t>
            </w:r>
          </w:p>
        </w:tc>
      </w:tr>
      <w:tr>
        <w:tc>
          <w:tcPr>
            <w:tcW w:type="dxa" w:w="1361"/>
          </w:tcPr>
          <w:p>
            <w:pPr>
              <w:jc w:val="left"/>
            </w:pPr>
            <w:r/>
            <w:r>
              <w:rPr>
                <w:sz w:val="15"/>
              </w:rPr>
              <w:t>Gaussian (8192²)</w:t>
            </w:r>
          </w:p>
        </w:tc>
        <w:tc>
          <w:tcPr>
            <w:tcW w:type="dxa" w:w="737"/>
          </w:tcPr>
          <w:p>
            <w:pPr>
              <w:jc w:val="center"/>
            </w:pPr>
            <w:r/>
            <w:r>
              <w:rPr>
                <w:sz w:val="15"/>
              </w:rPr>
              <w:t>0.28</w:t>
            </w:r>
          </w:p>
        </w:tc>
        <w:tc>
          <w:tcPr>
            <w:tcW w:type="dxa" w:w="737"/>
          </w:tcPr>
          <w:p>
            <w:pPr>
              <w:jc w:val="center"/>
            </w:pPr>
            <w:r/>
            <w:r>
              <w:rPr>
                <w:sz w:val="15"/>
              </w:rPr>
              <w:t>0.54×</w:t>
            </w:r>
          </w:p>
        </w:tc>
        <w:tc>
          <w:tcPr>
            <w:tcW w:type="dxa" w:w="794"/>
          </w:tcPr>
          <w:p>
            <w:pPr>
              <w:jc w:val="center"/>
            </w:pPr>
            <w:r/>
            <w:r>
              <w:rPr>
                <w:sz w:val="15"/>
              </w:rPr>
              <w:t>1.00×</w:t>
            </w:r>
          </w:p>
        </w:tc>
        <w:tc>
          <w:tcPr>
            <w:tcW w:type="dxa" w:w="1247"/>
          </w:tcPr>
          <w:p>
            <w:pPr>
              <w:jc w:val="center"/>
            </w:pPr>
            <w:r/>
            <w:r>
              <w:rPr>
                <w:sz w:val="15"/>
              </w:rPr>
              <w:t>local</w:t>
            </w:r>
          </w:p>
        </w:tc>
      </w:tr>
      <w:tr>
        <w:tc>
          <w:tcPr>
            <w:tcW w:type="dxa" w:w="1361"/>
          </w:tcPr>
          <w:p>
            <w:pPr>
              <w:jc w:val="left"/>
            </w:pPr>
            <w:r/>
            <w:r>
              <w:rPr>
                <w:sz w:val="15"/>
              </w:rPr>
              <w:t>Sobel (8192²)</w:t>
            </w:r>
          </w:p>
        </w:tc>
        <w:tc>
          <w:tcPr>
            <w:tcW w:type="dxa" w:w="737"/>
          </w:tcPr>
          <w:p>
            <w:pPr>
              <w:jc w:val="center"/>
            </w:pPr>
            <w:r/>
            <w:r>
              <w:rPr>
                <w:sz w:val="15"/>
              </w:rPr>
              <w:t>0.19</w:t>
            </w:r>
          </w:p>
        </w:tc>
        <w:tc>
          <w:tcPr>
            <w:tcW w:type="dxa" w:w="737"/>
          </w:tcPr>
          <w:p>
            <w:pPr>
              <w:jc w:val="center"/>
            </w:pPr>
            <w:r/>
            <w:r>
              <w:rPr>
                <w:sz w:val="15"/>
              </w:rPr>
              <w:t>0.60×</w:t>
            </w:r>
          </w:p>
        </w:tc>
        <w:tc>
          <w:tcPr>
            <w:tcW w:type="dxa" w:w="794"/>
          </w:tcPr>
          <w:p>
            <w:pPr>
              <w:jc w:val="center"/>
            </w:pPr>
            <w:r/>
            <w:r>
              <w:rPr>
                <w:sz w:val="15"/>
              </w:rPr>
              <w:t>1.02×</w:t>
            </w:r>
          </w:p>
        </w:tc>
        <w:tc>
          <w:tcPr>
            <w:tcW w:type="dxa" w:w="1247"/>
          </w:tcPr>
          <w:p>
            <w:pPr>
              <w:jc w:val="center"/>
            </w:pPr>
            <w:r/>
            <w:r>
              <w:rPr>
                <w:sz w:val="15"/>
              </w:rPr>
              <w:t>local</w:t>
            </w:r>
          </w:p>
        </w:tc>
      </w:tr>
      <w:tr>
        <w:tc>
          <w:tcPr>
            <w:tcW w:type="dxa" w:w="1361"/>
          </w:tcPr>
          <w:p>
            <w:pPr>
              <w:jc w:val="left"/>
            </w:pPr>
            <w:r/>
            <w:r>
              <w:rPr>
                <w:sz w:val="15"/>
              </w:rPr>
              <w:t>Bilateral (8192²)</w:t>
            </w:r>
          </w:p>
        </w:tc>
        <w:tc>
          <w:tcPr>
            <w:tcW w:type="dxa" w:w="737"/>
          </w:tcPr>
          <w:p>
            <w:pPr>
              <w:jc w:val="center"/>
            </w:pPr>
            <w:r/>
            <w:r>
              <w:rPr>
                <w:sz w:val="15"/>
              </w:rPr>
              <w:t>4.96</w:t>
            </w:r>
          </w:p>
        </w:tc>
        <w:tc>
          <w:tcPr>
            <w:tcW w:type="dxa" w:w="737"/>
          </w:tcPr>
          <w:p>
            <w:pPr>
              <w:jc w:val="center"/>
            </w:pPr>
            <w:r/>
            <w:r>
              <w:rPr>
                <w:sz w:val="15"/>
              </w:rPr>
              <w:t>5.08×</w:t>
            </w:r>
          </w:p>
        </w:tc>
        <w:tc>
          <w:tcPr>
            <w:tcW w:type="dxa" w:w="794"/>
          </w:tcPr>
          <w:p>
            <w:pPr>
              <w:jc w:val="center"/>
            </w:pPr>
            <w:r/>
            <w:r>
              <w:rPr>
                <w:sz w:val="15"/>
              </w:rPr>
              <w:t>4.94×</w:t>
            </w:r>
          </w:p>
        </w:tc>
        <w:tc>
          <w:tcPr>
            <w:tcW w:type="dxa" w:w="1247"/>
          </w:tcPr>
          <w:p>
            <w:pPr>
              <w:jc w:val="center"/>
            </w:pPr>
            <w:r/>
            <w:r>
              <w:rPr>
                <w:sz w:val="15"/>
              </w:rPr>
              <w:t>n=12, 512 px</w:t>
            </w:r>
          </w:p>
        </w:tc>
      </w:tr>
      <w:tr>
        <w:tc>
          <w:tcPr>
            <w:tcW w:type="dxa" w:w="1361"/>
          </w:tcPr>
          <w:p>
            <w:pPr>
              <w:jc w:val="left"/>
            </w:pPr>
            <w:r/>
            <w:r>
              <w:rPr>
                <w:sz w:val="15"/>
              </w:rPr>
              <w:t>HED (2048²)</w:t>
            </w:r>
          </w:p>
        </w:tc>
        <w:tc>
          <w:tcPr>
            <w:tcW w:type="dxa" w:w="737"/>
          </w:tcPr>
          <w:p>
            <w:pPr>
              <w:jc w:val="center"/>
            </w:pPr>
            <w:r/>
            <w:r>
              <w:rPr>
                <w:sz w:val="15"/>
              </w:rPr>
              <w:t>20.31</w:t>
            </w:r>
          </w:p>
        </w:tc>
        <w:tc>
          <w:tcPr>
            <w:tcW w:type="dxa" w:w="737"/>
          </w:tcPr>
          <w:p>
            <w:pPr>
              <w:jc w:val="center"/>
            </w:pPr>
            <w:r/>
            <w:r>
              <w:rPr>
                <w:sz w:val="15"/>
              </w:rPr>
              <w:t>2.00×</w:t>
            </w:r>
          </w:p>
        </w:tc>
        <w:tc>
          <w:tcPr>
            <w:tcW w:type="dxa" w:w="794"/>
          </w:tcPr>
          <w:p>
            <w:pPr>
              <w:jc w:val="center"/>
            </w:pPr>
            <w:r/>
            <w:r>
              <w:rPr>
                <w:sz w:val="15"/>
              </w:rPr>
              <w:t>2.50×</w:t>
            </w:r>
          </w:p>
        </w:tc>
        <w:tc>
          <w:tcPr>
            <w:tcW w:type="dxa" w:w="1247"/>
          </w:tcPr>
          <w:p>
            <w:pPr>
              <w:jc w:val="center"/>
            </w:pPr>
            <w:r/>
            <w:r>
              <w:rPr>
                <w:sz w:val="15"/>
              </w:rPr>
              <w:t>n=8, 512 px</w:t>
            </w:r>
          </w:p>
        </w:tc>
      </w:tr>
      <w:tr>
        <w:tc>
          <w:tcPr>
            <w:tcW w:type="dxa" w:w="1361"/>
          </w:tcPr>
          <w:p>
            <w:pPr>
              <w:jc w:val="left"/>
            </w:pPr>
            <w:r/>
            <w:r>
              <w:rPr>
                <w:sz w:val="15"/>
              </w:rPr>
              <w:t>Real-ESRGAN (1024²)</w:t>
            </w:r>
          </w:p>
        </w:tc>
        <w:tc>
          <w:tcPr>
            <w:tcW w:type="dxa" w:w="737"/>
          </w:tcPr>
          <w:p>
            <w:pPr>
              <w:jc w:val="center"/>
            </w:pPr>
            <w:r/>
            <w:r>
              <w:rPr>
                <w:sz w:val="15"/>
              </w:rPr>
              <w:t>25.20</w:t>
            </w:r>
          </w:p>
        </w:tc>
        <w:tc>
          <w:tcPr>
            <w:tcW w:type="dxa" w:w="737"/>
          </w:tcPr>
          <w:p>
            <w:pPr>
              <w:jc w:val="center"/>
            </w:pPr>
            <w:r/>
            <w:r>
              <w:rPr>
                <w:sz w:val="15"/>
              </w:rPr>
              <w:t>2.16×</w:t>
            </w:r>
          </w:p>
        </w:tc>
        <w:tc>
          <w:tcPr>
            <w:tcW w:type="dxa" w:w="794"/>
          </w:tcPr>
          <w:p>
            <w:pPr>
              <w:jc w:val="center"/>
            </w:pPr>
            <w:r/>
            <w:r>
              <w:rPr>
                <w:sz w:val="15"/>
              </w:rPr>
              <w:t>2.23×</w:t>
            </w:r>
          </w:p>
        </w:tc>
        <w:tc>
          <w:tcPr>
            <w:tcW w:type="dxa" w:w="1247"/>
          </w:tcPr>
          <w:p>
            <w:pPr>
              <w:jc w:val="center"/>
            </w:pPr>
            <w:r/>
            <w:r>
              <w:rPr>
                <w:sz w:val="15"/>
              </w:rPr>
              <w:t>n=4, 512 px</w:t>
            </w:r>
          </w:p>
        </w:tc>
      </w:tr>
    </w:tbl>
    <w:p>
      <w:pPr>
        <w:spacing w:after="80"/>
      </w:pPr>
    </w:p>
    <w:p>
      <w:pPr>
        <w:spacing w:before="0" w:after="0"/>
        <w:ind w:firstLine="204"/>
        <w:jc w:val="both"/>
      </w:pPr>
      <w:r>
        <w:rPr/>
        <w:t>Naive tiling makes every cheap operation slower (grayscale runs at 0.06×). The planner recognises that and runs them locally, recovering ≈ 1×. For bilateral it chooses 12 workers, within 3 % of naive 16-worker tiling, and for the neural operations it picks fewer workers than naive (8 for HED, 4 for Real-ESRGAN) and is faster (2.50× vs 2.00× for HED) because it avoids the contention region of the capacity curve.</w:t>
      </w:r>
    </w:p>
    <w:p>
      <w:pPr>
        <w:keepNext/>
        <w:spacing w:before="80"/>
        <w:jc w:val="center"/>
      </w:pPr>
      <w:r>
        <w:drawing>
          <wp:inline xmlns:a="http://schemas.openxmlformats.org/drawingml/2006/main" xmlns:pic="http://schemas.openxmlformats.org/drawingml/2006/picture">
            <wp:extent cx="3139440" cy="1736764"/>
            <wp:docPr id="7" name="Picture 7"/>
            <wp:cNvGraphicFramePr>
              <a:graphicFrameLocks noChangeAspect="1"/>
            </wp:cNvGraphicFramePr>
            <a:graphic>
              <a:graphicData uri="http://schemas.openxmlformats.org/drawingml/2006/picture">
                <pic:pic>
                  <pic:nvPicPr>
                    <pic:cNvPr id="0" name="fig_planner.png"/>
                    <pic:cNvPicPr/>
                  </pic:nvPicPr>
                  <pic:blipFill>
                    <a:blip r:embed="rId15"/>
                    <a:stretch>
                      <a:fillRect/>
                    </a:stretch>
                  </pic:blipFill>
                  <pic:spPr>
                    <a:xfrm>
                      <a:off x="0" y="0"/>
                      <a:ext cx="3139440" cy="1736764"/>
                    </a:xfrm>
                    <a:prstGeom prst="rect"/>
                  </pic:spPr>
                </pic:pic>
              </a:graphicData>
            </a:graphic>
          </wp:inline>
        </w:drawing>
      </w:r>
    </w:p>
    <w:p>
      <w:pPr>
        <w:spacing w:after="120"/>
        <w:jc w:val="both"/>
      </w:pPr>
      <w:r>
        <w:rPr>
          <w:sz w:val="16"/>
        </w:rPr>
        <w:t>Fig. 7. Speedup over sequential on the in-memory engine: naive 512 px tiling on all workers vs the planner's choice.</w:t>
      </w:r>
    </w:p>
    <w:p>
      <w:pPr>
        <w:keepNext/>
        <w:spacing w:before="80"/>
        <w:jc w:val="center"/>
      </w:pPr>
      <w:r>
        <w:drawing>
          <wp:inline xmlns:a="http://schemas.openxmlformats.org/drawingml/2006/main" xmlns:pic="http://schemas.openxmlformats.org/drawingml/2006/picture">
            <wp:extent cx="2355601" cy="2103119"/>
            <wp:docPr id="8" name="Picture 8"/>
            <wp:cNvGraphicFramePr>
              <a:graphicFrameLocks noChangeAspect="1"/>
            </wp:cNvGraphicFramePr>
            <a:graphic>
              <a:graphicData uri="http://schemas.openxmlformats.org/drawingml/2006/picture">
                <pic:pic>
                  <pic:nvPicPr>
                    <pic:cNvPr id="0" name="fig_model_accuracy.png"/>
                    <pic:cNvPicPr/>
                  </pic:nvPicPr>
                  <pic:blipFill>
                    <a:blip r:embed="rId16"/>
                    <a:stretch>
                      <a:fillRect/>
                    </a:stretch>
                  </pic:blipFill>
                  <pic:spPr>
                    <a:xfrm>
                      <a:off x="0" y="0"/>
                      <a:ext cx="2355601" cy="2103119"/>
                    </a:xfrm>
                    <a:prstGeom prst="rect"/>
                  </pic:spPr>
                </pic:pic>
              </a:graphicData>
            </a:graphic>
          </wp:inline>
        </w:drawing>
      </w:r>
    </w:p>
    <w:p>
      <w:pPr>
        <w:spacing w:after="120"/>
        <w:jc w:val="both"/>
      </w:pPr>
      <w:r>
        <w:rPr>
          <w:sz w:val="16"/>
        </w:rPr>
        <w:t>Fig. 8. Predicted vs measured time for all benchmarked configurations, refined model (capacity curve, serial dispatch) vs simple linear model.</w:t>
      </w:r>
    </w:p>
    <w:p>
      <w:pPr>
        <w:spacing w:before="0" w:after="0"/>
        <w:ind w:firstLine="204"/>
        <w:jc w:val="both"/>
      </w:pPr>
      <w:r>
        <w:rPr/>
        <w:t>Across 55 engine configurations the refined model has 25.0 % mean absolute percentage error against 40.2 % for the simple model (</w:t>
      </w:r>
      <w:r>
        <w:rPr>
          <w:i/>
        </w:rPr>
        <w:t>T</w:t>
      </w:r>
      <w:r>
        <w:rPr/>
        <w:t xml:space="preserve"> = </w:t>
      </w:r>
      <w:r>
        <w:rPr>
          <w:i/>
        </w:rPr>
        <w:t>c·P</w:t>
      </w:r>
      <w:r>
        <w:rPr/>
        <w:t>/</w:t>
      </w:r>
      <w:r>
        <w:rPr>
          <w:i/>
        </w:rPr>
        <w:t>n</w:t>
      </w:r>
      <w:r>
        <w:rPr/>
        <w:t xml:space="preserve"> + </w:t>
      </w:r>
      <w:r>
        <w:rPr>
          <w:i/>
        </w:rPr>
        <w:t>K·o</w:t>
      </w:r>
      <w:r>
        <w:rPr/>
        <w:t>). The gain is largest for the operations that matter most: HED 10 % vs 27 %, Real-ESRGAN 4 % vs 20 %, bilateral 15 % vs 28 %. Errors remain high (≈ 40 %) for sub-0.2 s jobs, where timing noise dominates; there a wrong choice costs milliseconds.</w:t>
      </w:r>
    </w:p>
    <w:p>
      <w:pPr>
        <w:keepNext/>
        <w:spacing w:before="120"/>
        <w:jc w:val="center"/>
      </w:pPr>
      <w:r>
        <w:rPr>
          <w:sz w:val="15"/>
        </w:rPr>
        <w:t>TABLE VI</w:t>
      </w:r>
    </w:p>
    <w:p>
      <w:pPr>
        <w:keepNext/>
        <w:spacing w:after="60"/>
        <w:jc w:val="center"/>
      </w:pPr>
      <w:r>
        <w:rPr>
          <w:smallCaps/>
          <w:sz w:val="15"/>
        </w:rPr>
        <w:t>Full framework with S3 (8 workers), end-to-end job time</w:t>
      </w:r>
    </w:p>
    <w:tbl>
      <w:tblPr>
        <w:tblW w:type="auto" w:w="0"/>
        <w:jc w:val="center"/>
        <w:tblLook w:firstColumn="1" w:firstRow="1" w:lastColumn="0" w:lastRow="0" w:noHBand="0" w:noVBand="1" w:val="04A0"/>
        <w:tblLayout w:type="fixed"/>
        <w:tblBorders>
          <w:top w:val="single" w:sz="8" w:color="000000"/>
          <w:bottom w:val="single" w:sz="8" w:color="000000"/>
          <w:insideH w:val="nil"/>
          <w:insideV w:val="nil"/>
          <w:left w:val="nil"/>
          <w:right w:val="nil"/>
        </w:tblBorders>
      </w:tblPr>
      <w:tblGrid>
        <w:gridCol w:w="1077"/>
        <w:gridCol w:w="907"/>
        <w:gridCol w:w="964"/>
        <w:gridCol w:w="1474"/>
      </w:tblGrid>
      <w:tr>
        <w:tc>
          <w:tcPr>
            <w:tcW w:type="dxa" w:w="1077"/>
            <w:tcBorders>
              <w:bottom w:val="single" w:sz="4" w:color="000000"/>
            </w:tcBorders>
          </w:tcPr>
          <w:p>
            <w:pPr>
              <w:jc w:val="center"/>
            </w:pPr>
            <w:r/>
            <w:r>
              <w:rPr>
                <w:b/>
                <w:sz w:val="15"/>
              </w:rPr>
              <w:t>Op</w:t>
            </w:r>
          </w:p>
        </w:tc>
        <w:tc>
          <w:tcPr>
            <w:tcW w:type="dxa" w:w="907"/>
            <w:tcBorders>
              <w:bottom w:val="single" w:sz="4" w:color="000000"/>
            </w:tcBorders>
          </w:tcPr>
          <w:p>
            <w:pPr>
              <w:jc w:val="center"/>
            </w:pPr>
            <w:r/>
            <w:r>
              <w:rPr>
                <w:b/>
                <w:sz w:val="15"/>
              </w:rPr>
              <w:t>Naive (s)</w:t>
            </w:r>
          </w:p>
        </w:tc>
        <w:tc>
          <w:tcPr>
            <w:tcW w:type="dxa" w:w="964"/>
            <w:tcBorders>
              <w:bottom w:val="single" w:sz="4" w:color="000000"/>
            </w:tcBorders>
          </w:tcPr>
          <w:p>
            <w:pPr>
              <w:jc w:val="center"/>
            </w:pPr>
            <w:r/>
            <w:r>
              <w:rPr>
                <w:b/>
                <w:sz w:val="15"/>
              </w:rPr>
              <w:t>Planner (s)</w:t>
            </w:r>
          </w:p>
        </w:tc>
        <w:tc>
          <w:tcPr>
            <w:tcW w:type="dxa" w:w="1474"/>
            <w:tcBorders>
              <w:bottom w:val="single" w:sz="4" w:color="000000"/>
            </w:tcBorders>
          </w:tcPr>
          <w:p>
            <w:pPr>
              <w:jc w:val="center"/>
            </w:pPr>
            <w:r/>
            <w:r>
              <w:rPr>
                <w:b/>
                <w:sz w:val="15"/>
              </w:rPr>
              <w:t>Planner plan</w:t>
            </w:r>
          </w:p>
        </w:tc>
      </w:tr>
      <w:tr>
        <w:tc>
          <w:tcPr>
            <w:tcW w:type="dxa" w:w="1077"/>
          </w:tcPr>
          <w:p>
            <w:pPr>
              <w:jc w:val="left"/>
            </w:pPr>
            <w:r/>
            <w:r>
              <w:rPr>
                <w:sz w:val="15"/>
              </w:rPr>
              <w:t>Canny</w:t>
            </w:r>
          </w:p>
        </w:tc>
        <w:tc>
          <w:tcPr>
            <w:tcW w:type="dxa" w:w="907"/>
          </w:tcPr>
          <w:p>
            <w:pPr>
              <w:jc w:val="center"/>
            </w:pPr>
            <w:r/>
            <w:r>
              <w:rPr>
                <w:sz w:val="15"/>
              </w:rPr>
              <w:t>0.70</w:t>
            </w:r>
          </w:p>
        </w:tc>
        <w:tc>
          <w:tcPr>
            <w:tcW w:type="dxa" w:w="964"/>
          </w:tcPr>
          <w:p>
            <w:pPr>
              <w:jc w:val="center"/>
            </w:pPr>
            <w:r/>
            <w:r>
              <w:rPr>
                <w:sz w:val="15"/>
              </w:rPr>
              <w:t>0.61</w:t>
            </w:r>
          </w:p>
        </w:tc>
        <w:tc>
          <w:tcPr>
            <w:tcW w:type="dxa" w:w="1474"/>
          </w:tcPr>
          <w:p>
            <w:pPr>
              <w:jc w:val="center"/>
            </w:pPr>
            <w:r/>
            <w:r>
              <w:rPr>
                <w:sz w:val="15"/>
              </w:rPr>
              <w:t>16 × 1024 px</w:t>
            </w:r>
          </w:p>
        </w:tc>
      </w:tr>
      <w:tr>
        <w:tc>
          <w:tcPr>
            <w:tcW w:type="dxa" w:w="1077"/>
          </w:tcPr>
          <w:p>
            <w:pPr>
              <w:jc w:val="left"/>
            </w:pPr>
            <w:r/>
            <w:r>
              <w:rPr>
                <w:sz w:val="15"/>
              </w:rPr>
              <w:t>Gaussian</w:t>
            </w:r>
          </w:p>
        </w:tc>
        <w:tc>
          <w:tcPr>
            <w:tcW w:type="dxa" w:w="907"/>
          </w:tcPr>
          <w:p>
            <w:pPr>
              <w:jc w:val="center"/>
            </w:pPr>
            <w:r/>
            <w:r>
              <w:rPr>
                <w:sz w:val="15"/>
              </w:rPr>
              <w:t>0.87</w:t>
            </w:r>
          </w:p>
        </w:tc>
        <w:tc>
          <w:tcPr>
            <w:tcW w:type="dxa" w:w="964"/>
          </w:tcPr>
          <w:p>
            <w:pPr>
              <w:jc w:val="center"/>
            </w:pPr>
            <w:r/>
            <w:r>
              <w:rPr>
                <w:sz w:val="15"/>
              </w:rPr>
              <w:t>0.84</w:t>
            </w:r>
          </w:p>
        </w:tc>
        <w:tc>
          <w:tcPr>
            <w:tcW w:type="dxa" w:w="1474"/>
          </w:tcPr>
          <w:p>
            <w:pPr>
              <w:jc w:val="center"/>
            </w:pPr>
            <w:r/>
            <w:r>
              <w:rPr>
                <w:sz w:val="15"/>
              </w:rPr>
              <w:t>16 × 1024 px</w:t>
            </w:r>
          </w:p>
        </w:tc>
      </w:tr>
      <w:tr>
        <w:tc>
          <w:tcPr>
            <w:tcW w:type="dxa" w:w="1077"/>
          </w:tcPr>
          <w:p>
            <w:pPr>
              <w:jc w:val="left"/>
            </w:pPr>
            <w:r/>
            <w:r>
              <w:rPr>
                <w:sz w:val="15"/>
              </w:rPr>
              <w:t>Sobel</w:t>
            </w:r>
          </w:p>
        </w:tc>
        <w:tc>
          <w:tcPr>
            <w:tcW w:type="dxa" w:w="907"/>
          </w:tcPr>
          <w:p>
            <w:pPr>
              <w:jc w:val="center"/>
            </w:pPr>
            <w:r/>
            <w:r>
              <w:rPr>
                <w:sz w:val="15"/>
              </w:rPr>
              <w:t>0.74</w:t>
            </w:r>
          </w:p>
        </w:tc>
        <w:tc>
          <w:tcPr>
            <w:tcW w:type="dxa" w:w="964"/>
          </w:tcPr>
          <w:p>
            <w:pPr>
              <w:jc w:val="center"/>
            </w:pPr>
            <w:r/>
            <w:r>
              <w:rPr>
                <w:sz w:val="15"/>
              </w:rPr>
              <w:t>0.64</w:t>
            </w:r>
          </w:p>
        </w:tc>
        <w:tc>
          <w:tcPr>
            <w:tcW w:type="dxa" w:w="1474"/>
          </w:tcPr>
          <w:p>
            <w:pPr>
              <w:jc w:val="center"/>
            </w:pPr>
            <w:r/>
            <w:r>
              <w:rPr>
                <w:sz w:val="15"/>
              </w:rPr>
              <w:t>16 × 1024 px</w:t>
            </w:r>
          </w:p>
        </w:tc>
      </w:tr>
      <w:tr>
        <w:tc>
          <w:tcPr>
            <w:tcW w:type="dxa" w:w="1077"/>
          </w:tcPr>
          <w:p>
            <w:pPr>
              <w:jc w:val="left"/>
            </w:pPr>
            <w:r/>
            <w:r>
              <w:rPr>
                <w:sz w:val="15"/>
              </w:rPr>
              <w:t>Bilateral</w:t>
            </w:r>
          </w:p>
        </w:tc>
        <w:tc>
          <w:tcPr>
            <w:tcW w:type="dxa" w:w="907"/>
          </w:tcPr>
          <w:p>
            <w:pPr>
              <w:jc w:val="center"/>
            </w:pPr>
            <w:r/>
            <w:r>
              <w:rPr>
                <w:sz w:val="15"/>
              </w:rPr>
              <w:t>1.05</w:t>
            </w:r>
          </w:p>
        </w:tc>
        <w:tc>
          <w:tcPr>
            <w:tcW w:type="dxa" w:w="964"/>
          </w:tcPr>
          <w:p>
            <w:pPr>
              <w:jc w:val="center"/>
            </w:pPr>
            <w:r/>
            <w:r>
              <w:rPr>
                <w:sz w:val="15"/>
              </w:rPr>
              <w:t>0.99</w:t>
            </w:r>
          </w:p>
        </w:tc>
        <w:tc>
          <w:tcPr>
            <w:tcW w:type="dxa" w:w="1474"/>
          </w:tcPr>
          <w:p>
            <w:pPr>
              <w:jc w:val="center"/>
            </w:pPr>
            <w:r/>
            <w:r>
              <w:rPr>
                <w:sz w:val="15"/>
              </w:rPr>
              <w:t>16 × 1024 px</w:t>
            </w:r>
          </w:p>
        </w:tc>
      </w:tr>
      <w:tr>
        <w:tc>
          <w:tcPr>
            <w:tcW w:type="dxa" w:w="1077"/>
          </w:tcPr>
          <w:p>
            <w:pPr>
              <w:jc w:val="left"/>
            </w:pPr>
            <w:r/>
            <w:r>
              <w:rPr>
                <w:sz w:val="15"/>
              </w:rPr>
              <w:t>HED</w:t>
            </w:r>
          </w:p>
        </w:tc>
        <w:tc>
          <w:tcPr>
            <w:tcW w:type="dxa" w:w="907"/>
          </w:tcPr>
          <w:p>
            <w:pPr>
              <w:jc w:val="center"/>
            </w:pPr>
            <w:r/>
            <w:r>
              <w:rPr>
                <w:sz w:val="15"/>
              </w:rPr>
              <w:t>8.55</w:t>
            </w:r>
          </w:p>
        </w:tc>
        <w:tc>
          <w:tcPr>
            <w:tcW w:type="dxa" w:w="964"/>
          </w:tcPr>
          <w:p>
            <w:pPr>
              <w:jc w:val="center"/>
            </w:pPr>
            <w:r/>
            <w:r>
              <w:rPr>
                <w:sz w:val="15"/>
              </w:rPr>
              <w:t>8.43</w:t>
            </w:r>
          </w:p>
        </w:tc>
        <w:tc>
          <w:tcPr>
            <w:tcW w:type="dxa" w:w="1474"/>
          </w:tcPr>
          <w:p>
            <w:pPr>
              <w:jc w:val="center"/>
            </w:pPr>
            <w:r/>
            <w:r>
              <w:rPr>
                <w:sz w:val="15"/>
              </w:rPr>
              <w:t>16 × 512 px</w:t>
            </w:r>
          </w:p>
        </w:tc>
      </w:tr>
      <w:tr>
        <w:tc>
          <w:tcPr>
            <w:tcW w:type="dxa" w:w="1077"/>
          </w:tcPr>
          <w:p>
            <w:pPr>
              <w:jc w:val="left"/>
            </w:pPr>
            <w:r/>
            <w:r>
              <w:rPr>
                <w:sz w:val="15"/>
              </w:rPr>
              <w:t>Real-ESRGAN</w:t>
            </w:r>
          </w:p>
        </w:tc>
        <w:tc>
          <w:tcPr>
            <w:tcW w:type="dxa" w:w="907"/>
          </w:tcPr>
          <w:p>
            <w:pPr>
              <w:jc w:val="center"/>
            </w:pPr>
            <w:r/>
            <w:r>
              <w:rPr>
                <w:sz w:val="15"/>
              </w:rPr>
              <w:t>9.63</w:t>
            </w:r>
          </w:p>
        </w:tc>
        <w:tc>
          <w:tcPr>
            <w:tcW w:type="dxa" w:w="964"/>
          </w:tcPr>
          <w:p>
            <w:pPr>
              <w:jc w:val="center"/>
            </w:pPr>
            <w:r/>
            <w:r>
              <w:rPr>
                <w:sz w:val="15"/>
              </w:rPr>
              <w:t>10.75</w:t>
            </w:r>
          </w:p>
        </w:tc>
        <w:tc>
          <w:tcPr>
            <w:tcW w:type="dxa" w:w="1474"/>
          </w:tcPr>
          <w:p>
            <w:pPr>
              <w:jc w:val="center"/>
            </w:pPr>
            <w:r/>
            <w:r>
              <w:rPr>
                <w:sz w:val="15"/>
              </w:rPr>
              <w:t>4 × 512 px</w:t>
            </w:r>
          </w:p>
        </w:tc>
      </w:tr>
    </w:tbl>
    <w:p>
      <w:pPr>
        <w:spacing w:after="80"/>
      </w:pPr>
    </w:p>
    <w:p>
      <w:pPr>
        <w:spacing w:before="0" w:after="0"/>
        <w:ind w:firstLine="204"/>
        <w:jc w:val="both"/>
      </w:pPr>
      <w:r>
        <w:rPr/>
        <w:t>Through the full framework (HTTP upload, S3, Redis, worker processes) the planner replaces 64 tiles of 512 px with 16 tiles of 1024 px for classical operations, cutting end-to-end time by 4–14 %; for the neural operations it agrees with the naive choice (differences within noise). The cluster model's MAPE is 21.7 %. One honest observation: in-memory Canny on 4096² takes 48 ms, so for cheap operations the whole job is dominated by upload and storage, and the best plan would be to run them in the API process without queuing. We list that under future work.</w:t>
      </w:r>
    </w:p>
    <w:p>
      <w:pPr>
        <w:keepNext/>
        <w:spacing w:before="100" w:after="40"/>
      </w:pPr>
      <w:r>
        <w:rPr>
          <w:i/>
          <w:sz w:val="20"/>
        </w:rPr>
        <w:t>D. Autoscaling: HPA vs KEDA vs Work-Aware</w:t>
      </w:r>
    </w:p>
    <w:p>
      <w:pPr>
        <w:spacing w:before="0" w:after="0"/>
        <w:ind w:firstLine="204"/>
        <w:jc w:val="both"/>
      </w:pPr>
      <w:r>
        <w:rPr/>
        <w:t>The trace (</w:t>
      </w:r>
      <w:r>
        <w:rPr>
          <w:rFonts w:ascii="Courier New" w:hAnsi="Courier New" w:eastAsia="Courier New"/>
          <w:sz w:val="18"/>
        </w:rPr>
        <w:t>scripts/trace_replay.py</w:t>
      </w:r>
      <w:r>
        <w:rPr/>
        <w:t>, seed 7) has 32 jobs in four phases: two bursts of cheap jobs (grayscale, Canny on 4096²) and two bursts of expensive jobs (bilateral 4096², HED 2048²) with exponential inter-arrival times and 15 s pauses between phases. Each scaler replayed it 3 times, interleaved, starting from one idle worker. Table VII reports mean ± standard deviation; the latency target is 30 s.</w:t>
      </w:r>
    </w:p>
    <w:p>
      <w:pPr>
        <w:keepNext/>
        <w:spacing w:before="120"/>
        <w:jc w:val="center"/>
      </w:pPr>
      <w:r>
        <w:rPr>
          <w:sz w:val="15"/>
        </w:rPr>
        <w:t>TABLE VII</w:t>
      </w:r>
    </w:p>
    <w:p>
      <w:pPr>
        <w:keepNext/>
        <w:spacing w:after="60"/>
        <w:jc w:val="center"/>
      </w:pPr>
      <w:r>
        <w:rPr>
          <w:smallCaps/>
          <w:sz w:val="15"/>
        </w:rPr>
        <w:t>Autoscaler comparison on Minikube (mean ± s.d.)</w:t>
      </w:r>
    </w:p>
    <w:tbl>
      <w:tblPr>
        <w:tblW w:type="auto" w:w="0"/>
        <w:jc w:val="center"/>
        <w:tblLook w:firstColumn="1" w:firstRow="1" w:lastColumn="0" w:lastRow="0" w:noHBand="0" w:noVBand="1" w:val="04A0"/>
        <w:tblLayout w:type="fixed"/>
        <w:tblBorders>
          <w:top w:val="single" w:sz="8" w:color="000000"/>
          <w:bottom w:val="single" w:sz="8" w:color="000000"/>
          <w:insideH w:val="nil"/>
          <w:insideV w:val="nil"/>
          <w:left w:val="nil"/>
          <w:right w:val="nil"/>
        </w:tblBorders>
      </w:tblPr>
      <w:tblGrid>
        <w:gridCol w:w="1587"/>
        <w:gridCol w:w="1106"/>
        <w:gridCol w:w="1106"/>
        <w:gridCol w:w="1106"/>
      </w:tblGrid>
      <w:tr>
        <w:tc>
          <w:tcPr>
            <w:tcW w:type="dxa" w:w="1587"/>
            <w:tcBorders>
              <w:bottom w:val="single" w:sz="4" w:color="000000"/>
            </w:tcBorders>
          </w:tcPr>
          <w:p>
            <w:pPr>
              <w:jc w:val="center"/>
            </w:pPr>
            <w:r/>
            <w:r>
              <w:rPr>
                <w:b/>
                <w:sz w:val="15"/>
              </w:rPr>
              <w:t>Metric</w:t>
            </w:r>
          </w:p>
        </w:tc>
        <w:tc>
          <w:tcPr>
            <w:tcW w:type="dxa" w:w="1106"/>
            <w:tcBorders>
              <w:bottom w:val="single" w:sz="4" w:color="000000"/>
            </w:tcBorders>
          </w:tcPr>
          <w:p>
            <w:pPr>
              <w:jc w:val="center"/>
            </w:pPr>
            <w:r/>
            <w:r>
              <w:rPr>
                <w:b/>
                <w:sz w:val="15"/>
              </w:rPr>
              <w:t>HPA</w:t>
            </w:r>
          </w:p>
        </w:tc>
        <w:tc>
          <w:tcPr>
            <w:tcW w:type="dxa" w:w="1106"/>
            <w:tcBorders>
              <w:bottom w:val="single" w:sz="4" w:color="000000"/>
            </w:tcBorders>
          </w:tcPr>
          <w:p>
            <w:pPr>
              <w:jc w:val="center"/>
            </w:pPr>
            <w:r/>
            <w:r>
              <w:rPr>
                <w:b/>
                <w:sz w:val="15"/>
              </w:rPr>
              <w:t>KEDA</w:t>
            </w:r>
          </w:p>
        </w:tc>
        <w:tc>
          <w:tcPr>
            <w:tcW w:type="dxa" w:w="1106"/>
            <w:tcBorders>
              <w:bottom w:val="single" w:sz="4" w:color="000000"/>
            </w:tcBorders>
          </w:tcPr>
          <w:p>
            <w:pPr>
              <w:jc w:val="center"/>
            </w:pPr>
            <w:r/>
            <w:r>
              <w:rPr>
                <w:b/>
                <w:sz w:val="15"/>
              </w:rPr>
              <w:t>Work-aware</w:t>
            </w:r>
          </w:p>
        </w:tc>
      </w:tr>
      <w:tr>
        <w:tc>
          <w:tcPr>
            <w:tcW w:type="dxa" w:w="1587"/>
          </w:tcPr>
          <w:p>
            <w:pPr>
              <w:jc w:val="left"/>
            </w:pPr>
            <w:r/>
            <w:r>
              <w:rPr>
                <w:sz w:val="15"/>
              </w:rPr>
              <w:t>p50 latency (s)</w:t>
            </w:r>
          </w:p>
        </w:tc>
        <w:tc>
          <w:tcPr>
            <w:tcW w:type="dxa" w:w="1106"/>
          </w:tcPr>
          <w:p>
            <w:pPr>
              <w:jc w:val="center"/>
            </w:pPr>
            <w:r/>
            <w:r>
              <w:rPr>
                <w:sz w:val="15"/>
              </w:rPr>
              <w:t>28.2 ± 2.5</w:t>
            </w:r>
          </w:p>
        </w:tc>
        <w:tc>
          <w:tcPr>
            <w:tcW w:type="dxa" w:w="1106"/>
          </w:tcPr>
          <w:p>
            <w:pPr>
              <w:jc w:val="center"/>
            </w:pPr>
            <w:r/>
            <w:r>
              <w:rPr>
                <w:sz w:val="15"/>
              </w:rPr>
              <w:t>2.0 ± 0.1</w:t>
            </w:r>
          </w:p>
        </w:tc>
        <w:tc>
          <w:tcPr>
            <w:tcW w:type="dxa" w:w="1106"/>
          </w:tcPr>
          <w:p>
            <w:pPr>
              <w:jc w:val="center"/>
            </w:pPr>
            <w:r/>
            <w:r>
              <w:rPr>
                <w:sz w:val="15"/>
              </w:rPr>
              <w:t>2.5 ± 0.1</w:t>
            </w:r>
          </w:p>
        </w:tc>
      </w:tr>
      <w:tr>
        <w:tc>
          <w:tcPr>
            <w:tcW w:type="dxa" w:w="1587"/>
          </w:tcPr>
          <w:p>
            <w:pPr>
              <w:jc w:val="left"/>
            </w:pPr>
            <w:r/>
            <w:r>
              <w:rPr>
                <w:sz w:val="15"/>
              </w:rPr>
              <w:t>p95 latency (s)</w:t>
            </w:r>
          </w:p>
        </w:tc>
        <w:tc>
          <w:tcPr>
            <w:tcW w:type="dxa" w:w="1106"/>
          </w:tcPr>
          <w:p>
            <w:pPr>
              <w:jc w:val="center"/>
            </w:pPr>
            <w:r/>
            <w:r>
              <w:rPr>
                <w:sz w:val="15"/>
              </w:rPr>
              <w:t>46.4 ± 4.6</w:t>
            </w:r>
          </w:p>
        </w:tc>
        <w:tc>
          <w:tcPr>
            <w:tcW w:type="dxa" w:w="1106"/>
          </w:tcPr>
          <w:p>
            <w:pPr>
              <w:jc w:val="center"/>
            </w:pPr>
            <w:r/>
            <w:r>
              <w:rPr>
                <w:sz w:val="15"/>
              </w:rPr>
              <w:t>10.6 ± 0.2</w:t>
            </w:r>
          </w:p>
        </w:tc>
        <w:tc>
          <w:tcPr>
            <w:tcW w:type="dxa" w:w="1106"/>
          </w:tcPr>
          <w:p>
            <w:pPr>
              <w:jc w:val="center"/>
            </w:pPr>
            <w:r/>
            <w:r>
              <w:rPr>
                <w:sz w:val="15"/>
              </w:rPr>
              <w:t>12.3 ± 0.3</w:t>
            </w:r>
          </w:p>
        </w:tc>
      </w:tr>
      <w:tr>
        <w:tc>
          <w:tcPr>
            <w:tcW w:type="dxa" w:w="1587"/>
          </w:tcPr>
          <w:p>
            <w:pPr>
              <w:jc w:val="left"/>
            </w:pPr>
            <w:r/>
            <w:r>
              <w:rPr>
                <w:sz w:val="15"/>
              </w:rPr>
              <w:t>Jobs within target (%)</w:t>
            </w:r>
          </w:p>
        </w:tc>
        <w:tc>
          <w:tcPr>
            <w:tcW w:type="dxa" w:w="1106"/>
          </w:tcPr>
          <w:p>
            <w:pPr>
              <w:jc w:val="center"/>
            </w:pPr>
            <w:r/>
            <w:r>
              <w:rPr>
                <w:sz w:val="15"/>
              </w:rPr>
              <w:t>54.2 ± 10.0</w:t>
            </w:r>
          </w:p>
        </w:tc>
        <w:tc>
          <w:tcPr>
            <w:tcW w:type="dxa" w:w="1106"/>
          </w:tcPr>
          <w:p>
            <w:pPr>
              <w:jc w:val="center"/>
            </w:pPr>
            <w:r/>
            <w:r>
              <w:rPr>
                <w:sz w:val="15"/>
              </w:rPr>
              <w:t>100.0 ± 0.0</w:t>
            </w:r>
          </w:p>
        </w:tc>
        <w:tc>
          <w:tcPr>
            <w:tcW w:type="dxa" w:w="1106"/>
          </w:tcPr>
          <w:p>
            <w:pPr>
              <w:jc w:val="center"/>
            </w:pPr>
            <w:r/>
            <w:r>
              <w:rPr>
                <w:sz w:val="15"/>
              </w:rPr>
              <w:t>100.0 ± 0.0</w:t>
            </w:r>
          </w:p>
        </w:tc>
      </w:tr>
      <w:tr>
        <w:tc>
          <w:tcPr>
            <w:tcW w:type="dxa" w:w="1587"/>
          </w:tcPr>
          <w:p>
            <w:pPr>
              <w:jc w:val="left"/>
            </w:pPr>
            <w:r/>
            <w:r>
              <w:rPr>
                <w:sz w:val="15"/>
              </w:rPr>
              <w:t>Worker pod-seconds</w:t>
            </w:r>
          </w:p>
        </w:tc>
        <w:tc>
          <w:tcPr>
            <w:tcW w:type="dxa" w:w="1106"/>
          </w:tcPr>
          <w:p>
            <w:pPr>
              <w:jc w:val="center"/>
            </w:pPr>
            <w:r/>
            <w:r>
              <w:rPr>
                <w:sz w:val="15"/>
              </w:rPr>
              <w:t>320 ± 5</w:t>
            </w:r>
          </w:p>
        </w:tc>
        <w:tc>
          <w:tcPr>
            <w:tcW w:type="dxa" w:w="1106"/>
          </w:tcPr>
          <w:p>
            <w:pPr>
              <w:jc w:val="center"/>
            </w:pPr>
            <w:r/>
            <w:r>
              <w:rPr>
                <w:sz w:val="15"/>
              </w:rPr>
              <w:t>616 ± 47</w:t>
            </w:r>
          </w:p>
        </w:tc>
        <w:tc>
          <w:tcPr>
            <w:tcW w:type="dxa" w:w="1106"/>
          </w:tcPr>
          <w:p>
            <w:pPr>
              <w:jc w:val="center"/>
            </w:pPr>
            <w:r/>
            <w:r>
              <w:rPr>
                <w:sz w:val="15"/>
              </w:rPr>
              <w:t>560 ± 37</w:t>
            </w:r>
          </w:p>
        </w:tc>
      </w:tr>
      <w:tr>
        <w:tc>
          <w:tcPr>
            <w:tcW w:type="dxa" w:w="1587"/>
          </w:tcPr>
          <w:p>
            <w:pPr>
              <w:jc w:val="left"/>
            </w:pPr>
            <w:r/>
            <w:r>
              <w:rPr>
                <w:sz w:val="15"/>
              </w:rPr>
              <w:t>First scale-up (s)</w:t>
            </w:r>
          </w:p>
        </w:tc>
        <w:tc>
          <w:tcPr>
            <w:tcW w:type="dxa" w:w="1106"/>
          </w:tcPr>
          <w:p>
            <w:pPr>
              <w:jc w:val="center"/>
            </w:pPr>
            <w:r/>
            <w:r>
              <w:rPr>
                <w:sz w:val="15"/>
              </w:rPr>
              <w:t>93.7 ± 15.0</w:t>
            </w:r>
          </w:p>
        </w:tc>
        <w:tc>
          <w:tcPr>
            <w:tcW w:type="dxa" w:w="1106"/>
          </w:tcPr>
          <w:p>
            <w:pPr>
              <w:jc w:val="center"/>
            </w:pPr>
            <w:r/>
            <w:r>
              <w:rPr>
                <w:sz w:val="15"/>
              </w:rPr>
              <w:t>3.7 ± 0.0</w:t>
            </w:r>
          </w:p>
        </w:tc>
        <w:tc>
          <w:tcPr>
            <w:tcW w:type="dxa" w:w="1106"/>
          </w:tcPr>
          <w:p>
            <w:pPr>
              <w:jc w:val="center"/>
            </w:pPr>
            <w:r/>
            <w:r>
              <w:rPr>
                <w:sz w:val="15"/>
              </w:rPr>
              <w:t>33.8 ± 0.1</w:t>
            </w:r>
          </w:p>
        </w:tc>
      </w:tr>
      <w:tr>
        <w:tc>
          <w:tcPr>
            <w:tcW w:type="dxa" w:w="1587"/>
          </w:tcPr>
          <w:p>
            <w:pPr>
              <w:jc w:val="left"/>
            </w:pPr>
            <w:r/>
            <w:r>
              <w:rPr>
                <w:sz w:val="15"/>
              </w:rPr>
              <w:t>Scaling events</w:t>
            </w:r>
          </w:p>
        </w:tc>
        <w:tc>
          <w:tcPr>
            <w:tcW w:type="dxa" w:w="1106"/>
          </w:tcPr>
          <w:p>
            <w:pPr>
              <w:jc w:val="center"/>
            </w:pPr>
            <w:r/>
            <w:r>
              <w:rPr>
                <w:sz w:val="15"/>
              </w:rPr>
              <w:t>1.3 ± 0.6</w:t>
            </w:r>
          </w:p>
        </w:tc>
        <w:tc>
          <w:tcPr>
            <w:tcW w:type="dxa" w:w="1106"/>
          </w:tcPr>
          <w:p>
            <w:pPr>
              <w:jc w:val="center"/>
            </w:pPr>
            <w:r/>
            <w:r>
              <w:rPr>
                <w:sz w:val="15"/>
              </w:rPr>
              <w:t>6.0 ± 1.0</w:t>
            </w:r>
          </w:p>
        </w:tc>
        <w:tc>
          <w:tcPr>
            <w:tcW w:type="dxa" w:w="1106"/>
          </w:tcPr>
          <w:p>
            <w:pPr>
              <w:jc w:val="center"/>
            </w:pPr>
            <w:r/>
            <w:r>
              <w:rPr>
                <w:sz w:val="15"/>
              </w:rPr>
              <w:t>6.0 ± 0.0</w:t>
            </w:r>
          </w:p>
        </w:tc>
      </w:tr>
    </w:tbl>
    <w:p>
      <w:pPr>
        <w:spacing w:after="80"/>
      </w:pPr>
    </w:p>
    <w:p>
      <w:pPr>
        <w:sectPr>
          <w:type w:val="continuous"/>
          <w:pgSz w:w="11906" w:h="16838"/>
          <w:pgMar w:top="1077" w:right="890" w:bottom="1440" w:left="890" w:header="720" w:footer="720" w:gutter="0"/>
          <w:cols w:space="238" w:num="2"/>
          <w:docGrid w:linePitch="360"/>
        </w:sectPr>
      </w:pPr>
    </w:p>
    <w:p>
      <w:pPr>
        <w:keepNext/>
        <w:spacing w:before="80"/>
        <w:jc w:val="center"/>
      </w:pPr>
      <w:r>
        <w:drawing>
          <wp:inline xmlns:a="http://schemas.openxmlformats.org/drawingml/2006/main" xmlns:pic="http://schemas.openxmlformats.org/drawingml/2006/picture">
            <wp:extent cx="4204000" cy="2926080"/>
            <wp:docPr id="9" name="Picture 9"/>
            <wp:cNvGraphicFramePr>
              <a:graphicFrameLocks noChangeAspect="1"/>
            </wp:cNvGraphicFramePr>
            <a:graphic>
              <a:graphicData uri="http://schemas.openxmlformats.org/drawingml/2006/picture">
                <pic:pic>
                  <pic:nvPicPr>
                    <pic:cNvPr id="0" name="fig_autoscale.png"/>
                    <pic:cNvPicPr/>
                  </pic:nvPicPr>
                  <pic:blipFill>
                    <a:blip r:embed="rId17"/>
                    <a:stretch>
                      <a:fillRect/>
                    </a:stretch>
                  </pic:blipFill>
                  <pic:spPr>
                    <a:xfrm>
                      <a:off x="0" y="0"/>
                      <a:ext cx="4204000" cy="2926080"/>
                    </a:xfrm>
                    <a:prstGeom prst="rect"/>
                  </pic:spPr>
                </pic:pic>
              </a:graphicData>
            </a:graphic>
          </wp:inline>
        </w:drawing>
      </w:r>
    </w:p>
    <w:p>
      <w:pPr>
        <w:spacing w:after="120"/>
        <w:jc w:val="both"/>
      </w:pPr>
      <w:r>
        <w:rPr>
          <w:sz w:val="16"/>
        </w:rPr>
        <w:t>Fig. 9. Replica count (line) and queued work-seconds (shaded) during one run of each scaler; ticks mark job arrivals (red = expensive).</w:t>
      </w:r>
    </w:p>
    <w:p>
      <w:pPr>
        <w:sectPr>
          <w:type w:val="continuous"/>
          <w:pgSz w:w="11906" w:h="16838"/>
          <w:pgMar w:top="1077" w:right="890" w:bottom="1440" w:left="890" w:header="720" w:footer="720" w:gutter="0"/>
          <w:cols w:space="238" w:num="1"/>
          <w:docGrid w:linePitch="360"/>
        </w:sectPr>
      </w:pPr>
    </w:p>
    <w:p>
      <w:pPr>
        <w:spacing w:before="0" w:after="0"/>
        <w:ind w:firstLine="204"/>
        <w:jc w:val="both"/>
      </w:pPr>
      <w:r>
        <w:rPr>
          <w:b/>
        </w:rPr>
        <w:t>HPA</w:t>
      </w:r>
      <w:r>
        <w:rPr/>
        <w:t xml:space="preserve"> is the cheapest (320 pod-s) but misses the target: only 54 % of jobs finish within 30 s and p95 latency is 46 s. CPU utilisation is averaged over a metrics window and the worker request is large, so its first scale-up came 94 s after the first arrival, by which time the expensive burst was mostly over.</w:t>
      </w:r>
    </w:p>
    <w:p>
      <w:pPr>
        <w:spacing w:before="0" w:after="0"/>
        <w:ind w:firstLine="204"/>
        <w:jc w:val="both"/>
      </w:pPr>
      <w:r>
        <w:rPr>
          <w:b/>
        </w:rPr>
        <w:t>KEDA</w:t>
      </w:r>
      <w:r>
        <w:rPr/>
        <w:t xml:space="preserve"> and the </w:t>
      </w:r>
      <w:r>
        <w:rPr>
          <w:b/>
        </w:rPr>
        <w:t>work-aware</w:t>
      </w:r>
      <w:r>
        <w:rPr/>
        <w:t xml:space="preserve"> scaler both met the target for every job. KEDA had the lower p95 (10.6 s vs 12.3 s); the work-aware scaler used 9 % fewer worker pod-seconds (560 vs 616). The replica traces show why: KEDA scales up within 4 s of the </w:t>
      </w:r>
      <w:r>
        <w:rPr>
          <w:i/>
        </w:rPr>
        <w:t>cheap</w:t>
      </w:r>
      <w:r>
        <w:rPr/>
        <w:t xml:space="preserve"> bursts, because 10 grayscale/Canny jobs queue hundreds of tiles, although those jobs finish in about two seconds on one worker. The work-aware scaler sees only a few seconds of queued work there and stays at one replica; its first scale-up (34 s) is the start of the expensive burst, which it meets with 5–7 workers.</w:t>
      </w:r>
    </w:p>
    <w:p>
      <w:pPr>
        <w:spacing w:before="0" w:after="0"/>
        <w:ind w:firstLine="204"/>
        <w:jc w:val="both"/>
      </w:pPr>
      <w:r>
        <w:rPr/>
        <w:t>The work-aware scaler is not optimal yet. After the queue drains it keeps its peak replica count for about 20 s more, because the arrival-rate term λ is an EMA that decays slowly and the 30 s scale-down delay starts only after demand falls; most of its remaining pod-seconds are spent there. A faster decay of λ, or scaling down in steps, is the obvious next improvement. With one trace on one host the differences between KEDA and the work-aware scaler are modest; the clear result is that scaling on work avoids reacting to cheap tile counts while still meeting the latency target.</w:t>
      </w:r>
    </w:p>
    <w:p>
      <w:pPr>
        <w:keepNext/>
        <w:spacing w:before="100" w:after="40"/>
      </w:pPr>
      <w:r>
        <w:rPr>
          <w:i/>
          <w:sz w:val="20"/>
        </w:rPr>
        <w:t>E. Correctness and Testing</w:t>
      </w:r>
    </w:p>
    <w:p>
      <w:pPr>
        <w:spacing w:before="0" w:after="0"/>
        <w:ind w:firstLine="204"/>
        <w:jc w:val="both"/>
      </w:pPr>
      <w:r>
        <w:rPr/>
        <w:t>The test suite has 42 tests (all pass): tiling and exact reconstruction for every classical operation, the reliable queue (claim, duplicate completion, lease expiry, retries), end-to-end HTTP runs including a crashed worker, and 16 new tests for the upgrades: S3-mode jobs keep pixels out of Redis, proxy and redirect delivery, queue-depth back-pressure, crash recovery in S3 mode, stride-aligned halos, scale-aware stitching, streamed TIFF equal to in-memory output, HED tiled vs whole (PSNR), Real-ESRGAN end to end, planner decisions, the online cost EMA, exact work-seconds accounting with retries and duplicates, and the work-aware replica rule. Fault tolerance from v1 still holds: a worker killed mid-job on Kubernetes was replaced and its leased tiles were re-run without loss.</w:t>
      </w:r>
    </w:p>
    <w:p>
      <w:pPr>
        <w:keepNext/>
        <w:spacing w:before="160" w:after="80"/>
        <w:jc w:val="center"/>
      </w:pPr>
      <w:r>
        <w:rPr>
          <w:smallCaps/>
          <w:sz w:val="20"/>
        </w:rPr>
        <w:t>XI. Baseline Behaviour of v1</w:t>
      </w:r>
    </w:p>
    <w:p>
      <w:pPr>
        <w:keepNext/>
        <w:spacing w:before="80"/>
        <w:jc w:val="center"/>
      </w:pPr>
      <w:r>
        <w:drawing>
          <wp:inline xmlns:a="http://schemas.openxmlformats.org/drawingml/2006/main" xmlns:pic="http://schemas.openxmlformats.org/drawingml/2006/picture">
            <wp:extent cx="2943141" cy="1828800"/>
            <wp:docPr id="10" name="Picture 10"/>
            <wp:cNvGraphicFramePr>
              <a:graphicFrameLocks noChangeAspect="1"/>
            </wp:cNvGraphicFramePr>
            <a:graphic>
              <a:graphicData uri="http://schemas.openxmlformats.org/drawingml/2006/picture">
                <pic:pic>
                  <pic:nvPicPr>
                    <pic:cNvPr id="0" name="fig_motivation.png"/>
                    <pic:cNvPicPr/>
                  </pic:nvPicPr>
                  <pic:blipFill>
                    <a:blip r:embed="rId18"/>
                    <a:stretch>
                      <a:fillRect/>
                    </a:stretch>
                  </pic:blipFill>
                  <pic:spPr>
                    <a:xfrm>
                      <a:off x="0" y="0"/>
                      <a:ext cx="2943141" cy="1828800"/>
                    </a:xfrm>
                    <a:prstGeom prst="rect"/>
                  </pic:spPr>
                </pic:pic>
              </a:graphicData>
            </a:graphic>
          </wp:inline>
        </w:drawing>
      </w:r>
    </w:p>
    <w:p>
      <w:pPr>
        <w:spacing w:after="120"/>
        <w:jc w:val="both"/>
      </w:pPr>
      <w:r>
        <w:rPr>
          <w:sz w:val="16"/>
        </w:rPr>
        <w:t>Fig. 10. v1 measurements that motivated the upgrades: only the CPU-heavy bilateral filter benefited from distribution.</w:t>
      </w:r>
    </w:p>
    <w:p>
      <w:pPr>
        <w:spacing w:before="0" w:after="0"/>
        <w:ind w:firstLine="204"/>
        <w:jc w:val="both"/>
      </w:pPr>
      <w:r>
        <w:rPr/>
        <w:t>For reference, v1 on an 8192² image reached 4.04× (8 workers) and 4.19× (16) for bilateral on the parallel engine, and 1.40× end to end through the framework, bounded by serial upload and aggregation (Amdahl's law [15]); Canny [16] and Gaussian blur were slower when distributed. The upgrades keep these guarantees and remove the four limits listed in Sec. I-B.</w:t>
      </w:r>
    </w:p>
    <w:p>
      <w:pPr>
        <w:keepNext/>
        <w:spacing w:before="160" w:after="80"/>
        <w:jc w:val="center"/>
      </w:pPr>
      <w:r>
        <w:rPr>
          <w:smallCaps/>
          <w:sz w:val="20"/>
        </w:rPr>
        <w:t>XII. Deployment and Mapping to AWS</w:t>
      </w:r>
    </w:p>
    <w:p>
      <w:pPr>
        <w:spacing w:before="0" w:after="0"/>
        <w:ind w:firstLine="204"/>
        <w:jc w:val="both"/>
      </w:pPr>
      <w:r>
        <w:rPr>
          <w:rFonts w:ascii="Courier New" w:hAnsi="Courier New" w:eastAsia="Courier New"/>
          <w:sz w:val="18"/>
        </w:rPr>
        <w:t>k8s/</w:t>
      </w:r>
      <w:r>
        <w:rPr/>
        <w:t xml:space="preserve"> contains the namespace, ConfigMap and Secret, Redis (256 MB, no persistence: it holds control data only), MinIO (NodePort 30900 for presigned downloads), the API (NodePort 30080), the worker Deployment (2 GiB limit for the neural models) and the autoscaler with RBAC limited to scaling the worker Deployment. </w:t>
      </w:r>
      <w:r>
        <w:rPr>
          <w:rFonts w:ascii="Courier New" w:hAnsi="Courier New" w:eastAsia="Courier New"/>
          <w:sz w:val="18"/>
        </w:rPr>
        <w:t>k8s/optional/</w:t>
      </w:r>
      <w:r>
        <w:rPr/>
        <w:t xml:space="preserve"> holds the HPA and KEDA baselines. Docker Compose runs the same stack locally.</w:t>
      </w:r>
    </w:p>
    <w:p>
      <w:pPr>
        <w:keepNext/>
        <w:spacing w:before="120"/>
        <w:jc w:val="center"/>
      </w:pPr>
      <w:r>
        <w:rPr>
          <w:sz w:val="15"/>
        </w:rPr>
        <w:t>TABLE VIII</w:t>
      </w:r>
    </w:p>
    <w:p>
      <w:pPr>
        <w:keepNext/>
        <w:spacing w:after="60"/>
        <w:jc w:val="center"/>
      </w:pPr>
      <w:r>
        <w:rPr>
          <w:smallCaps/>
          <w:sz w:val="15"/>
        </w:rPr>
        <w:t>Local deployment and AWS equivalents</w:t>
      </w:r>
    </w:p>
    <w:tbl>
      <w:tblPr>
        <w:tblW w:type="auto" w:w="0"/>
        <w:jc w:val="center"/>
        <w:tblLook w:firstColumn="1" w:firstRow="1" w:lastColumn="0" w:lastRow="0" w:noHBand="0" w:noVBand="1" w:val="04A0"/>
        <w:tblLayout w:type="fixed"/>
        <w:tblBorders>
          <w:top w:val="single" w:sz="8" w:color="000000"/>
          <w:bottom w:val="single" w:sz="8" w:color="000000"/>
          <w:insideH w:val="nil"/>
          <w:insideV w:val="nil"/>
          <w:left w:val="nil"/>
          <w:right w:val="nil"/>
        </w:tblBorders>
      </w:tblPr>
      <w:tblGrid>
        <w:gridCol w:w="1247"/>
        <w:gridCol w:w="1644"/>
        <w:gridCol w:w="1984"/>
      </w:tblGrid>
      <w:tr>
        <w:tc>
          <w:tcPr>
            <w:tcW w:type="dxa" w:w="1247"/>
            <w:tcBorders>
              <w:bottom w:val="single" w:sz="4" w:color="000000"/>
            </w:tcBorders>
          </w:tcPr>
          <w:p>
            <w:pPr>
              <w:jc w:val="center"/>
            </w:pPr>
            <w:r/>
            <w:r>
              <w:rPr>
                <w:b/>
                <w:sz w:val="15"/>
              </w:rPr>
              <w:t>Component</w:t>
            </w:r>
          </w:p>
        </w:tc>
        <w:tc>
          <w:tcPr>
            <w:tcW w:type="dxa" w:w="1644"/>
            <w:tcBorders>
              <w:bottom w:val="single" w:sz="4" w:color="000000"/>
            </w:tcBorders>
          </w:tcPr>
          <w:p>
            <w:pPr>
              <w:jc w:val="center"/>
            </w:pPr>
            <w:r/>
            <w:r>
              <w:rPr>
                <w:b/>
                <w:sz w:val="15"/>
              </w:rPr>
              <w:t>Minikube</w:t>
            </w:r>
          </w:p>
        </w:tc>
        <w:tc>
          <w:tcPr>
            <w:tcW w:type="dxa" w:w="1984"/>
            <w:tcBorders>
              <w:bottom w:val="single" w:sz="4" w:color="000000"/>
            </w:tcBorders>
          </w:tcPr>
          <w:p>
            <w:pPr>
              <w:jc w:val="center"/>
            </w:pPr>
            <w:r/>
            <w:r>
              <w:rPr>
                <w:b/>
                <w:sz w:val="15"/>
              </w:rPr>
              <w:t>AWS</w:t>
            </w:r>
          </w:p>
        </w:tc>
      </w:tr>
      <w:tr>
        <w:tc>
          <w:tcPr>
            <w:tcW w:type="dxa" w:w="1247"/>
          </w:tcPr>
          <w:p>
            <w:pPr>
              <w:jc w:val="left"/>
            </w:pPr>
            <w:r/>
            <w:r>
              <w:rPr>
                <w:sz w:val="15"/>
              </w:rPr>
              <w:t>Object store</w:t>
            </w:r>
          </w:p>
        </w:tc>
        <w:tc>
          <w:tcPr>
            <w:tcW w:type="dxa" w:w="1644"/>
          </w:tcPr>
          <w:p>
            <w:pPr>
              <w:jc w:val="center"/>
            </w:pPr>
            <w:r/>
            <w:r>
              <w:rPr>
                <w:sz w:val="15"/>
              </w:rPr>
              <w:t>MinIO</w:t>
            </w:r>
          </w:p>
        </w:tc>
        <w:tc>
          <w:tcPr>
            <w:tcW w:type="dxa" w:w="1984"/>
          </w:tcPr>
          <w:p>
            <w:pPr>
              <w:jc w:val="center"/>
            </w:pPr>
            <w:r/>
            <w:r>
              <w:rPr>
                <w:sz w:val="15"/>
              </w:rPr>
              <w:t>Amazon S3 (SSE-KMS, lifecycle)</w:t>
            </w:r>
          </w:p>
        </w:tc>
      </w:tr>
      <w:tr>
        <w:tc>
          <w:tcPr>
            <w:tcW w:type="dxa" w:w="1247"/>
          </w:tcPr>
          <w:p>
            <w:pPr>
              <w:jc w:val="left"/>
            </w:pPr>
            <w:r/>
            <w:r>
              <w:rPr>
                <w:sz w:val="15"/>
              </w:rPr>
              <w:t>Queue / state</w:t>
            </w:r>
          </w:p>
        </w:tc>
        <w:tc>
          <w:tcPr>
            <w:tcW w:type="dxa" w:w="1644"/>
          </w:tcPr>
          <w:p>
            <w:pPr>
              <w:jc w:val="center"/>
            </w:pPr>
            <w:r/>
            <w:r>
              <w:rPr>
                <w:sz w:val="15"/>
              </w:rPr>
              <w:t>Redis Deployment</w:t>
            </w:r>
          </w:p>
        </w:tc>
        <w:tc>
          <w:tcPr>
            <w:tcW w:type="dxa" w:w="1984"/>
          </w:tcPr>
          <w:p>
            <w:pPr>
              <w:jc w:val="center"/>
            </w:pPr>
            <w:r/>
            <w:r>
              <w:rPr>
                <w:sz w:val="15"/>
              </w:rPr>
              <w:t>ElastiCache for Redis</w:t>
            </w:r>
          </w:p>
        </w:tc>
      </w:tr>
      <w:tr>
        <w:tc>
          <w:tcPr>
            <w:tcW w:type="dxa" w:w="1247"/>
          </w:tcPr>
          <w:p>
            <w:pPr>
              <w:jc w:val="left"/>
            </w:pPr>
            <w:r/>
            <w:r>
              <w:rPr>
                <w:sz w:val="15"/>
              </w:rPr>
              <w:t>Orchestration</w:t>
            </w:r>
          </w:p>
        </w:tc>
        <w:tc>
          <w:tcPr>
            <w:tcW w:type="dxa" w:w="1644"/>
          </w:tcPr>
          <w:p>
            <w:pPr>
              <w:jc w:val="center"/>
            </w:pPr>
            <w:r/>
            <w:r>
              <w:rPr>
                <w:sz w:val="15"/>
              </w:rPr>
              <w:t>Minikube</w:t>
            </w:r>
          </w:p>
        </w:tc>
        <w:tc>
          <w:tcPr>
            <w:tcW w:type="dxa" w:w="1984"/>
          </w:tcPr>
          <w:p>
            <w:pPr>
              <w:jc w:val="center"/>
            </w:pPr>
            <w:r/>
            <w:r>
              <w:rPr>
                <w:sz w:val="15"/>
              </w:rPr>
              <w:t>Amazon EKS</w:t>
            </w:r>
          </w:p>
        </w:tc>
      </w:tr>
      <w:tr>
        <w:tc>
          <w:tcPr>
            <w:tcW w:type="dxa" w:w="1247"/>
          </w:tcPr>
          <w:p>
            <w:pPr>
              <w:jc w:val="left"/>
            </w:pPr>
            <w:r/>
            <w:r>
              <w:rPr>
                <w:sz w:val="15"/>
              </w:rPr>
              <w:t>Pod scaling</w:t>
            </w:r>
          </w:p>
        </w:tc>
        <w:tc>
          <w:tcPr>
            <w:tcW w:type="dxa" w:w="1644"/>
          </w:tcPr>
          <w:p>
            <w:pPr>
              <w:jc w:val="center"/>
            </w:pPr>
            <w:r/>
            <w:r>
              <w:rPr>
                <w:sz w:val="15"/>
              </w:rPr>
              <w:t>Work-aware / HPA / KEDA</w:t>
            </w:r>
          </w:p>
        </w:tc>
        <w:tc>
          <w:tcPr>
            <w:tcW w:type="dxa" w:w="1984"/>
          </w:tcPr>
          <w:p>
            <w:pPr>
              <w:jc w:val="center"/>
            </w:pPr>
            <w:r/>
            <w:r>
              <w:rPr>
                <w:sz w:val="15"/>
              </w:rPr>
              <w:t>Same, + Karpenter for nodes</w:t>
            </w:r>
          </w:p>
        </w:tc>
      </w:tr>
      <w:tr>
        <w:tc>
          <w:tcPr>
            <w:tcW w:type="dxa" w:w="1247"/>
          </w:tcPr>
          <w:p>
            <w:pPr>
              <w:jc w:val="left"/>
            </w:pPr>
            <w:r/>
            <w:r>
              <w:rPr>
                <w:sz w:val="15"/>
              </w:rPr>
              <w:t>Credentials</w:t>
            </w:r>
          </w:p>
        </w:tc>
        <w:tc>
          <w:tcPr>
            <w:tcW w:type="dxa" w:w="1644"/>
          </w:tcPr>
          <w:p>
            <w:pPr>
              <w:jc w:val="center"/>
            </w:pPr>
            <w:r/>
            <w:r>
              <w:rPr>
                <w:sz w:val="15"/>
              </w:rPr>
              <w:t>Kubernetes Secret</w:t>
            </w:r>
          </w:p>
        </w:tc>
        <w:tc>
          <w:tcPr>
            <w:tcW w:type="dxa" w:w="1984"/>
          </w:tcPr>
          <w:p>
            <w:pPr>
              <w:jc w:val="center"/>
            </w:pPr>
            <w:r/>
            <w:r>
              <w:rPr>
                <w:sz w:val="15"/>
              </w:rPr>
              <w:t>IRSA roles per service account</w:t>
            </w:r>
          </w:p>
        </w:tc>
      </w:tr>
      <w:tr>
        <w:tc>
          <w:tcPr>
            <w:tcW w:type="dxa" w:w="1247"/>
          </w:tcPr>
          <w:p>
            <w:pPr>
              <w:jc w:val="left"/>
            </w:pPr>
            <w:r/>
            <w:r>
              <w:rPr>
                <w:sz w:val="15"/>
              </w:rPr>
              <w:t>Ingress</w:t>
            </w:r>
          </w:p>
        </w:tc>
        <w:tc>
          <w:tcPr>
            <w:tcW w:type="dxa" w:w="1644"/>
          </w:tcPr>
          <w:p>
            <w:pPr>
              <w:jc w:val="center"/>
            </w:pPr>
            <w:r/>
            <w:r>
              <w:rPr>
                <w:sz w:val="15"/>
              </w:rPr>
              <w:t>NodePort</w:t>
            </w:r>
          </w:p>
        </w:tc>
        <w:tc>
          <w:tcPr>
            <w:tcW w:type="dxa" w:w="1984"/>
          </w:tcPr>
          <w:p>
            <w:pPr>
              <w:jc w:val="center"/>
            </w:pPr>
            <w:r/>
            <w:r>
              <w:rPr>
                <w:sz w:val="15"/>
              </w:rPr>
              <w:t>ALB (Load Balancer Controller)</w:t>
            </w:r>
          </w:p>
        </w:tc>
      </w:tr>
      <w:tr>
        <w:tc>
          <w:tcPr>
            <w:tcW w:type="dxa" w:w="1247"/>
          </w:tcPr>
          <w:p>
            <w:pPr>
              <w:jc w:val="left"/>
            </w:pPr>
            <w:r/>
            <w:r>
              <w:rPr>
                <w:sz w:val="15"/>
              </w:rPr>
              <w:t>Images</w:t>
            </w:r>
          </w:p>
        </w:tc>
        <w:tc>
          <w:tcPr>
            <w:tcW w:type="dxa" w:w="1644"/>
          </w:tcPr>
          <w:p>
            <w:pPr>
              <w:jc w:val="center"/>
            </w:pPr>
            <w:r/>
            <w:r>
              <w:rPr>
                <w:sz w:val="15"/>
              </w:rPr>
              <w:t>Minikube Docker</w:t>
            </w:r>
          </w:p>
        </w:tc>
        <w:tc>
          <w:tcPr>
            <w:tcW w:type="dxa" w:w="1984"/>
          </w:tcPr>
          <w:p>
            <w:pPr>
              <w:jc w:val="center"/>
            </w:pPr>
            <w:r/>
            <w:r>
              <w:rPr>
                <w:sz w:val="15"/>
              </w:rPr>
              <w:t>Amazon ECR</w:t>
            </w:r>
          </w:p>
        </w:tc>
      </w:tr>
    </w:tbl>
    <w:p>
      <w:pPr>
        <w:spacing w:after="80"/>
      </w:pPr>
    </w:p>
    <w:p>
      <w:pPr>
        <w:keepNext/>
        <w:spacing w:before="160" w:after="80"/>
        <w:jc w:val="center"/>
      </w:pPr>
      <w:r>
        <w:rPr>
          <w:smallCaps/>
          <w:sz w:val="20"/>
        </w:rPr>
        <w:t>XIII. Limitations and Future Work</w:t>
      </w:r>
    </w:p>
    <w:p>
      <w:pPr>
        <w:tabs>
          <w:tab w:pos="283" w:val="left"/>
        </w:tabs>
        <w:spacing w:after="20"/>
        <w:ind w:left="283" w:hanging="170"/>
        <w:jc w:val="both"/>
      </w:pPr>
      <w:r>
        <w:rPr/>
        <w:t>•</w:t>
        <w:tab/>
      </w:r>
      <w:r>
        <w:rPr>
          <w:b/>
        </w:rPr>
        <w:t>Single host.</w:t>
      </w:r>
      <w:r>
        <w:rPr/>
        <w:t xml:space="preserve"> All workers share one CPU and memory bus, which caps neural speedup at ≈ 2–2.5×. A multi-node EKS run would test the capacity model on real network and storage latencies.</w:t>
      </w:r>
    </w:p>
    <w:p>
      <w:pPr>
        <w:tabs>
          <w:tab w:pos="283" w:val="left"/>
        </w:tabs>
        <w:spacing w:after="20"/>
        <w:ind w:left="283" w:hanging="170"/>
        <w:jc w:val="both"/>
      </w:pPr>
      <w:r>
        <w:rPr/>
        <w:t>•</w:t>
        <w:tab/>
      </w:r>
      <w:r>
        <w:rPr>
          <w:b/>
        </w:rPr>
        <w:t>AWS not exercised.</w:t>
      </w:r>
      <w:r>
        <w:rPr/>
        <w:t xml:space="preserve"> The S3, IAM, KMS and IRSA templates are complete but were not deployed; MinIO stood in for S3.</w:t>
      </w:r>
    </w:p>
    <w:p>
      <w:pPr>
        <w:tabs>
          <w:tab w:pos="283" w:val="left"/>
        </w:tabs>
        <w:spacing w:after="20"/>
        <w:ind w:left="283" w:hanging="170"/>
        <w:jc w:val="both"/>
      </w:pPr>
      <w:r>
        <w:rPr/>
        <w:t>•</w:t>
        <w:tab/>
      </w:r>
      <w:r>
        <w:rPr>
          <w:b/>
        </w:rPr>
        <w:t>Cheap operations on the cluster.</w:t>
      </w:r>
      <w:r>
        <w:rPr/>
        <w:t xml:space="preserve"> They should run in-process at the API (or on a GPU) instead of through the queue; the planner already predicts when this wins.</w:t>
      </w:r>
    </w:p>
    <w:p>
      <w:pPr>
        <w:tabs>
          <w:tab w:pos="283" w:val="left"/>
        </w:tabs>
        <w:spacing w:after="20"/>
        <w:ind w:left="283" w:hanging="170"/>
        <w:jc w:val="both"/>
      </w:pPr>
      <w:r>
        <w:rPr/>
        <w:t>•</w:t>
        <w:tab/>
      </w:r>
      <w:r>
        <w:rPr>
          <w:b/>
        </w:rPr>
        <w:t>Model error.</w:t>
      </w:r>
      <w:r>
        <w:rPr/>
        <w:t xml:space="preserve"> 20–25 % MAPE is useful for decisions but not for SLAs; per-host calibration and a memory-bandwidth term would help.</w:t>
      </w:r>
    </w:p>
    <w:p>
      <w:pPr>
        <w:tabs>
          <w:tab w:pos="283" w:val="left"/>
        </w:tabs>
        <w:spacing w:after="20"/>
        <w:ind w:left="283" w:hanging="170"/>
        <w:jc w:val="both"/>
      </w:pPr>
      <w:r>
        <w:rPr/>
        <w:t>•</w:t>
        <w:tab/>
      </w:r>
      <w:r>
        <w:rPr>
          <w:b/>
        </w:rPr>
        <w:t>Not implemented from the plan's optional extras:</w:t>
      </w:r>
      <w:r>
        <w:rPr/>
        <w:t xml:space="preserve"> GPU workers, spot/pre-emptible node pools, Cloud-Optimised GeoTIFF range reads with a deep-zoom viewer, and learned (not analytical) cost models.</w:t>
      </w:r>
    </w:p>
    <w:p>
      <w:pPr>
        <w:keepNext/>
        <w:spacing w:before="160" w:after="80"/>
        <w:jc w:val="center"/>
      </w:pPr>
      <w:r>
        <w:rPr>
          <w:smallCaps/>
          <w:sz w:val="20"/>
        </w:rPr>
        <w:t>XIV. Conclusion</w:t>
      </w:r>
    </w:p>
    <w:p>
      <w:pPr>
        <w:spacing w:before="0" w:after="0"/>
        <w:ind w:firstLine="204"/>
        <w:jc w:val="both"/>
      </w:pPr>
      <w:r>
        <w:rPr/>
        <w:t xml:space="preserve">The upgrades turn a working tile-parallel framework into one that knows the cost of what it runs. Moving bytes to object storage removed the memory ceiling at the cost of a few milliseconds per tile; calibrated halos made deep-learning operations seam-free at a fraction of the theoretical overhead; a calibrated model lets the planner avoid the slowdowns of naive distribution and the contention region of memory-bound models; and scaling on queued work instead of queue length lets the pool react to what the queue actually costs. The main lesson is that on a cloud platform the decision </w:t>
      </w:r>
      <w:r>
        <w:rPr>
          <w:i/>
        </w:rPr>
        <w:t>whether</w:t>
      </w:r>
      <w:r>
        <w:rPr/>
        <w:t xml:space="preserve"> and </w:t>
      </w:r>
      <w:r>
        <w:rPr>
          <w:i/>
        </w:rPr>
        <w:t>how finely</w:t>
      </w:r>
      <w:r>
        <w:rPr/>
        <w:t xml:space="preserve"> to distribute matters as much as the parallel machinery itself.</w:t>
      </w:r>
    </w:p>
    <w:p>
      <w:pPr>
        <w:keepNext/>
        <w:spacing w:before="160" w:after="80"/>
        <w:jc w:val="center"/>
      </w:pPr>
      <w:r>
        <w:rPr>
          <w:smallCaps/>
        </w:rPr>
        <w:t>References</w:t>
      </w:r>
    </w:p>
    <w:p>
      <w:pPr>
        <w:tabs>
          <w:tab w:pos="369" w:val="left"/>
        </w:tabs>
        <w:spacing w:after="30"/>
        <w:ind w:left="369" w:hanging="369"/>
        <w:jc w:val="both"/>
      </w:pPr>
      <w:r>
        <w:rPr>
          <w:sz w:val="16"/>
        </w:rPr>
        <w:t>[1]</w:t>
        <w:tab/>
        <w:t>A. Bhosale, A. Tahilyani, L. Kale, and S. Kokkila-Schumacher, “Towards an adaptive runtime system for cloud-native HPC,” arXiv preprint arXiv:2603.14630, Mar. 2026.</w:t>
      </w:r>
    </w:p>
    <w:p>
      <w:pPr>
        <w:tabs>
          <w:tab w:pos="369" w:val="left"/>
        </w:tabs>
        <w:spacing w:after="30"/>
        <w:ind w:left="369" w:hanging="369"/>
        <w:jc w:val="both"/>
      </w:pPr>
      <w:r>
        <w:rPr>
          <w:sz w:val="16"/>
        </w:rPr>
        <w:t>[2]</w:t>
        <w:tab/>
        <w:t xml:space="preserve">A. Bhosale, K. Chandrasekar, L. Kale, and S. Kokkila-Schumacher, “An elastic job scheduler for HPC applications on the cloud,” in </w:t>
      </w:r>
      <w:r>
        <w:rPr>
          <w:i/>
          <w:sz w:val="16"/>
        </w:rPr>
        <w:t>Proc. SC Workshops ’25</w:t>
      </w:r>
      <w:r>
        <w:rPr>
          <w:sz w:val="16"/>
        </w:rPr>
        <w:t>, St. Louis, MO, USA, Nov. 2025, doi: 10.1145/3731599.3767358.</w:t>
      </w:r>
    </w:p>
    <w:p>
      <w:pPr>
        <w:tabs>
          <w:tab w:pos="369" w:val="left"/>
        </w:tabs>
        <w:spacing w:after="30"/>
        <w:ind w:left="369" w:hanging="369"/>
        <w:jc w:val="both"/>
      </w:pPr>
      <w:r>
        <w:rPr>
          <w:sz w:val="16"/>
        </w:rPr>
        <w:t>[3]</w:t>
        <w:tab/>
        <w:t xml:space="preserve">“Serverless data pipeline architecture supporting distributed machine learning on fog devices,” </w:t>
      </w:r>
      <w:r>
        <w:rPr>
          <w:i/>
          <w:sz w:val="16"/>
        </w:rPr>
        <w:t>Comput. Commun.</w:t>
      </w:r>
      <w:r>
        <w:rPr>
          <w:sz w:val="16"/>
        </w:rPr>
        <w:t>, 2026. [Online]. Available: https://www.sciencedirect.com/science/article/pii/S0140366426000952</w:t>
      </w:r>
    </w:p>
    <w:p>
      <w:pPr>
        <w:tabs>
          <w:tab w:pos="369" w:val="left"/>
        </w:tabs>
        <w:spacing w:after="30"/>
        <w:ind w:left="369" w:hanging="369"/>
        <w:jc w:val="both"/>
      </w:pPr>
      <w:r>
        <w:rPr>
          <w:sz w:val="16"/>
        </w:rPr>
        <w:t>[4]</w:t>
        <w:tab/>
        <w:t xml:space="preserve">D. Liu, Y. Xia, C. Shan, K. Tian, and Y. Zhan, “A Kubernetes-based scheme for efficient resource allocation in containerized workflow,” </w:t>
      </w:r>
      <w:r>
        <w:rPr>
          <w:i/>
          <w:sz w:val="16"/>
        </w:rPr>
        <w:t>Future Gener. Comput. Syst.</w:t>
      </w:r>
      <w:r>
        <w:rPr>
          <w:sz w:val="16"/>
        </w:rPr>
        <w:t>, vol. 166, May 2025, Art. no. 107699.</w:t>
      </w:r>
    </w:p>
    <w:p>
      <w:pPr>
        <w:tabs>
          <w:tab w:pos="369" w:val="left"/>
        </w:tabs>
        <w:spacing w:after="30"/>
        <w:ind w:left="369" w:hanging="369"/>
        <w:jc w:val="both"/>
      </w:pPr>
      <w:r>
        <w:rPr>
          <w:sz w:val="16"/>
        </w:rPr>
        <w:t>[5]</w:t>
        <w:tab/>
        <w:t>A. Chazapis, E. Maliaroudakis, F. Nikolaidis, M. Marazakis, and A. Bilas, “Running cloud-native workloads on HPC with high-performance Kubernetes,” arXiv preprint arXiv:2409.16919, Sep. 2024.</w:t>
      </w:r>
    </w:p>
    <w:p>
      <w:pPr>
        <w:tabs>
          <w:tab w:pos="369" w:val="left"/>
        </w:tabs>
        <w:spacing w:after="30"/>
        <w:ind w:left="369" w:hanging="369"/>
        <w:jc w:val="both"/>
      </w:pPr>
      <w:r>
        <w:rPr>
          <w:sz w:val="16"/>
        </w:rPr>
        <w:t>[6]</w:t>
        <w:tab/>
        <w:t xml:space="preserve">J. Dean and S. Ghemawat, “MapReduce: Simplified data processing on large clusters,” in </w:t>
      </w:r>
      <w:r>
        <w:rPr>
          <w:i/>
          <w:sz w:val="16"/>
        </w:rPr>
        <w:t>Proc. 6th USENIX OSDI</w:t>
      </w:r>
      <w:r>
        <w:rPr>
          <w:sz w:val="16"/>
        </w:rPr>
        <w:t>, 2004, pp. 137–150.</w:t>
      </w:r>
    </w:p>
    <w:p>
      <w:pPr>
        <w:tabs>
          <w:tab w:pos="369" w:val="left"/>
        </w:tabs>
        <w:spacing w:after="30"/>
        <w:ind w:left="369" w:hanging="369"/>
        <w:jc w:val="both"/>
      </w:pPr>
      <w:r>
        <w:rPr>
          <w:sz w:val="16"/>
        </w:rPr>
        <w:t>[7]</w:t>
        <w:tab/>
        <w:t xml:space="preserve">C. Gray and D. Cheriton, “Leases: An efficient fault-tolerant mechanism for distributed file cache consistency,” in </w:t>
      </w:r>
      <w:r>
        <w:rPr>
          <w:i/>
          <w:sz w:val="16"/>
        </w:rPr>
        <w:t>Proc. 12th ACM SOSP</w:t>
      </w:r>
      <w:r>
        <w:rPr>
          <w:sz w:val="16"/>
        </w:rPr>
        <w:t>, 1989, pp. 202–210.</w:t>
      </w:r>
    </w:p>
    <w:p>
      <w:pPr>
        <w:tabs>
          <w:tab w:pos="369" w:val="left"/>
        </w:tabs>
        <w:spacing w:after="30"/>
        <w:ind w:left="369" w:hanging="369"/>
        <w:jc w:val="both"/>
      </w:pPr>
      <w:r>
        <w:rPr>
          <w:sz w:val="16"/>
        </w:rPr>
        <w:t>[8]</w:t>
        <w:tab/>
        <w:t xml:space="preserve">J. Ragan-Kelley, C. Barnes, A. Adams, S. Paris, F. Durand, and S. Amarasinghe, “Halide: A language and compiler for optimizing parallelism, locality, and recomputation in image processing pipelines,” in </w:t>
      </w:r>
      <w:r>
        <w:rPr>
          <w:i/>
          <w:sz w:val="16"/>
        </w:rPr>
        <w:t>Proc. ACM PLDI</w:t>
      </w:r>
      <w:r>
        <w:rPr>
          <w:sz w:val="16"/>
        </w:rPr>
        <w:t>, 2013, pp. 519–530.</w:t>
      </w:r>
    </w:p>
    <w:p>
      <w:pPr>
        <w:tabs>
          <w:tab w:pos="369" w:val="left"/>
        </w:tabs>
        <w:spacing w:after="30"/>
        <w:ind w:left="369" w:hanging="369"/>
        <w:jc w:val="both"/>
      </w:pPr>
      <w:r>
        <w:rPr>
          <w:sz w:val="16"/>
        </w:rPr>
        <w:t>[9]</w:t>
        <w:tab/>
        <w:t xml:space="preserve">T. Denniston, S. Kamil, and S. Amarasinghe, “Distributed Halide,” in </w:t>
      </w:r>
      <w:r>
        <w:rPr>
          <w:i/>
          <w:sz w:val="16"/>
        </w:rPr>
        <w:t>Proc. 21st ACM PPoPP</w:t>
      </w:r>
      <w:r>
        <w:rPr>
          <w:sz w:val="16"/>
        </w:rPr>
        <w:t>, 2016, Art. no. 5.</w:t>
      </w:r>
    </w:p>
    <w:p>
      <w:pPr>
        <w:tabs>
          <w:tab w:pos="369" w:val="left"/>
        </w:tabs>
        <w:spacing w:after="30"/>
        <w:ind w:left="369" w:hanging="369"/>
        <w:jc w:val="both"/>
      </w:pPr>
      <w:r>
        <w:rPr>
          <w:sz w:val="16"/>
        </w:rPr>
        <w:t>[10]</w:t>
        <w:tab/>
        <w:t xml:space="preserve">S. Venkataraman, Z. Yang, M. Franklin, B. Recht, and I. Stoica, “Ernest: Efficient performance prediction for large-scale advanced analytics,” in </w:t>
      </w:r>
      <w:r>
        <w:rPr>
          <w:i/>
          <w:sz w:val="16"/>
        </w:rPr>
        <w:t>Proc. 13th USENIX NSDI</w:t>
      </w:r>
      <w:r>
        <w:rPr>
          <w:sz w:val="16"/>
        </w:rPr>
        <w:t>, 2016, pp. 363–378.</w:t>
      </w:r>
    </w:p>
    <w:p>
      <w:pPr>
        <w:tabs>
          <w:tab w:pos="369" w:val="left"/>
        </w:tabs>
        <w:spacing w:after="30"/>
        <w:ind w:left="369" w:hanging="369"/>
        <w:jc w:val="both"/>
      </w:pPr>
      <w:r>
        <w:rPr>
          <w:sz w:val="16"/>
        </w:rPr>
        <w:t>[11]</w:t>
        <w:tab/>
        <w:t xml:space="preserve">K. Rzadca </w:t>
      </w:r>
      <w:r>
        <w:rPr>
          <w:i/>
          <w:sz w:val="16"/>
        </w:rPr>
        <w:t>et al.</w:t>
      </w:r>
      <w:r>
        <w:rPr>
          <w:sz w:val="16"/>
        </w:rPr>
        <w:t xml:space="preserve">, “Autopilot: Workload autoscaling at Google,” in </w:t>
      </w:r>
      <w:r>
        <w:rPr>
          <w:i/>
          <w:sz w:val="16"/>
        </w:rPr>
        <w:t>Proc. 15th EuroSys</w:t>
      </w:r>
      <w:r>
        <w:rPr>
          <w:sz w:val="16"/>
        </w:rPr>
        <w:t>, 2020, Art. no. 16.</w:t>
      </w:r>
    </w:p>
    <w:p>
      <w:pPr>
        <w:tabs>
          <w:tab w:pos="369" w:val="left"/>
        </w:tabs>
        <w:spacing w:after="30"/>
        <w:ind w:left="369" w:hanging="369"/>
        <w:jc w:val="both"/>
      </w:pPr>
      <w:r>
        <w:rPr>
          <w:sz w:val="16"/>
        </w:rPr>
        <w:t>[12]</w:t>
        <w:tab/>
        <w:t xml:space="preserve">S. Xie and Z. Tu, “Holistically-nested edge detection,” in </w:t>
      </w:r>
      <w:r>
        <w:rPr>
          <w:i/>
          <w:sz w:val="16"/>
        </w:rPr>
        <w:t>Proc. IEEE ICCV</w:t>
      </w:r>
      <w:r>
        <w:rPr>
          <w:sz w:val="16"/>
        </w:rPr>
        <w:t>, 2015, pp. 1395–1403.</w:t>
      </w:r>
    </w:p>
    <w:p>
      <w:pPr>
        <w:tabs>
          <w:tab w:pos="369" w:val="left"/>
        </w:tabs>
        <w:spacing w:after="30"/>
        <w:ind w:left="369" w:hanging="369"/>
        <w:jc w:val="both"/>
      </w:pPr>
      <w:r>
        <w:rPr>
          <w:sz w:val="16"/>
        </w:rPr>
        <w:t>[13]</w:t>
        <w:tab/>
        <w:t xml:space="preserve">X. Wang, L. Xie, C. Dong, and Y. Shan, “Real-ESRGAN: Training real-world blind super-resolution with pure synthetic data,” in </w:t>
      </w:r>
      <w:r>
        <w:rPr>
          <w:i/>
          <w:sz w:val="16"/>
        </w:rPr>
        <w:t>Proc. IEEE/CVF ICCV Workshops</w:t>
      </w:r>
      <w:r>
        <w:rPr>
          <w:sz w:val="16"/>
        </w:rPr>
        <w:t>, 2021, pp. 1905–1914.</w:t>
      </w:r>
    </w:p>
    <w:p>
      <w:pPr>
        <w:tabs>
          <w:tab w:pos="369" w:val="left"/>
        </w:tabs>
        <w:spacing w:after="30"/>
        <w:ind w:left="369" w:hanging="369"/>
        <w:jc w:val="both"/>
      </w:pPr>
      <w:r>
        <w:rPr>
          <w:sz w:val="16"/>
        </w:rPr>
        <w:t>[14]</w:t>
        <w:tab/>
        <w:t xml:space="preserve">W. Luo, Y. Li, R. Urtasun, and R. Zemel, “Understanding the effective receptive field in deep convolutional neural networks,” in </w:t>
      </w:r>
      <w:r>
        <w:rPr>
          <w:i/>
          <w:sz w:val="16"/>
        </w:rPr>
        <w:t>Proc. NeurIPS</w:t>
      </w:r>
      <w:r>
        <w:rPr>
          <w:sz w:val="16"/>
        </w:rPr>
        <w:t>, 2016, pp. 4898–4906.</w:t>
      </w:r>
    </w:p>
    <w:p>
      <w:pPr>
        <w:tabs>
          <w:tab w:pos="369" w:val="left"/>
        </w:tabs>
        <w:spacing w:after="30"/>
        <w:ind w:left="369" w:hanging="369"/>
        <w:jc w:val="both"/>
      </w:pPr>
      <w:r>
        <w:rPr>
          <w:sz w:val="16"/>
        </w:rPr>
        <w:t>[15]</w:t>
        <w:tab/>
        <w:t xml:space="preserve">G. M. Amdahl, “Validity of the single processor approach to achieving large scale computing capabilities,” in </w:t>
      </w:r>
      <w:r>
        <w:rPr>
          <w:i/>
          <w:sz w:val="16"/>
        </w:rPr>
        <w:t>Proc. AFIPS Spring Joint Comput. Conf.</w:t>
      </w:r>
      <w:r>
        <w:rPr>
          <w:sz w:val="16"/>
        </w:rPr>
        <w:t>, vol. 30, 1967, pp. 483–485.</w:t>
      </w:r>
    </w:p>
    <w:p>
      <w:pPr>
        <w:tabs>
          <w:tab w:pos="369" w:val="left"/>
        </w:tabs>
        <w:spacing w:after="30"/>
        <w:ind w:left="369" w:hanging="369"/>
        <w:jc w:val="both"/>
      </w:pPr>
      <w:r>
        <w:rPr>
          <w:sz w:val="16"/>
        </w:rPr>
        <w:t>[16]</w:t>
        <w:tab/>
        <w:t xml:space="preserve">J. Canny, “A computational approach to edge detection,” </w:t>
      </w:r>
      <w:r>
        <w:rPr>
          <w:i/>
          <w:sz w:val="16"/>
        </w:rPr>
        <w:t>IEEE Trans. Pattern Anal. Mach. Intell.</w:t>
      </w:r>
      <w:r>
        <w:rPr>
          <w:sz w:val="16"/>
        </w:rPr>
        <w:t>, vol. PAMI-8, no. 6, pp. 679–698, Nov. 1986.</w:t>
      </w:r>
    </w:p>
    <w:p>
      <w:pPr>
        <w:tabs>
          <w:tab w:pos="369" w:val="left"/>
        </w:tabs>
        <w:spacing w:after="30"/>
        <w:ind w:left="369" w:hanging="369"/>
        <w:jc w:val="both"/>
      </w:pPr>
      <w:r>
        <w:rPr>
          <w:sz w:val="16"/>
        </w:rPr>
        <w:t>[17]</w:t>
        <w:tab/>
        <w:t xml:space="preserve">C. Tomasi and R. Manduchi, “Bilateral filtering for gray and color images,” in </w:t>
      </w:r>
      <w:r>
        <w:rPr>
          <w:i/>
          <w:sz w:val="16"/>
        </w:rPr>
        <w:t>Proc. 6th ICCV</w:t>
      </w:r>
      <w:r>
        <w:rPr>
          <w:sz w:val="16"/>
        </w:rPr>
        <w:t>, 1998, pp. 839–846.</w:t>
      </w:r>
    </w:p>
    <w:p>
      <w:pPr>
        <w:tabs>
          <w:tab w:pos="369" w:val="left"/>
        </w:tabs>
        <w:spacing w:after="30"/>
        <w:ind w:left="369" w:hanging="369"/>
        <w:jc w:val="both"/>
      </w:pPr>
      <w:r>
        <w:rPr>
          <w:sz w:val="16"/>
        </w:rPr>
        <w:t>[18]</w:t>
        <w:tab/>
        <w:t>KEDA Authors, “KEDA: Kubernetes event-driven autoscaling, v2.21 documentation — Redis Lists scaler.” [Online]. Available: https://keda.sh/docs/ (accessed Oct. 2026).</w:t>
      </w:r>
    </w:p>
    <w:p>
      <w:pPr>
        <w:tabs>
          <w:tab w:pos="369" w:val="left"/>
        </w:tabs>
        <w:spacing w:after="30"/>
        <w:ind w:left="369" w:hanging="369"/>
        <w:jc w:val="both"/>
      </w:pPr>
      <w:r>
        <w:rPr>
          <w:sz w:val="16"/>
        </w:rPr>
        <w:t>[19]</w:t>
        <w:tab/>
        <w:t>The Kubernetes Authors, “Horizontal Pod Autoscaling.” [Online]. Available: https://kubernetes.io/docs/tasks/run-application/horizontal-pod-autoscale/ (accessed Oct. 2026).</w:t>
      </w:r>
    </w:p>
    <w:p>
      <w:pPr>
        <w:tabs>
          <w:tab w:pos="369" w:val="left"/>
        </w:tabs>
        <w:spacing w:after="30"/>
        <w:ind w:left="369" w:hanging="369"/>
        <w:jc w:val="both"/>
      </w:pPr>
      <w:r>
        <w:rPr>
          <w:sz w:val="16"/>
        </w:rPr>
        <w:t>[20]</w:t>
        <w:tab/>
        <w:t>Amazon Web Services, “Amazon S3 user guide: presigned URLs, server-side encryption with AWS KMS, Block Public Access, lifecycle configuration.” [Online]. Available: https://docs.aws.amazon.com/s3/ (accessed Oct. 2026).</w:t>
      </w:r>
    </w:p>
    <w:p>
      <w:pPr>
        <w:tabs>
          <w:tab w:pos="369" w:val="left"/>
        </w:tabs>
        <w:spacing w:after="30"/>
        <w:ind w:left="369" w:hanging="369"/>
        <w:jc w:val="both"/>
      </w:pPr>
      <w:r>
        <w:rPr>
          <w:sz w:val="16"/>
        </w:rPr>
        <w:t>[21]</w:t>
        <w:tab/>
        <w:t>Amazon Web Services, “IAM roles for service accounts (Amazon EKS user guide).” [Online]. Available: https://docs.aws.amazon.com/eks/ (accessed Oct. 2026).</w:t>
      </w:r>
    </w:p>
    <w:p>
      <w:pPr>
        <w:tabs>
          <w:tab w:pos="369" w:val="left"/>
        </w:tabs>
        <w:spacing w:after="30"/>
        <w:ind w:left="369" w:hanging="369"/>
        <w:jc w:val="both"/>
      </w:pPr>
      <w:r>
        <w:rPr>
          <w:sz w:val="16"/>
        </w:rPr>
        <w:t>[22]</w:t>
        <w:tab/>
        <w:t>ONNX Runtime developers, “ONNX Runtime: threading and performance tuning.” [Online]. Available: https://onnxruntime.ai/docs/ (accessed Oct. 2026).</w:t>
      </w:r>
    </w:p>
    <w:p>
      <w:pPr>
        <w:tabs>
          <w:tab w:pos="369" w:val="left"/>
        </w:tabs>
        <w:spacing w:after="30"/>
        <w:ind w:left="369" w:hanging="369"/>
        <w:jc w:val="both"/>
      </w:pPr>
      <w:r>
        <w:rPr>
          <w:sz w:val="16"/>
        </w:rPr>
        <w:t>[23]</w:t>
        <w:tab/>
        <w:t>Redis Ltd., “Redis documentation: Lua scripting, lists and the reliable-queue pattern.” [Online]. Available: https://redis.io/docs/ (accessed Oct. 2026).</w:t>
      </w:r>
    </w:p>
    <w:p>
      <w:pPr>
        <w:tabs>
          <w:tab w:pos="369" w:val="left"/>
        </w:tabs>
        <w:spacing w:after="30"/>
        <w:ind w:left="369" w:hanging="369"/>
        <w:jc w:val="both"/>
      </w:pPr>
      <w:r>
        <w:rPr>
          <w:sz w:val="16"/>
        </w:rPr>
        <w:t>[24]</w:t>
        <w:tab/>
        <w:t>MinIO, Inc., “MinIO object storage: S3-compatible API.” [Online]. Available: https://min.io/docs/ (accessed Oct. 2026).</w:t>
      </w:r>
    </w:p>
    <w:p>
      <w:pPr>
        <w:sectPr>
          <w:type w:val="continuous"/>
          <w:pgSz w:w="11906" w:h="16838"/>
          <w:pgMar w:top="1077" w:right="890" w:bottom="1440" w:left="890" w:header="720" w:footer="720" w:gutter="0"/>
          <w:cols w:space="238" w:num="2"/>
          <w:docGrid w:linePitch="360"/>
        </w:sectPr>
      </w:pPr>
    </w:p>
    <w:p>
      <w:pPr>
        <w:pStyle w:val="Heading1"/>
        <w:spacing w:before="200" w:after="80"/>
      </w:pPr>
      <w:r>
        <w:rPr>
          <w:sz w:val="24"/>
        </w:rPr>
        <w:t>Appendix A: Project Structure</w:t>
      </w:r>
    </w:p>
    <w:p>
      <w:pPr>
        <w:keepNext/>
        <w:spacing w:before="60" w:after="0"/>
        <w:ind w:left="85"/>
        <w:shd w:val="clear" w:color="auto" w:fill="F3F4F6"/>
      </w:pPr>
      <w:r>
        <w:rPr>
          <w:rFonts w:ascii="Courier New" w:hAnsi="Courier New" w:eastAsia="Courier New"/>
          <w:sz w:val="15"/>
        </w:rPr>
        <w:t>cloud proj/</w:t>
      </w:r>
    </w:p>
    <w:p>
      <w:pPr>
        <w:keepNext/>
        <w:spacing w:before="0" w:after="0"/>
        <w:ind w:left="85"/>
        <w:shd w:val="clear" w:color="auto" w:fill="F3F4F6"/>
      </w:pPr>
      <w:r>
        <w:rPr>
          <w:rFonts w:ascii="Courier New" w:hAnsi="Courier New" w:eastAsia="Courier New"/>
          <w:sz w:val="15"/>
        </w:rPr>
        <w:t>├── imgframe/            core package</w:t>
      </w:r>
    </w:p>
    <w:p>
      <w:pPr>
        <w:keepNext/>
        <w:spacing w:before="0" w:after="0"/>
        <w:ind w:left="85"/>
        <w:shd w:val="clear" w:color="auto" w:fill="F3F4F6"/>
      </w:pPr>
      <w:r>
        <w:rPr>
          <w:rFonts w:ascii="Courier New" w:hAnsi="Courier New" w:eastAsia="Courier New"/>
          <w:sz w:val="15"/>
        </w:rPr>
        <w:t>│   ├── config.py        settings from environment variables</w:t>
      </w:r>
    </w:p>
    <w:p>
      <w:pPr>
        <w:keepNext/>
        <w:spacing w:before="0" w:after="0"/>
        <w:ind w:left="85"/>
        <w:shd w:val="clear" w:color="auto" w:fill="F3F4F6"/>
      </w:pPr>
      <w:r>
        <w:rPr>
          <w:rFonts w:ascii="Courier New" w:hAnsi="Courier New" w:eastAsia="Courier New"/>
          <w:sz w:val="15"/>
        </w:rPr>
        <w:t>│   ├── ops.py           OpenCV + ONNX operations, halo, scale, stride</w:t>
      </w:r>
    </w:p>
    <w:p>
      <w:pPr>
        <w:keepNext/>
        <w:spacing w:before="0" w:after="0"/>
        <w:ind w:left="85"/>
        <w:shd w:val="clear" w:color="auto" w:fill="F3F4F6"/>
      </w:pPr>
      <w:r>
        <w:rPr>
          <w:rFonts w:ascii="Courier New" w:hAnsi="Courier New" w:eastAsia="Courier New"/>
          <w:sz w:val="15"/>
        </w:rPr>
        <w:t>│   ├── models.py        ONNX Runtime session cache</w:t>
      </w:r>
    </w:p>
    <w:p>
      <w:pPr>
        <w:keepNext/>
        <w:spacing w:before="0" w:after="0"/>
        <w:ind w:left="85"/>
        <w:shd w:val="clear" w:color="auto" w:fill="F3F4F6"/>
      </w:pPr>
      <w:r>
        <w:rPr>
          <w:rFonts w:ascii="Courier New" w:hAnsi="Courier New" w:eastAsia="Courier New"/>
          <w:sz w:val="15"/>
        </w:rPr>
        <w:t>│   ├── tiling.py        stride-aligned plan, split, scale-aware reconstruct, tiled TIFF</w:t>
      </w:r>
    </w:p>
    <w:p>
      <w:pPr>
        <w:keepNext/>
        <w:spacing w:before="0" w:after="0"/>
        <w:ind w:left="85"/>
        <w:shd w:val="clear" w:color="auto" w:fill="F3F4F6"/>
      </w:pPr>
      <w:r>
        <w:rPr>
          <w:rFonts w:ascii="Courier New" w:hAnsi="Courier New" w:eastAsia="Courier New"/>
          <w:sz w:val="15"/>
        </w:rPr>
        <w:t>│   ├── store.py         Redis data model, reliable queue + work counter (Lua)</w:t>
      </w:r>
    </w:p>
    <w:p>
      <w:pPr>
        <w:keepNext/>
        <w:spacing w:before="0" w:after="0"/>
        <w:ind w:left="85"/>
        <w:shd w:val="clear" w:color="auto" w:fill="F3F4F6"/>
      </w:pPr>
      <w:r>
        <w:rPr>
          <w:rFonts w:ascii="Courier New" w:hAnsi="Courier New" w:eastAsia="Courier New"/>
          <w:sz w:val="15"/>
        </w:rPr>
        <w:t>│   ├── objstore.py      S3 / MinIO client (boto3), presigning</w:t>
      </w:r>
    </w:p>
    <w:p>
      <w:pPr>
        <w:keepNext/>
        <w:spacing w:before="0" w:after="0"/>
        <w:ind w:left="85"/>
        <w:shd w:val="clear" w:color="auto" w:fill="F3F4F6"/>
      </w:pPr>
      <w:r>
        <w:rPr>
          <w:rFonts w:ascii="Courier New" w:hAnsi="Courier New" w:eastAsia="Courier New"/>
          <w:sz w:val="15"/>
        </w:rPr>
        <w:t>│   ├── planner.py       cost model + plan search</w:t>
      </w:r>
    </w:p>
    <w:p>
      <w:pPr>
        <w:keepNext/>
        <w:spacing w:before="0" w:after="0"/>
        <w:ind w:left="85"/>
        <w:shd w:val="clear" w:color="auto" w:fill="F3F4F6"/>
      </w:pPr>
      <w:r>
        <w:rPr>
          <w:rFonts w:ascii="Courier New" w:hAnsi="Courier New" w:eastAsia="Courier New"/>
          <w:sz w:val="15"/>
        </w:rPr>
        <w:t>│   ├── profiles.json    calibrated costs, overheads, capacity curves</w:t>
      </w:r>
    </w:p>
    <w:p>
      <w:pPr>
        <w:keepNext/>
        <w:spacing w:before="0" w:after="0"/>
        <w:ind w:left="85"/>
        <w:shd w:val="clear" w:color="auto" w:fill="F3F4F6"/>
      </w:pPr>
      <w:r>
        <w:rPr>
          <w:rFonts w:ascii="Courier New" w:hAnsi="Courier New" w:eastAsia="Courier New"/>
          <w:sz w:val="15"/>
        </w:rPr>
        <w:t>│   └── calibration.json calibrated halos</w:t>
      </w:r>
    </w:p>
    <w:p>
      <w:pPr>
        <w:keepNext/>
        <w:spacing w:before="0" w:after="0"/>
        <w:ind w:left="85"/>
        <w:shd w:val="clear" w:color="auto" w:fill="F3F4F6"/>
      </w:pPr>
      <w:r>
        <w:rPr>
          <w:rFonts w:ascii="Courier New" w:hAnsi="Courier New" w:eastAsia="Courier New"/>
          <w:sz w:val="15"/>
        </w:rPr>
        <w:t>├── api/                 FastAPI service + web UI</w:t>
      </w:r>
    </w:p>
    <w:p>
      <w:pPr>
        <w:keepNext/>
        <w:spacing w:before="0" w:after="0"/>
        <w:ind w:left="85"/>
        <w:shd w:val="clear" w:color="auto" w:fill="F3F4F6"/>
      </w:pPr>
      <w:r>
        <w:rPr>
          <w:rFonts w:ascii="Courier New" w:hAnsi="Courier New" w:eastAsia="Courier New"/>
          <w:sz w:val="15"/>
        </w:rPr>
        <w:t>├── worker/              worker process (+ online profile updates)</w:t>
      </w:r>
    </w:p>
    <w:p>
      <w:pPr>
        <w:keepNext/>
        <w:spacing w:before="0" w:after="0"/>
        <w:ind w:left="85"/>
        <w:shd w:val="clear" w:color="auto" w:fill="F3F4F6"/>
      </w:pPr>
      <w:r>
        <w:rPr>
          <w:rFonts w:ascii="Courier New" w:hAnsi="Courier New" w:eastAsia="Courier New"/>
          <w:sz w:val="15"/>
        </w:rPr>
        <w:t>├── autoscaler/          work-aware (and queue-length) autoscaler</w:t>
      </w:r>
    </w:p>
    <w:p>
      <w:pPr>
        <w:keepNext/>
        <w:spacing w:before="0" w:after="0"/>
        <w:ind w:left="85"/>
        <w:shd w:val="clear" w:color="auto" w:fill="F3F4F6"/>
      </w:pPr>
      <w:r>
        <w:rPr>
          <w:rFonts w:ascii="Courier New" w:hAnsi="Courier New" w:eastAsia="Courier New"/>
          <w:sz w:val="15"/>
        </w:rPr>
        <w:t>├── benchmark/           bench_local, bench_distributed, bench_planner, bench_storage</w:t>
      </w:r>
    </w:p>
    <w:p>
      <w:pPr>
        <w:keepNext/>
        <w:spacing w:before="0" w:after="0"/>
        <w:ind w:left="85"/>
        <w:shd w:val="clear" w:color="auto" w:fill="F3F4F6"/>
      </w:pPr>
      <w:r>
        <w:rPr>
          <w:rFonts w:ascii="Courier New" w:hAnsi="Courier New" w:eastAsia="Courier New"/>
          <w:sz w:val="15"/>
        </w:rPr>
        <w:t>├── k8s/                 manifests; optional/ HPA and KEDA baselines</w:t>
      </w:r>
    </w:p>
    <w:p>
      <w:pPr>
        <w:keepNext/>
        <w:spacing w:before="0" w:after="0"/>
        <w:ind w:left="85"/>
        <w:shd w:val="clear" w:color="auto" w:fill="F3F4F6"/>
      </w:pPr>
      <w:r>
        <w:rPr>
          <w:rFonts w:ascii="Courier New" w:hAnsi="Courier New" w:eastAsia="Courier New"/>
          <w:sz w:val="15"/>
        </w:rPr>
        <w:t>├── deploy/aws/          S3 bucket policy, IAM, lifecycle, IRSA (templates)</w:t>
      </w:r>
    </w:p>
    <w:p>
      <w:pPr>
        <w:keepNext/>
        <w:spacing w:before="0" w:after="0"/>
        <w:ind w:left="85"/>
        <w:shd w:val="clear" w:color="auto" w:fill="F3F4F6"/>
      </w:pPr>
      <w:r>
        <w:rPr>
          <w:rFonts w:ascii="Courier New" w:hAnsi="Courier New" w:eastAsia="Courier New"/>
          <w:sz w:val="15"/>
        </w:rPr>
        <w:t>├── scripts/             run_local, convert_hed, calibrate_halo, profile_ops,</w:t>
      </w:r>
    </w:p>
    <w:p>
      <w:pPr>
        <w:keepNext/>
        <w:spacing w:before="0" w:after="0"/>
        <w:ind w:left="85"/>
        <w:shd w:val="clear" w:color="auto" w:fill="F3F4F6"/>
      </w:pPr>
      <w:r>
        <w:rPr>
          <w:rFonts w:ascii="Courier New" w:hAnsi="Courier New" w:eastAsia="Courier New"/>
          <w:sz w:val="15"/>
        </w:rPr>
        <w:t>│                        trace_replay, k8s_scaler, fetch_models, install_k8s_addons</w:t>
      </w:r>
    </w:p>
    <w:p>
      <w:pPr>
        <w:keepNext/>
        <w:spacing w:before="0" w:after="0"/>
        <w:ind w:left="85"/>
        <w:shd w:val="clear" w:color="auto" w:fill="F3F4F6"/>
      </w:pPr>
      <w:r>
        <w:rPr>
          <w:rFonts w:ascii="Courier New" w:hAnsi="Courier New" w:eastAsia="Courier New"/>
          <w:sz w:val="15"/>
        </w:rPr>
        <w:t>├── tests/               pytest suite</w:t>
      </w:r>
    </w:p>
    <w:p>
      <w:pPr>
        <w:spacing w:before="0" w:after="60"/>
        <w:ind w:left="85"/>
        <w:shd w:val="clear" w:color="auto" w:fill="F3F4F6"/>
      </w:pPr>
      <w:r>
        <w:rPr>
          <w:rFonts w:ascii="Courier New" w:hAnsi="Courier New" w:eastAsia="Courier New"/>
          <w:sz w:val="15"/>
        </w:rPr>
        <w:t>└── docs/                report, slides, guide, figures</w:t>
      </w:r>
    </w:p>
    <w:p>
      <w:pPr>
        <w:pStyle w:val="Heading1"/>
        <w:spacing w:before="200" w:after="80"/>
      </w:pPr>
      <w:r>
        <w:rPr>
          <w:sz w:val="24"/>
        </w:rPr>
        <w:t>Appendix B: New Configuration</w:t>
      </w:r>
    </w:p>
    <w:tbl>
      <w:tblPr>
        <w:tblStyle w:val="TableGrid"/>
        <w:tblW w:type="auto" w:w="0"/>
        <w:jc w:val="center"/>
        <w:tblLook w:firstColumn="1" w:firstRow="1" w:lastColumn="0" w:lastRow="0" w:noHBand="0" w:noVBand="1" w:val="04A0"/>
        <w:tblLayout w:type="fixed"/>
      </w:tblPr>
      <w:tblGrid>
        <w:gridCol w:w="3515"/>
        <w:gridCol w:w="1361"/>
        <w:gridCol w:w="5216"/>
      </w:tblGrid>
      <w:tr>
        <w:tc>
          <w:tcPr>
            <w:tcW w:type="dxa" w:w="3515"/>
            <w:shd w:val="clear" w:color="auto" w:fill="334155"/>
          </w:tcPr>
          <w:p>
            <w:pPr>
              <w:jc w:val="left"/>
            </w:pPr>
            <w:r/>
            <w:r>
              <w:rPr>
                <w:b/>
                <w:color w:val="FFFFFF"/>
                <w:sz w:val="16"/>
              </w:rPr>
              <w:t>Variable</w:t>
            </w:r>
          </w:p>
        </w:tc>
        <w:tc>
          <w:tcPr>
            <w:tcW w:type="dxa" w:w="1361"/>
            <w:shd w:val="clear" w:color="auto" w:fill="334155"/>
          </w:tcPr>
          <w:p>
            <w:pPr>
              <w:jc w:val="left"/>
            </w:pPr>
            <w:r/>
            <w:r>
              <w:rPr>
                <w:b/>
                <w:color w:val="FFFFFF"/>
                <w:sz w:val="16"/>
              </w:rPr>
              <w:t>Default</w:t>
            </w:r>
          </w:p>
        </w:tc>
        <w:tc>
          <w:tcPr>
            <w:tcW w:type="dxa" w:w="5216"/>
            <w:shd w:val="clear" w:color="auto" w:fill="334155"/>
          </w:tcPr>
          <w:p>
            <w:pPr>
              <w:jc w:val="left"/>
            </w:pPr>
            <w:r/>
            <w:r>
              <w:rPr>
                <w:b/>
                <w:color w:val="FFFFFF"/>
                <w:sz w:val="16"/>
              </w:rPr>
              <w:t>Meaning</w:t>
            </w:r>
          </w:p>
        </w:tc>
      </w:tr>
      <w:tr>
        <w:tc>
          <w:tcPr>
            <w:tcW w:type="dxa" w:w="3515"/>
          </w:tcPr>
          <w:p>
            <w:pPr>
              <w:jc w:val="left"/>
            </w:pPr>
            <w:r/>
            <w:r>
              <w:rPr>
                <w:sz w:val="16"/>
              </w:rPr>
              <w:t>S3_BUCKET</w:t>
            </w:r>
          </w:p>
        </w:tc>
        <w:tc>
          <w:tcPr>
            <w:tcW w:type="dxa" w:w="1361"/>
          </w:tcPr>
          <w:p>
            <w:pPr>
              <w:jc w:val="left"/>
            </w:pPr>
            <w:r/>
            <w:r>
              <w:rPr>
                <w:sz w:val="16"/>
              </w:rPr>
              <w:t>(unset)</w:t>
            </w:r>
          </w:p>
        </w:tc>
        <w:tc>
          <w:tcPr>
            <w:tcW w:type="dxa" w:w="5216"/>
          </w:tcPr>
          <w:p>
            <w:pPr>
              <w:jc w:val="left"/>
            </w:pPr>
            <w:r/>
            <w:r>
              <w:rPr>
                <w:sz w:val="16"/>
              </w:rPr>
              <w:t>Enables object-storage mode</w:t>
            </w:r>
          </w:p>
        </w:tc>
      </w:tr>
      <w:tr>
        <w:tc>
          <w:tcPr>
            <w:tcW w:type="dxa" w:w="3515"/>
          </w:tcPr>
          <w:p>
            <w:pPr>
              <w:jc w:val="left"/>
            </w:pPr>
            <w:r/>
            <w:r>
              <w:rPr>
                <w:sz w:val="16"/>
              </w:rPr>
              <w:t>S3_ENDPOINT / S3_PUBLIC_ENDPOINT</w:t>
            </w:r>
          </w:p>
        </w:tc>
        <w:tc>
          <w:tcPr>
            <w:tcW w:type="dxa" w:w="1361"/>
          </w:tcPr>
          <w:p>
            <w:pPr>
              <w:jc w:val="left"/>
            </w:pPr>
            <w:r/>
            <w:r>
              <w:rPr>
                <w:sz w:val="16"/>
              </w:rPr>
              <w:t>—</w:t>
            </w:r>
          </w:p>
        </w:tc>
        <w:tc>
          <w:tcPr>
            <w:tcW w:type="dxa" w:w="5216"/>
          </w:tcPr>
          <w:p>
            <w:pPr>
              <w:jc w:val="left"/>
            </w:pPr>
            <w:r/>
            <w:r>
              <w:rPr>
                <w:sz w:val="16"/>
              </w:rPr>
              <w:t>Internal endpoint / endpoint used in presigned URLs</w:t>
            </w:r>
          </w:p>
        </w:tc>
      </w:tr>
      <w:tr>
        <w:tc>
          <w:tcPr>
            <w:tcW w:type="dxa" w:w="3515"/>
          </w:tcPr>
          <w:p>
            <w:pPr>
              <w:jc w:val="left"/>
            </w:pPr>
            <w:r/>
            <w:r>
              <w:rPr>
                <w:sz w:val="16"/>
              </w:rPr>
              <w:t>S3_SSE, S3_KMS_KEY_ID</w:t>
            </w:r>
          </w:p>
        </w:tc>
        <w:tc>
          <w:tcPr>
            <w:tcW w:type="dxa" w:w="1361"/>
          </w:tcPr>
          <w:p>
            <w:pPr>
              <w:jc w:val="left"/>
            </w:pPr>
            <w:r/>
            <w:r>
              <w:rPr>
                <w:sz w:val="16"/>
              </w:rPr>
              <w:t>—</w:t>
            </w:r>
          </w:p>
        </w:tc>
        <w:tc>
          <w:tcPr>
            <w:tcW w:type="dxa" w:w="5216"/>
          </w:tcPr>
          <w:p>
            <w:pPr>
              <w:jc w:val="left"/>
            </w:pPr>
            <w:r/>
            <w:r>
              <w:rPr>
                <w:sz w:val="16"/>
              </w:rPr>
              <w:t>Server-side encryption (aws:kms on AWS)</w:t>
            </w:r>
          </w:p>
        </w:tc>
      </w:tr>
      <w:tr>
        <w:tc>
          <w:tcPr>
            <w:tcW w:type="dxa" w:w="3515"/>
          </w:tcPr>
          <w:p>
            <w:pPr>
              <w:jc w:val="left"/>
            </w:pPr>
            <w:r/>
            <w:r>
              <w:rPr>
                <w:sz w:val="16"/>
              </w:rPr>
              <w:t>PRESIGN_SECONDS</w:t>
            </w:r>
          </w:p>
        </w:tc>
        <w:tc>
          <w:tcPr>
            <w:tcW w:type="dxa" w:w="1361"/>
          </w:tcPr>
          <w:p>
            <w:pPr>
              <w:jc w:val="left"/>
            </w:pPr>
            <w:r/>
            <w:r>
              <w:rPr>
                <w:sz w:val="16"/>
              </w:rPr>
              <w:t>300</w:t>
            </w:r>
          </w:p>
        </w:tc>
        <w:tc>
          <w:tcPr>
            <w:tcW w:type="dxa" w:w="5216"/>
          </w:tcPr>
          <w:p>
            <w:pPr>
              <w:jc w:val="left"/>
            </w:pPr>
            <w:r/>
            <w:r>
              <w:rPr>
                <w:sz w:val="16"/>
              </w:rPr>
              <w:t>Validity of result URLs</w:t>
            </w:r>
          </w:p>
        </w:tc>
      </w:tr>
      <w:tr>
        <w:tc>
          <w:tcPr>
            <w:tcW w:type="dxa" w:w="3515"/>
          </w:tcPr>
          <w:p>
            <w:pPr>
              <w:jc w:val="left"/>
            </w:pPr>
            <w:r/>
            <w:r>
              <w:rPr>
                <w:sz w:val="16"/>
              </w:rPr>
              <w:t>RESULT_DELIVERY</w:t>
            </w:r>
          </w:p>
        </w:tc>
        <w:tc>
          <w:tcPr>
            <w:tcW w:type="dxa" w:w="1361"/>
          </w:tcPr>
          <w:p>
            <w:pPr>
              <w:jc w:val="left"/>
            </w:pPr>
            <w:r/>
            <w:r>
              <w:rPr>
                <w:sz w:val="16"/>
              </w:rPr>
              <w:t>redirect</w:t>
            </w:r>
          </w:p>
        </w:tc>
        <w:tc>
          <w:tcPr>
            <w:tcW w:type="dxa" w:w="5216"/>
          </w:tcPr>
          <w:p>
            <w:pPr>
              <w:jc w:val="left"/>
            </w:pPr>
            <w:r/>
            <w:r>
              <w:rPr>
                <w:sz w:val="16"/>
              </w:rPr>
              <w:t>redirect (307 to presigned URL) or proxy</w:t>
            </w:r>
          </w:p>
        </w:tc>
      </w:tr>
      <w:tr>
        <w:tc>
          <w:tcPr>
            <w:tcW w:type="dxa" w:w="3515"/>
          </w:tcPr>
          <w:p>
            <w:pPr>
              <w:jc w:val="left"/>
            </w:pPr>
            <w:r/>
            <w:r>
              <w:rPr>
                <w:sz w:val="16"/>
              </w:rPr>
              <w:t>MAX_QUEUED_TILES</w:t>
            </w:r>
          </w:p>
        </w:tc>
        <w:tc>
          <w:tcPr>
            <w:tcW w:type="dxa" w:w="1361"/>
          </w:tcPr>
          <w:p>
            <w:pPr>
              <w:jc w:val="left"/>
            </w:pPr>
            <w:r/>
            <w:r>
              <w:rPr>
                <w:sz w:val="16"/>
              </w:rPr>
              <w:t>20000</w:t>
            </w:r>
          </w:p>
        </w:tc>
        <w:tc>
          <w:tcPr>
            <w:tcW w:type="dxa" w:w="5216"/>
          </w:tcPr>
          <w:p>
            <w:pPr>
              <w:jc w:val="left"/>
            </w:pPr>
            <w:r/>
            <w:r>
              <w:rPr>
                <w:sz w:val="16"/>
              </w:rPr>
              <w:t>Back-pressure limit in S3 mode</w:t>
            </w:r>
          </w:p>
        </w:tc>
      </w:tr>
      <w:tr>
        <w:tc>
          <w:tcPr>
            <w:tcW w:type="dxa" w:w="3515"/>
          </w:tcPr>
          <w:p>
            <w:pPr>
              <w:jc w:val="left"/>
            </w:pPr>
            <w:r/>
            <w:r>
              <w:rPr>
                <w:sz w:val="16"/>
              </w:rPr>
              <w:t>STREAM_OUTPUT_MP</w:t>
            </w:r>
          </w:p>
        </w:tc>
        <w:tc>
          <w:tcPr>
            <w:tcW w:type="dxa" w:w="1361"/>
          </w:tcPr>
          <w:p>
            <w:pPr>
              <w:jc w:val="left"/>
            </w:pPr>
            <w:r/>
            <w:r>
              <w:rPr>
                <w:sz w:val="16"/>
              </w:rPr>
              <w:t>150</w:t>
            </w:r>
          </w:p>
        </w:tc>
        <w:tc>
          <w:tcPr>
            <w:tcW w:type="dxa" w:w="5216"/>
          </w:tcPr>
          <w:p>
            <w:pPr>
              <w:jc w:val="left"/>
            </w:pPr>
            <w:r/>
            <w:r>
              <w:rPr>
                <w:sz w:val="16"/>
              </w:rPr>
              <w:t>Outputs above this are written as tiled BigTIFF</w:t>
            </w:r>
          </w:p>
        </w:tc>
      </w:tr>
      <w:tr>
        <w:tc>
          <w:tcPr>
            <w:tcW w:type="dxa" w:w="3515"/>
          </w:tcPr>
          <w:p>
            <w:pPr>
              <w:jc w:val="left"/>
            </w:pPr>
            <w:r/>
            <w:r>
              <w:rPr>
                <w:sz w:val="16"/>
              </w:rPr>
              <w:t>PLANNER, PLANNER_MARGIN</w:t>
            </w:r>
          </w:p>
        </w:tc>
        <w:tc>
          <w:tcPr>
            <w:tcW w:type="dxa" w:w="1361"/>
          </w:tcPr>
          <w:p>
            <w:pPr>
              <w:jc w:val="left"/>
            </w:pPr>
            <w:r/>
            <w:r>
              <w:rPr>
                <w:sz w:val="16"/>
              </w:rPr>
              <w:t>1, 0.2</w:t>
            </w:r>
          </w:p>
        </w:tc>
        <w:tc>
          <w:tcPr>
            <w:tcW w:type="dxa" w:w="5216"/>
          </w:tcPr>
          <w:p>
            <w:pPr>
              <w:jc w:val="left"/>
            </w:pPr>
            <w:r/>
            <w:r>
              <w:rPr>
                <w:sz w:val="16"/>
              </w:rPr>
              <w:t>Enable planner; safety margin on distributed estimate</w:t>
            </w:r>
          </w:p>
        </w:tc>
      </w:tr>
      <w:tr>
        <w:tc>
          <w:tcPr>
            <w:tcW w:type="dxa" w:w="3515"/>
          </w:tcPr>
          <w:p>
            <w:pPr>
              <w:jc w:val="left"/>
            </w:pPr>
            <w:r/>
            <w:r>
              <w:rPr>
                <w:sz w:val="16"/>
              </w:rPr>
              <w:t>PROFILE_EMA</w:t>
            </w:r>
          </w:p>
        </w:tc>
        <w:tc>
          <w:tcPr>
            <w:tcW w:type="dxa" w:w="1361"/>
          </w:tcPr>
          <w:p>
            <w:pPr>
              <w:jc w:val="left"/>
            </w:pPr>
            <w:r/>
            <w:r>
              <w:rPr>
                <w:sz w:val="16"/>
              </w:rPr>
              <w:t>0.05</w:t>
            </w:r>
          </w:p>
        </w:tc>
        <w:tc>
          <w:tcPr>
            <w:tcW w:type="dxa" w:w="5216"/>
          </w:tcPr>
          <w:p>
            <w:pPr>
              <w:jc w:val="left"/>
            </w:pPr>
            <w:r/>
            <w:r>
              <w:rPr>
                <w:sz w:val="16"/>
              </w:rPr>
              <w:t>Weight of online cost updates</w:t>
            </w:r>
          </w:p>
        </w:tc>
      </w:tr>
      <w:tr>
        <w:tc>
          <w:tcPr>
            <w:tcW w:type="dxa" w:w="3515"/>
          </w:tcPr>
          <w:p>
            <w:pPr>
              <w:jc w:val="left"/>
            </w:pPr>
            <w:r/>
            <w:r>
              <w:rPr>
                <w:sz w:val="16"/>
              </w:rPr>
              <w:t>POLICY</w:t>
            </w:r>
          </w:p>
        </w:tc>
        <w:tc>
          <w:tcPr>
            <w:tcW w:type="dxa" w:w="1361"/>
          </w:tcPr>
          <w:p>
            <w:pPr>
              <w:jc w:val="left"/>
            </w:pPr>
            <w:r/>
            <w:r>
              <w:rPr>
                <w:sz w:val="16"/>
              </w:rPr>
              <w:t>work</w:t>
            </w:r>
          </w:p>
        </w:tc>
        <w:tc>
          <w:tcPr>
            <w:tcW w:type="dxa" w:w="5216"/>
          </w:tcPr>
          <w:p>
            <w:pPr>
              <w:jc w:val="left"/>
            </w:pPr>
            <w:r/>
            <w:r>
              <w:rPr>
                <w:sz w:val="16"/>
              </w:rPr>
              <w:t>Autoscaler policy: work or queue</w:t>
            </w:r>
          </w:p>
        </w:tc>
      </w:tr>
      <w:tr>
        <w:tc>
          <w:tcPr>
            <w:tcW w:type="dxa" w:w="3515"/>
          </w:tcPr>
          <w:p>
            <w:pPr>
              <w:jc w:val="left"/>
            </w:pPr>
            <w:r/>
            <w:r>
              <w:rPr>
                <w:sz w:val="16"/>
              </w:rPr>
              <w:t>LATENCY_TARGET_S, TARGET_UTILIZATION, POD_STARTUP_S</w:t>
            </w:r>
          </w:p>
        </w:tc>
        <w:tc>
          <w:tcPr>
            <w:tcW w:type="dxa" w:w="1361"/>
          </w:tcPr>
          <w:p>
            <w:pPr>
              <w:jc w:val="left"/>
            </w:pPr>
            <w:r/>
            <w:r>
              <w:rPr>
                <w:sz w:val="16"/>
              </w:rPr>
              <w:t>30, 0.8, 5</w:t>
            </w:r>
          </w:p>
        </w:tc>
        <w:tc>
          <w:tcPr>
            <w:tcW w:type="dxa" w:w="5216"/>
          </w:tcPr>
          <w:p>
            <w:pPr>
              <w:jc w:val="left"/>
            </w:pPr>
            <w:r/>
            <w:r>
              <w:rPr>
                <w:sz w:val="16"/>
              </w:rPr>
              <w:t>Work-aware scaler parameters</w:t>
            </w:r>
          </w:p>
        </w:tc>
      </w:tr>
    </w:tbl>
    <w:p>
      <w:pPr>
        <w:spacing w:after="80"/>
      </w:pPr>
    </w:p>
    <w:sectPr w:rsidR="00FC693F" w:rsidRPr="0006063C" w:rsidSect="00034616">
      <w:pgSz w:w="11906" w:h="16838"/>
      <w:pgMar w:top="1077" w:right="890" w:bottom="1440" w:left="890" w:header="720" w:footer="720" w:gutter="0"/>
      <w:cols w:space="238"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i w:val="0"/>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