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5324B"/>
          <w:sz w:val="72"/>
        </w:rPr>
        <w:t>QUANTEDGE</w:t>
      </w:r>
    </w:p>
    <w:p>
      <w:pPr>
        <w:jc w:val="center"/>
      </w:pPr>
      <w:r>
        <w:rPr>
          <w:color w:val="176B87"/>
          <w:sz w:val="34"/>
        </w:rPr>
        <w:t>Stock Market Analysis &amp; Quantitative Research Platform</w:t>
      </w:r>
    </w:p>
    <w:p>
      <w:pPr>
        <w:spacing w:before="360"/>
        <w:jc w:val="center"/>
      </w:pPr>
      <w:r>
        <w:rPr>
          <w:sz w:val="24"/>
        </w:rPr>
        <w:t>System Overview, User Workflows, Data Architecture,</w:t>
        <w:br/>
        <w:t>Algorithm Use Cases and Source-Code Traceability</w:t>
      </w:r>
    </w:p>
    <w:p>
      <w:pPr>
        <w:spacing w:before="1100"/>
        <w:jc w:val="center"/>
      </w:pPr>
      <w:r>
        <w:rPr>
          <w:b/>
          <w:sz w:val="24"/>
        </w:rPr>
        <w:t>Project Design Document</w:t>
      </w:r>
    </w:p>
    <w:p>
      <w:pPr>
        <w:jc w:val="center"/>
      </w:pPr>
      <w:r>
        <w:rPr>
          <w:sz w:val="20"/>
        </w:rPr>
        <w:t>Scope: Indian and US equities, ETFs, supported market indices, and paper trading</w:t>
        <w:br/>
      </w:r>
      <w:r>
        <w:rPr>
          <w:sz w:val="18"/>
        </w:rPr>
        <w:t>Version 1.0 | Prepared 24 October 2026</w:t>
      </w:r>
    </w:p>
    <w:p>
      <w:r>
        <w:br w:type="page"/>
      </w:r>
    </w:p>
    <w:p>
      <w:pPr>
        <w:pStyle w:val="Heading1"/>
      </w:pPr>
      <w:r>
        <w:t>1. Executive Summary</w:t>
      </w:r>
    </w:p>
    <w:p>
      <w:r>
        <w:t>QuantEdge is a web-based stock-market research and paper-trading platform. It combines market data from a configurable financial-data provider with historical price analysis, company research, watchlists, a virtual portfolio, and an interactive Algorithm Lab. Its academic objective is to demonstrate how 13 Advanced Competitive Coding algorithms can be implemented, tested, traced to source files, and connected to clearly defined application features.</w:t>
      </w:r>
    </w:p>
    <w:p>
      <w:r>
        <w:t>The product is designed for traditional financial instruments only: equities, exchange-traded funds (ETFs), and supported market indices. It does not execute real brokerage orders. Paper trades use virtual capital and must be clearly distinguished from actual exchange execution.</w:t>
      </w:r>
    </w:p>
    <w:p>
      <w:pPr>
        <w:pStyle w:val="Heading2"/>
      </w:pPr>
      <w:r>
        <w:t>Project goals</w:t>
      </w:r>
    </w:p>
    <w:p>
      <w:pPr>
        <w:pStyle w:val="ListBullet"/>
        <w:spacing w:after="60"/>
      </w:pPr>
      <w:r>
        <w:t>Present market information with visible source, timestamp, currency, and freshness status.</w:t>
      </w:r>
    </w:p>
    <w:p>
      <w:pPr>
        <w:pStyle w:val="ListBullet"/>
        <w:spacing w:after="60"/>
      </w:pPr>
      <w:r>
        <w:t>Support stock discovery, watchlists, historical charts, available company fundamentals, and screening.</w:t>
      </w:r>
    </w:p>
    <w:p>
      <w:pPr>
        <w:pStyle w:val="ListBullet"/>
        <w:spacing w:after="60"/>
      </w:pPr>
      <w:r>
        <w:t>Provide a paper-trading workflow with consistent virtual cash, positions, fees, and P&amp;L.</w:t>
      </w:r>
    </w:p>
    <w:p>
      <w:pPr>
        <w:pStyle w:val="ListBullet"/>
        <w:spacing w:after="60"/>
      </w:pPr>
      <w:r>
        <w:t>Implement all 13 required algorithms in independent source files.</w:t>
      </w:r>
    </w:p>
    <w:p>
      <w:pPr>
        <w:pStyle w:val="ListBullet"/>
        <w:spacing w:after="60"/>
      </w:pPr>
      <w:r>
        <w:t>Expose each algorithm's exact file, exported function, caller, tests, input/output contract, and execution trace.</w:t>
      </w:r>
    </w:p>
    <w:p>
      <w:pPr>
        <w:pStyle w:val="ListBullet"/>
        <w:spacing w:after="60"/>
      </w:pPr>
      <w:r>
        <w:t>Provide a testable, documented full-stack architecture rather than a static interface.</w:t>
      </w:r>
    </w:p>
    <w:p>
      <w:pPr>
        <w:pStyle w:val="Heading1"/>
      </w:pPr>
      <w:r>
        <w:t>2. Product Scope and User Roles</w:t>
      </w:r>
    </w:p>
    <w:p>
      <w:pPr>
        <w:pStyle w:val="Heading2"/>
      </w:pPr>
      <w:r>
        <w:t>2.1 Core scope</w:t>
      </w:r>
    </w:p>
    <w:p>
      <w:pPr>
        <w:pStyle w:val="ListBullet"/>
        <w:spacing w:after="60"/>
      </w:pPr>
      <w:r>
        <w:t>Indian equities listed on NSE/BSE and US equities, subject to actual provider coverage and account entitlements.</w:t>
      </w:r>
    </w:p>
    <w:p>
      <w:pPr>
        <w:pStyle w:val="ListBullet"/>
        <w:spacing w:after="60"/>
      </w:pPr>
      <w:r>
        <w:t>ETFs and market indices where the provider supports them.</w:t>
      </w:r>
    </w:p>
    <w:p>
      <w:pPr>
        <w:pStyle w:val="ListBullet"/>
        <w:spacing w:after="60"/>
      </w:pPr>
      <w:r>
        <w:t>Historical OHLCV data: open, high, low, close, and volume.</w:t>
      </w:r>
    </w:p>
    <w:p>
      <w:pPr>
        <w:pStyle w:val="ListBullet"/>
        <w:spacing w:after="60"/>
      </w:pPr>
      <w:r>
        <w:t>Quotes, company profiles, fundamentals, and financial statements when available from the configured provider.</w:t>
      </w:r>
    </w:p>
    <w:p>
      <w:pPr>
        <w:pStyle w:val="ListBullet"/>
        <w:spacing w:after="60"/>
      </w:pPr>
      <w:r>
        <w:t>Stock screening, watchlists, portfolio tracking, simulated orders, and quantitative analytics.</w:t>
      </w:r>
    </w:p>
    <w:p>
      <w:pPr>
        <w:pStyle w:val="ListBullet"/>
        <w:spacing w:after="60"/>
      </w:pPr>
      <w:r>
        <w:t>Algorithm demonstrations, source inspection, complexity explanations, and automated testing.</w:t>
      </w:r>
    </w:p>
    <w:p>
      <w:pPr>
        <w:pStyle w:val="Heading2"/>
      </w:pPr>
      <w:r>
        <w:t>2.2 Users</w:t>
      </w:r>
    </w:p>
    <w:p>
      <w:pPr>
        <w:pStyle w:val="ListBullet"/>
        <w:spacing w:after="60"/>
      </w:pPr>
      <w:r>
        <w:t>Research user: searches instruments, studies charts, views fundamentals, and runs analyses.</w:t>
      </w:r>
    </w:p>
    <w:p>
      <w:pPr>
        <w:pStyle w:val="ListBullet"/>
        <w:spacing w:after="60"/>
      </w:pPr>
      <w:r>
        <w:t>Paper trader: manages a virtual portfolio and simulates orders.</w:t>
      </w:r>
    </w:p>
    <w:p>
      <w:pPr>
        <w:pStyle w:val="ListBullet"/>
        <w:spacing w:after="60"/>
      </w:pPr>
      <w:r>
        <w:t>Student/evaluator: opens the Algorithm Registry, runs each algorithm, inspects traces, and verifies source files.</w:t>
      </w:r>
    </w:p>
    <w:p>
      <w:pPr>
        <w:pStyle w:val="ListBullet"/>
        <w:spacing w:after="60"/>
      </w:pPr>
      <w:r>
        <w:t>Administrator/developer: configures the data provider, database, and runtime environment.</w:t>
      </w:r>
    </w:p>
    <w:p>
      <w:pPr>
        <w:pStyle w:val="Heading1"/>
      </w:pPr>
      <w:r>
        <w:t>3. How the Website Works</w:t>
      </w:r>
    </w:p>
    <w:p>
      <w:pPr>
        <w:pStyle w:val="Heading2"/>
      </w:pPr>
      <w:r>
        <w:t>3.1 Typical user journey</w:t>
      </w:r>
    </w:p>
    <w:p>
      <w:pPr>
        <w:pStyle w:val="ListNumber"/>
        <w:spacing w:after="60"/>
      </w:pPr>
      <w:r>
        <w:t>Open the Dashboard to review market status, watchlists, portfolio summary, and recent analyses.</w:t>
      </w:r>
    </w:p>
    <w:p>
      <w:pPr>
        <w:pStyle w:val="ListNumber"/>
        <w:spacing w:after="60"/>
      </w:pPr>
      <w:r>
        <w:t>Use Market Overview or Search to find an instrument by company name, ticker, and exchange.</w:t>
      </w:r>
    </w:p>
    <w:p>
      <w:pPr>
        <w:pStyle w:val="ListNumber"/>
        <w:spacing w:after="60"/>
      </w:pPr>
      <w:r>
        <w:t>Open Stock Detail to inspect a chart, volume, historical period, and available company information.</w:t>
      </w:r>
    </w:p>
    <w:p>
      <w:pPr>
        <w:pStyle w:val="ListNumber"/>
        <w:spacing w:after="60"/>
      </w:pPr>
      <w:r>
        <w:t>Run an analysis from Quantitative Analytics. The application validates the selected dataset and invokes the corresponding algorithm implementation.</w:t>
      </w:r>
    </w:p>
    <w:p>
      <w:pPr>
        <w:pStyle w:val="ListNumber"/>
        <w:spacing w:after="60"/>
      </w:pPr>
      <w:r>
        <w:t>Save an instrument to a watchlist or open the Paper Trading form.</w:t>
      </w:r>
    </w:p>
    <w:p>
      <w:pPr>
        <w:pStyle w:val="ListNumber"/>
        <w:spacing w:after="60"/>
      </w:pPr>
      <w:r>
        <w:t>Submit a simulated order. The backend validates funds and quantity, records the order, updates the virtual account consistently, and stores the transaction.</w:t>
      </w:r>
    </w:p>
    <w:p>
      <w:pPr>
        <w:pStyle w:val="ListNumber"/>
        <w:spacing w:after="60"/>
      </w:pPr>
      <w:r>
        <w:t>Open Algorithm Lab or Algorithm Registry to inspect an algorithm's implementation, trace, tests, complexity, and application caller.</w:t>
      </w:r>
    </w:p>
    <w:p>
      <w:pPr>
        <w:pStyle w:val="Heading2"/>
      </w:pPr>
      <w:r>
        <w:t>3.2 Main pages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5324B"/>
          </w:tcPr>
          <w:p>
            <w:pPr>
              <w:spacing w:after="40"/>
            </w:pPr>
            <w:r/>
            <w:r>
              <w:rPr>
                <w:rFonts w:ascii="Aptos" w:hAnsi="Aptos"/>
                <w:b/>
                <w:color w:val="FFFFFF"/>
                <w:sz w:val="18"/>
              </w:rPr>
              <w:t>Page</w:t>
            </w:r>
          </w:p>
        </w:tc>
        <w:tc>
          <w:tcPr>
            <w:tcW w:type="dxa" w:w="3312"/>
            <w:vAlign w:val="center"/>
            <w:shd w:fill="15324B"/>
          </w:tcPr>
          <w:p>
            <w:pPr>
              <w:spacing w:after="40"/>
            </w:pPr>
            <w:r/>
            <w:r>
              <w:rPr>
                <w:rFonts w:ascii="Aptos" w:hAnsi="Aptos"/>
                <w:b/>
                <w:color w:val="FFFFFF"/>
                <w:sz w:val="18"/>
              </w:rPr>
              <w:t>Route</w:t>
            </w:r>
          </w:p>
        </w:tc>
        <w:tc>
          <w:tcPr>
            <w:tcW w:type="dxa" w:w="3312"/>
            <w:vAlign w:val="center"/>
            <w:shd w:fill="15324B"/>
          </w:tcPr>
          <w:p>
            <w:pPr>
              <w:spacing w:after="40"/>
            </w:pPr>
            <w:r/>
            <w:r>
              <w:rPr>
                <w:rFonts w:ascii="Aptos" w:hAnsi="Aptos"/>
                <w:b/>
                <w:color w:val="FFFFFF"/>
                <w:sz w:val="18"/>
              </w:rPr>
              <w:t>Purpose</w:t>
            </w:r>
          </w:p>
        </w:tc>
      </w:tr>
      <w:tr>
        <w:tc>
          <w:tcPr>
            <w:tcW w:type="dxa" w:w="3312"/>
            <w:vAlign w:val="center"/>
          </w:tcPr>
          <w:p>
            <w:pPr>
              <w:spacing w:after="40"/>
            </w:pPr>
            <w:r/>
            <w:r>
              <w:rPr>
                <w:rFonts w:ascii="Aptos" w:hAnsi="Aptos"/>
                <w:b w:val="0"/>
                <w:sz w:val="17"/>
              </w:rPr>
              <w:t>Dashboard</w:t>
            </w:r>
          </w:p>
        </w:tc>
        <w:tc>
          <w:tcPr>
            <w:tcW w:type="dxa" w:w="3312"/>
            <w:vAlign w:val="center"/>
          </w:tcPr>
          <w:p>
            <w:pPr>
              <w:spacing w:after="40"/>
            </w:pPr>
            <w:r/>
            <w:r>
              <w:rPr>
                <w:rFonts w:ascii="Aptos" w:hAnsi="Aptos"/>
                <w:b w:val="0"/>
                <w:sz w:val="17"/>
              </w:rPr>
              <w:t>/dashboard</w:t>
            </w:r>
          </w:p>
        </w:tc>
        <w:tc>
          <w:tcPr>
            <w:tcW w:type="dxa" w:w="3312"/>
            <w:vAlign w:val="center"/>
          </w:tcPr>
          <w:p>
            <w:pPr>
              <w:spacing w:after="40"/>
            </w:pPr>
            <w:r/>
            <w:r>
              <w:rPr>
                <w:rFonts w:ascii="Aptos" w:hAnsi="Aptos"/>
                <w:b w:val="0"/>
                <w:sz w:val="17"/>
              </w:rPr>
              <w:t>Market overview, selected indices, watchlist snapshot, portfolio summary, data status, and recent analyses.</w:t>
            </w:r>
          </w:p>
        </w:tc>
      </w:tr>
      <w:tr>
        <w:tc>
          <w:tcPr>
            <w:tcW w:type="dxa" w:w="3312"/>
            <w:vAlign w:val="center"/>
          </w:tcPr>
          <w:p>
            <w:pPr>
              <w:spacing w:after="40"/>
            </w:pPr>
            <w:r/>
            <w:r>
              <w:rPr>
                <w:rFonts w:ascii="Aptos" w:hAnsi="Aptos"/>
                <w:b w:val="0"/>
                <w:sz w:val="17"/>
              </w:rPr>
              <w:t>Markets</w:t>
            </w:r>
          </w:p>
        </w:tc>
        <w:tc>
          <w:tcPr>
            <w:tcW w:type="dxa" w:w="3312"/>
            <w:vAlign w:val="center"/>
          </w:tcPr>
          <w:p>
            <w:pPr>
              <w:spacing w:after="40"/>
            </w:pPr>
            <w:r/>
            <w:r>
              <w:rPr>
                <w:rFonts w:ascii="Aptos" w:hAnsi="Aptos"/>
                <w:b w:val="0"/>
                <w:sz w:val="17"/>
              </w:rPr>
              <w:t>/markets</w:t>
            </w:r>
          </w:p>
        </w:tc>
        <w:tc>
          <w:tcPr>
            <w:tcW w:type="dxa" w:w="3312"/>
            <w:vAlign w:val="center"/>
          </w:tcPr>
          <w:p>
            <w:pPr>
              <w:spacing w:after="40"/>
            </w:pPr>
            <w:r/>
            <w:r>
              <w:rPr>
                <w:rFonts w:ascii="Aptos" w:hAnsi="Aptos"/>
                <w:b w:val="0"/>
                <w:sz w:val="17"/>
              </w:rPr>
              <w:t>Searchable instruments table with exchange, symbol, quote, change, volume, sorting, and watchlist actions.</w:t>
            </w:r>
          </w:p>
        </w:tc>
      </w:tr>
      <w:tr>
        <w:tc>
          <w:tcPr>
            <w:tcW w:type="dxa" w:w="3312"/>
            <w:vAlign w:val="center"/>
          </w:tcPr>
          <w:p>
            <w:pPr>
              <w:spacing w:after="40"/>
            </w:pPr>
            <w:r/>
            <w:r>
              <w:rPr>
                <w:rFonts w:ascii="Aptos" w:hAnsi="Aptos"/>
                <w:b w:val="0"/>
                <w:sz w:val="17"/>
              </w:rPr>
              <w:t>Stock Detail</w:t>
            </w:r>
          </w:p>
        </w:tc>
        <w:tc>
          <w:tcPr>
            <w:tcW w:type="dxa" w:w="3312"/>
            <w:vAlign w:val="center"/>
          </w:tcPr>
          <w:p>
            <w:pPr>
              <w:spacing w:after="40"/>
            </w:pPr>
            <w:r/>
            <w:r>
              <w:rPr>
                <w:rFonts w:ascii="Aptos" w:hAnsi="Aptos"/>
                <w:b w:val="0"/>
                <w:sz w:val="17"/>
              </w:rPr>
              <w:t>/stocks/[symbol]</w:t>
            </w:r>
          </w:p>
        </w:tc>
        <w:tc>
          <w:tcPr>
            <w:tcW w:type="dxa" w:w="3312"/>
            <w:vAlign w:val="center"/>
          </w:tcPr>
          <w:p>
            <w:pPr>
              <w:spacing w:after="40"/>
            </w:pPr>
            <w:r/>
            <w:r>
              <w:rPr>
                <w:rFonts w:ascii="Aptos" w:hAnsi="Aptos"/>
                <w:b w:val="0"/>
                <w:sz w:val="17"/>
              </w:rPr>
              <w:t>Instrument identity, chart, historical candles, volume, supported fundamentals, and historical analytics.</w:t>
            </w:r>
          </w:p>
        </w:tc>
      </w:tr>
      <w:tr>
        <w:tc>
          <w:tcPr>
            <w:tcW w:type="dxa" w:w="3312"/>
            <w:vAlign w:val="center"/>
          </w:tcPr>
          <w:p>
            <w:pPr>
              <w:spacing w:after="40"/>
            </w:pPr>
            <w:r/>
            <w:r>
              <w:rPr>
                <w:rFonts w:ascii="Aptos" w:hAnsi="Aptos"/>
                <w:b w:val="0"/>
                <w:sz w:val="17"/>
              </w:rPr>
              <w:t>Screener</w:t>
            </w:r>
          </w:p>
        </w:tc>
        <w:tc>
          <w:tcPr>
            <w:tcW w:type="dxa" w:w="3312"/>
            <w:vAlign w:val="center"/>
          </w:tcPr>
          <w:p>
            <w:pPr>
              <w:spacing w:after="40"/>
            </w:pPr>
            <w:r/>
            <w:r>
              <w:rPr>
                <w:rFonts w:ascii="Aptos" w:hAnsi="Aptos"/>
                <w:b w:val="0"/>
                <w:sz w:val="17"/>
              </w:rPr>
              <w:t>/screener</w:t>
            </w:r>
          </w:p>
        </w:tc>
        <w:tc>
          <w:tcPr>
            <w:tcW w:type="dxa" w:w="3312"/>
            <w:vAlign w:val="center"/>
          </w:tcPr>
          <w:p>
            <w:pPr>
              <w:spacing w:after="40"/>
            </w:pPr>
            <w:r/>
            <w:r>
              <w:rPr>
                <w:rFonts w:ascii="Aptos" w:hAnsi="Aptos"/>
                <w:b w:val="0"/>
                <w:sz w:val="17"/>
              </w:rPr>
              <w:t>Filter supported instruments by exchange, sector, price, percentage change, volume, and available fundamentals.</w:t>
            </w:r>
          </w:p>
        </w:tc>
      </w:tr>
      <w:tr>
        <w:tc>
          <w:tcPr>
            <w:tcW w:type="dxa" w:w="3312"/>
            <w:vAlign w:val="center"/>
          </w:tcPr>
          <w:p>
            <w:pPr>
              <w:spacing w:after="40"/>
            </w:pPr>
            <w:r/>
            <w:r>
              <w:rPr>
                <w:rFonts w:ascii="Aptos" w:hAnsi="Aptos"/>
                <w:b w:val="0"/>
                <w:sz w:val="17"/>
              </w:rPr>
              <w:t>Watchlists</w:t>
            </w:r>
          </w:p>
        </w:tc>
        <w:tc>
          <w:tcPr>
            <w:tcW w:type="dxa" w:w="3312"/>
            <w:vAlign w:val="center"/>
          </w:tcPr>
          <w:p>
            <w:pPr>
              <w:spacing w:after="40"/>
            </w:pPr>
            <w:r/>
            <w:r>
              <w:rPr>
                <w:rFonts w:ascii="Aptos" w:hAnsi="Aptos"/>
                <w:b w:val="0"/>
                <w:sz w:val="17"/>
              </w:rPr>
              <w:t>/watchlists</w:t>
            </w:r>
          </w:p>
        </w:tc>
        <w:tc>
          <w:tcPr>
            <w:tcW w:type="dxa" w:w="3312"/>
            <w:vAlign w:val="center"/>
          </w:tcPr>
          <w:p>
            <w:pPr>
              <w:spacing w:after="40"/>
            </w:pPr>
            <w:r/>
            <w:r>
              <w:rPr>
                <w:rFonts w:ascii="Aptos" w:hAnsi="Aptos"/>
                <w:b w:val="0"/>
                <w:sz w:val="17"/>
              </w:rPr>
              <w:t>Create and manage saved lists; open details and compare instruments.</w:t>
            </w:r>
          </w:p>
        </w:tc>
      </w:tr>
      <w:tr>
        <w:tc>
          <w:tcPr>
            <w:tcW w:type="dxa" w:w="3312"/>
            <w:vAlign w:val="center"/>
          </w:tcPr>
          <w:p>
            <w:pPr>
              <w:spacing w:after="40"/>
            </w:pPr>
            <w:r/>
            <w:r>
              <w:rPr>
                <w:rFonts w:ascii="Aptos" w:hAnsi="Aptos"/>
                <w:b w:val="0"/>
                <w:sz w:val="17"/>
              </w:rPr>
              <w:t>Portfolio</w:t>
            </w:r>
          </w:p>
        </w:tc>
        <w:tc>
          <w:tcPr>
            <w:tcW w:type="dxa" w:w="3312"/>
            <w:vAlign w:val="center"/>
          </w:tcPr>
          <w:p>
            <w:pPr>
              <w:spacing w:after="40"/>
            </w:pPr>
            <w:r/>
            <w:r>
              <w:rPr>
                <w:rFonts w:ascii="Aptos" w:hAnsi="Aptos"/>
                <w:b w:val="0"/>
                <w:sz w:val="17"/>
              </w:rPr>
              <w:t>/portfolio</w:t>
            </w:r>
          </w:p>
        </w:tc>
        <w:tc>
          <w:tcPr>
            <w:tcW w:type="dxa" w:w="3312"/>
            <w:vAlign w:val="center"/>
          </w:tcPr>
          <w:p>
            <w:pPr>
              <w:spacing w:after="40"/>
            </w:pPr>
            <w:r/>
            <w:r>
              <w:rPr>
                <w:rFonts w:ascii="Aptos" w:hAnsi="Aptos"/>
                <w:b w:val="0"/>
                <w:sz w:val="17"/>
              </w:rPr>
              <w:t>Virtual cash, positions, average entry price, market value, realized/unrealized P&amp;L, and order history.</w:t>
            </w:r>
          </w:p>
        </w:tc>
      </w:tr>
      <w:tr>
        <w:tc>
          <w:tcPr>
            <w:tcW w:type="dxa" w:w="3312"/>
            <w:vAlign w:val="center"/>
          </w:tcPr>
          <w:p>
            <w:pPr>
              <w:spacing w:after="40"/>
            </w:pPr>
            <w:r/>
            <w:r>
              <w:rPr>
                <w:rFonts w:ascii="Aptos" w:hAnsi="Aptos"/>
                <w:b w:val="0"/>
                <w:sz w:val="17"/>
              </w:rPr>
              <w:t>Quantitative Analytics</w:t>
            </w:r>
          </w:p>
        </w:tc>
        <w:tc>
          <w:tcPr>
            <w:tcW w:type="dxa" w:w="3312"/>
            <w:vAlign w:val="center"/>
          </w:tcPr>
          <w:p>
            <w:pPr>
              <w:spacing w:after="40"/>
            </w:pPr>
            <w:r/>
            <w:r>
              <w:rPr>
                <w:rFonts w:ascii="Aptos" w:hAnsi="Aptos"/>
                <w:b w:val="0"/>
                <w:sz w:val="17"/>
              </w:rPr>
              <w:t>/analytics</w:t>
            </w:r>
          </w:p>
        </w:tc>
        <w:tc>
          <w:tcPr>
            <w:tcW w:type="dxa" w:w="3312"/>
            <w:vAlign w:val="center"/>
          </w:tcPr>
          <w:p>
            <w:pPr>
              <w:spacing w:after="40"/>
            </w:pPr>
            <w:r/>
            <w:r>
              <w:rPr>
                <w:rFonts w:ascii="Aptos" w:hAnsi="Aptos"/>
                <w:b w:val="0"/>
                <w:sz w:val="17"/>
              </w:rPr>
              <w:t>Historical price leaders, return-window analysis, market breadth, heatmaps, and contribution analysis.</w:t>
            </w:r>
          </w:p>
        </w:tc>
      </w:tr>
      <w:tr>
        <w:tc>
          <w:tcPr>
            <w:tcW w:type="dxa" w:w="3312"/>
            <w:vAlign w:val="center"/>
          </w:tcPr>
          <w:p>
            <w:pPr>
              <w:spacing w:after="40"/>
            </w:pPr>
            <w:r/>
            <w:r>
              <w:rPr>
                <w:rFonts w:ascii="Aptos" w:hAnsi="Aptos"/>
                <w:b w:val="0"/>
                <w:sz w:val="17"/>
              </w:rPr>
              <w:t>Algorithm Lab</w:t>
            </w:r>
          </w:p>
        </w:tc>
        <w:tc>
          <w:tcPr>
            <w:tcW w:type="dxa" w:w="3312"/>
            <w:vAlign w:val="center"/>
          </w:tcPr>
          <w:p>
            <w:pPr>
              <w:spacing w:after="40"/>
            </w:pPr>
            <w:r/>
            <w:r>
              <w:rPr>
                <w:rFonts w:ascii="Aptos" w:hAnsi="Aptos"/>
                <w:b w:val="0"/>
                <w:sz w:val="17"/>
              </w:rPr>
              <w:t>/algorithms</w:t>
            </w:r>
          </w:p>
        </w:tc>
        <w:tc>
          <w:tcPr>
            <w:tcW w:type="dxa" w:w="3312"/>
            <w:vAlign w:val="center"/>
          </w:tcPr>
          <w:p>
            <w:pPr>
              <w:spacing w:after="40"/>
            </w:pPr>
            <w:r/>
            <w:r>
              <w:rPr>
                <w:rFonts w:ascii="Aptos" w:hAnsi="Aptos"/>
                <w:b w:val="0"/>
                <w:sz w:val="17"/>
              </w:rPr>
              <w:t>Run any of the 13 algorithms with custom input and inspect results and traces.</w:t>
            </w:r>
          </w:p>
        </w:tc>
      </w:tr>
      <w:tr>
        <w:tc>
          <w:tcPr>
            <w:tcW w:type="dxa" w:w="3312"/>
            <w:vAlign w:val="center"/>
          </w:tcPr>
          <w:p>
            <w:pPr>
              <w:spacing w:after="40"/>
            </w:pPr>
            <w:r/>
            <w:r>
              <w:rPr>
                <w:rFonts w:ascii="Aptos" w:hAnsi="Aptos"/>
                <w:b w:val="0"/>
                <w:sz w:val="17"/>
              </w:rPr>
              <w:t>Algorithm Inspector</w:t>
            </w:r>
          </w:p>
        </w:tc>
        <w:tc>
          <w:tcPr>
            <w:tcW w:type="dxa" w:w="3312"/>
            <w:vAlign w:val="center"/>
          </w:tcPr>
          <w:p>
            <w:pPr>
              <w:spacing w:after="40"/>
            </w:pPr>
            <w:r/>
            <w:r>
              <w:rPr>
                <w:rFonts w:ascii="Aptos" w:hAnsi="Aptos"/>
                <w:b w:val="0"/>
                <w:sz w:val="17"/>
              </w:rPr>
              <w:t>/algorithms/[slug]</w:t>
            </w:r>
          </w:p>
        </w:tc>
        <w:tc>
          <w:tcPr>
            <w:tcW w:type="dxa" w:w="3312"/>
            <w:vAlign w:val="center"/>
          </w:tcPr>
          <w:p>
            <w:pPr>
              <w:spacing w:after="40"/>
            </w:pPr>
            <w:r/>
            <w:r>
              <w:rPr>
                <w:rFonts w:ascii="Aptos" w:hAnsi="Aptos"/>
                <w:b w:val="0"/>
                <w:sz w:val="17"/>
              </w:rPr>
              <w:t>Detailed explanation, source code, function name, caller, tests, complexity, input/output, and trace.</w:t>
            </w:r>
          </w:p>
        </w:tc>
      </w:tr>
      <w:tr>
        <w:tc>
          <w:tcPr>
            <w:tcW w:type="dxa" w:w="3312"/>
            <w:vAlign w:val="center"/>
          </w:tcPr>
          <w:p>
            <w:pPr>
              <w:spacing w:after="40"/>
            </w:pPr>
            <w:r/>
            <w:r>
              <w:rPr>
                <w:rFonts w:ascii="Aptos" w:hAnsi="Aptos"/>
                <w:b w:val="0"/>
                <w:sz w:val="17"/>
              </w:rPr>
              <w:t>Algorithm Registry</w:t>
            </w:r>
          </w:p>
        </w:tc>
        <w:tc>
          <w:tcPr>
            <w:tcW w:type="dxa" w:w="3312"/>
            <w:vAlign w:val="center"/>
          </w:tcPr>
          <w:p>
            <w:pPr>
              <w:spacing w:after="40"/>
            </w:pPr>
            <w:r/>
            <w:r>
              <w:rPr>
                <w:rFonts w:ascii="Aptos" w:hAnsi="Aptos"/>
                <w:b w:val="0"/>
                <w:sz w:val="17"/>
              </w:rPr>
              <w:t>/algorithm-registry</w:t>
            </w:r>
          </w:p>
        </w:tc>
        <w:tc>
          <w:tcPr>
            <w:tcW w:type="dxa" w:w="3312"/>
            <w:vAlign w:val="center"/>
          </w:tcPr>
          <w:p>
            <w:pPr>
              <w:spacing w:after="40"/>
            </w:pPr>
            <w:r/>
            <w:r>
              <w:rPr>
                <w:rFonts w:ascii="Aptos" w:hAnsi="Aptos"/>
                <w:b w:val="0"/>
                <w:sz w:val="17"/>
              </w:rPr>
              <w:t>Machine-generated inventory of all 13 implementations and their source/test/caller references.</w:t>
            </w:r>
          </w:p>
        </w:tc>
      </w:tr>
      <w:tr>
        <w:tc>
          <w:tcPr>
            <w:tcW w:type="dxa" w:w="3312"/>
            <w:vAlign w:val="center"/>
          </w:tcPr>
          <w:p>
            <w:pPr>
              <w:spacing w:after="40"/>
            </w:pPr>
            <w:r/>
            <w:r>
              <w:rPr>
                <w:rFonts w:ascii="Aptos" w:hAnsi="Aptos"/>
                <w:b w:val="0"/>
                <w:sz w:val="17"/>
              </w:rPr>
              <w:t>Settings/System Status</w:t>
            </w:r>
          </w:p>
        </w:tc>
        <w:tc>
          <w:tcPr>
            <w:tcW w:type="dxa" w:w="3312"/>
            <w:vAlign w:val="center"/>
          </w:tcPr>
          <w:p>
            <w:pPr>
              <w:spacing w:after="40"/>
            </w:pPr>
            <w:r/>
            <w:r>
              <w:rPr>
                <w:rFonts w:ascii="Aptos" w:hAnsi="Aptos"/>
                <w:b w:val="0"/>
                <w:sz w:val="17"/>
              </w:rPr>
              <w:t>/settings</w:t>
            </w:r>
          </w:p>
        </w:tc>
        <w:tc>
          <w:tcPr>
            <w:tcW w:type="dxa" w:w="3312"/>
            <w:vAlign w:val="center"/>
          </w:tcPr>
          <w:p>
            <w:pPr>
              <w:spacing w:after="40"/>
            </w:pPr>
            <w:r/>
            <w:r>
              <w:rPr>
                <w:rFonts w:ascii="Aptos" w:hAnsi="Aptos"/>
                <w:b w:val="0"/>
                <w:sz w:val="17"/>
              </w:rPr>
              <w:t>Provider status, freshness, database health, display currency, and demo-mode state.</w:t>
            </w:r>
          </w:p>
        </w:tc>
      </w:tr>
    </w:tbl>
    <w:p>
      <w:pPr>
        <w:pStyle w:val="Heading1"/>
      </w:pPr>
      <w:r>
        <w:t>4. System Architecture</w:t>
      </w:r>
    </w:p>
    <w:p>
      <w:r>
        <w:t>The frontend must not call the market-data provider with secret credentials. Requests flow through the backend, which validates parameters, calls the provider adapter, normalizes results, and returns typed data. Analytics services consume normalized historical data and invoke the actual algorithm package. Paper-trading services maintain a separate virtual account and never submit brokerage orders.</w:t>
      </w:r>
    </w:p>
    <w:p>
      <w:pPr>
        <w:pStyle w:val="ListBullet"/>
      </w:pPr>
      <w:r>
        <w:rPr>
          <w:b/>
        </w:rPr>
        <w:t xml:space="preserve">Frontend: </w:t>
      </w:r>
      <w:r>
        <w:t>Next.js, React, TypeScript, Tailwind CSS, chart components; renders pages and collects user inputs.</w:t>
      </w:r>
    </w:p>
    <w:p>
      <w:pPr>
        <w:pStyle w:val="ListBullet"/>
      </w:pPr>
      <w:r>
        <w:rPr>
          <w:b/>
        </w:rPr>
        <w:t xml:space="preserve">Backend API: </w:t>
      </w:r>
      <w:r>
        <w:t>Node.js, TypeScript, Express; authentication/authorization, validation, market-data routes, analytics routes, algorithm execution, and paper trading.</w:t>
      </w:r>
    </w:p>
    <w:p>
      <w:pPr>
        <w:pStyle w:val="ListBullet"/>
      </w:pPr>
      <w:r>
        <w:rPr>
          <w:b/>
        </w:rPr>
        <w:t xml:space="preserve">Market-data adapter: </w:t>
      </w:r>
      <w:r>
        <w:t>Provider-specific REST/WebSocket integration, exchange-aware symbol resolution, normalization, caching, rate-limit handling, and freshness metadata.</w:t>
      </w:r>
    </w:p>
    <w:p>
      <w:pPr>
        <w:pStyle w:val="ListBullet"/>
      </w:pPr>
      <w:r>
        <w:rPr>
          <w:b/>
        </w:rPr>
        <w:t xml:space="preserve">Algorithm package: </w:t>
      </w:r>
      <w:r>
        <w:t>Thirteen independent functions, registry metadata, optional trace support, and unit tests.</w:t>
      </w:r>
    </w:p>
    <w:p>
      <w:pPr>
        <w:pStyle w:val="ListBullet"/>
      </w:pPr>
      <w:r>
        <w:rPr>
          <w:b/>
        </w:rPr>
        <w:t xml:space="preserve">Database: </w:t>
      </w:r>
      <w:r>
        <w:t>MongoDB Atlas stores users/settings, instruments metadata, watchlists, portfolios, positions, orders, transactions, analysis history, and bounded cache records.</w:t>
      </w:r>
    </w:p>
    <w:p>
      <w:pPr>
        <w:pStyle w:val="ListBullet"/>
      </w:pPr>
      <w:r>
        <w:rPr>
          <w:b/>
        </w:rPr>
        <w:t xml:space="preserve">External provider: </w:t>
      </w:r>
      <w:r>
        <w:t>Twelve Data or another configured provider for quotes, historical candles, and supported fundamentals. Coverage depends on plan and exchange entitlements.</w:t>
      </w:r>
    </w:p>
    <w:p>
      <w:pPr>
        <w:pStyle w:val="Heading2"/>
      </w:pPr>
      <w:r>
        <w:t>4.1 Market-data flow</w:t>
      </w:r>
    </w:p>
    <w:p>
      <w:pPr>
        <w:pStyle w:val="ListNumber"/>
        <w:spacing w:after="60"/>
      </w:pPr>
      <w:r>
        <w:t>The user selects a stock and interval.</w:t>
      </w:r>
    </w:p>
    <w:p>
      <w:pPr>
        <w:pStyle w:val="ListNumber"/>
        <w:spacing w:after="60"/>
      </w:pPr>
      <w:r>
        <w:t>The frontend requests data from the QuantEdge backend.</w:t>
      </w:r>
    </w:p>
    <w:p>
      <w:pPr>
        <w:pStyle w:val="ListNumber"/>
        <w:spacing w:after="60"/>
      </w:pPr>
      <w:r>
        <w:t>The backend validates the symbol and exchange and checks permitted cache entries.</w:t>
      </w:r>
    </w:p>
    <w:p>
      <w:pPr>
        <w:pStyle w:val="ListNumber"/>
        <w:spacing w:after="60"/>
      </w:pPr>
      <w:r>
        <w:t>The provider adapter retrieves the data if necessary and validates the response.</w:t>
      </w:r>
    </w:p>
    <w:p>
      <w:pPr>
        <w:pStyle w:val="ListNumber"/>
        <w:spacing w:after="60"/>
      </w:pPr>
      <w:r>
        <w:t>The backend normalizes timestamps, currency, OHLCV values, provider identity, and freshness status.</w:t>
      </w:r>
    </w:p>
    <w:p>
      <w:pPr>
        <w:pStyle w:val="ListNumber"/>
        <w:spacing w:after="60"/>
      </w:pPr>
      <w:r>
        <w:t>The frontend renders the chart and explicitly indicates LIVE, DELAYED, STALE, OFFLINE, or DEMO status where applicable.</w:t>
      </w:r>
    </w:p>
    <w:p>
      <w:pPr>
        <w:pStyle w:val="ListNumber"/>
        <w:spacing w:after="60"/>
      </w:pPr>
      <w:r>
        <w:t>The analytics service consumes a defined historical series and records the dataset period and algorithm version for reproducibility.</w:t>
      </w:r>
    </w:p>
    <w:p>
      <w:pPr>
        <w:pStyle w:val="Heading2"/>
      </w:pPr>
      <w:r>
        <w:t>4.2 Database responsibilities</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5324B"/>
          </w:tcPr>
          <w:p>
            <w:pPr>
              <w:spacing w:after="40"/>
            </w:pPr>
            <w:r/>
            <w:r>
              <w:rPr>
                <w:rFonts w:ascii="Aptos" w:hAnsi="Aptos"/>
                <w:b/>
                <w:color w:val="FFFFFF"/>
                <w:sz w:val="18"/>
              </w:rPr>
              <w:t>Collection / Model</w:t>
            </w:r>
          </w:p>
        </w:tc>
        <w:tc>
          <w:tcPr>
            <w:tcW w:type="dxa" w:w="4968"/>
            <w:vAlign w:val="center"/>
            <w:shd w:fill="15324B"/>
          </w:tcPr>
          <w:p>
            <w:pPr>
              <w:spacing w:after="40"/>
            </w:pPr>
            <w:r/>
            <w:r>
              <w:rPr>
                <w:rFonts w:ascii="Aptos" w:hAnsi="Aptos"/>
                <w:b/>
                <w:color w:val="FFFFFF"/>
                <w:sz w:val="18"/>
              </w:rPr>
              <w:t>Purpose</w:t>
            </w:r>
          </w:p>
        </w:tc>
      </w:tr>
      <w:tr>
        <w:tc>
          <w:tcPr>
            <w:tcW w:type="dxa" w:w="4968"/>
            <w:vAlign w:val="center"/>
          </w:tcPr>
          <w:p>
            <w:pPr>
              <w:spacing w:after="40"/>
            </w:pPr>
            <w:r/>
            <w:r>
              <w:rPr>
                <w:rFonts w:ascii="Aptos" w:hAnsi="Aptos"/>
                <w:b/>
                <w:sz w:val="17"/>
              </w:rPr>
              <w:t>User</w:t>
            </w:r>
          </w:p>
        </w:tc>
        <w:tc>
          <w:tcPr>
            <w:tcW w:type="dxa" w:w="4968"/>
            <w:vAlign w:val="center"/>
          </w:tcPr>
          <w:p>
            <w:pPr>
              <w:spacing w:after="40"/>
            </w:pPr>
            <w:r/>
            <w:r>
              <w:rPr>
                <w:rFonts w:ascii="Aptos" w:hAnsi="Aptos"/>
                <w:b w:val="0"/>
                <w:sz w:val="17"/>
              </w:rPr>
              <w:t>Identity reference, normalized email, display name, preferences; authentication handled securely.</w:t>
            </w:r>
          </w:p>
        </w:tc>
      </w:tr>
      <w:tr>
        <w:tc>
          <w:tcPr>
            <w:tcW w:type="dxa" w:w="4968"/>
            <w:vAlign w:val="center"/>
          </w:tcPr>
          <w:p>
            <w:pPr>
              <w:spacing w:after="40"/>
            </w:pPr>
            <w:r/>
            <w:r>
              <w:rPr>
                <w:rFonts w:ascii="Aptos" w:hAnsi="Aptos"/>
                <w:b/>
                <w:sz w:val="17"/>
              </w:rPr>
              <w:t>Instrument</w:t>
            </w:r>
          </w:p>
        </w:tc>
        <w:tc>
          <w:tcPr>
            <w:tcW w:type="dxa" w:w="4968"/>
            <w:vAlign w:val="center"/>
          </w:tcPr>
          <w:p>
            <w:pPr>
              <w:spacing w:after="40"/>
            </w:pPr>
            <w:r/>
            <w:r>
              <w:rPr>
                <w:rFonts w:ascii="Aptos" w:hAnsi="Aptos"/>
                <w:b w:val="0"/>
                <w:sz w:val="17"/>
              </w:rPr>
              <w:t>Symbol, company name, exchange, instrument type, currency, provider identifier.</w:t>
            </w:r>
          </w:p>
        </w:tc>
      </w:tr>
      <w:tr>
        <w:tc>
          <w:tcPr>
            <w:tcW w:type="dxa" w:w="4968"/>
            <w:vAlign w:val="center"/>
          </w:tcPr>
          <w:p>
            <w:pPr>
              <w:spacing w:after="40"/>
            </w:pPr>
            <w:r/>
            <w:r>
              <w:rPr>
                <w:rFonts w:ascii="Aptos" w:hAnsi="Aptos"/>
                <w:b/>
                <w:sz w:val="17"/>
              </w:rPr>
              <w:t>Watchlist</w:t>
            </w:r>
          </w:p>
        </w:tc>
        <w:tc>
          <w:tcPr>
            <w:tcW w:type="dxa" w:w="4968"/>
            <w:vAlign w:val="center"/>
          </w:tcPr>
          <w:p>
            <w:pPr>
              <w:spacing w:after="40"/>
            </w:pPr>
            <w:r/>
            <w:r>
              <w:rPr>
                <w:rFonts w:ascii="Aptos" w:hAnsi="Aptos"/>
                <w:b w:val="0"/>
                <w:sz w:val="17"/>
              </w:rPr>
              <w:t>Owner, name, instrument references, timestamps.</w:t>
            </w:r>
          </w:p>
        </w:tc>
      </w:tr>
      <w:tr>
        <w:tc>
          <w:tcPr>
            <w:tcW w:type="dxa" w:w="4968"/>
            <w:vAlign w:val="center"/>
          </w:tcPr>
          <w:p>
            <w:pPr>
              <w:spacing w:after="40"/>
            </w:pPr>
            <w:r/>
            <w:r>
              <w:rPr>
                <w:rFonts w:ascii="Aptos" w:hAnsi="Aptos"/>
                <w:b/>
                <w:sz w:val="17"/>
              </w:rPr>
              <w:t>Portfolio</w:t>
            </w:r>
          </w:p>
        </w:tc>
        <w:tc>
          <w:tcPr>
            <w:tcW w:type="dxa" w:w="4968"/>
            <w:vAlign w:val="center"/>
          </w:tcPr>
          <w:p>
            <w:pPr>
              <w:spacing w:after="40"/>
            </w:pPr>
            <w:r/>
            <w:r>
              <w:rPr>
                <w:rFonts w:ascii="Aptos" w:hAnsi="Aptos"/>
                <w:b w:val="0"/>
                <w:sz w:val="17"/>
              </w:rPr>
              <w:t>Owner, base currency, initial virtual capital, available cash.</w:t>
            </w:r>
          </w:p>
        </w:tc>
      </w:tr>
      <w:tr>
        <w:tc>
          <w:tcPr>
            <w:tcW w:type="dxa" w:w="4968"/>
            <w:vAlign w:val="center"/>
          </w:tcPr>
          <w:p>
            <w:pPr>
              <w:spacing w:after="40"/>
            </w:pPr>
            <w:r/>
            <w:r>
              <w:rPr>
                <w:rFonts w:ascii="Aptos" w:hAnsi="Aptos"/>
                <w:b/>
                <w:sz w:val="17"/>
              </w:rPr>
              <w:t>Position</w:t>
            </w:r>
          </w:p>
        </w:tc>
        <w:tc>
          <w:tcPr>
            <w:tcW w:type="dxa" w:w="4968"/>
            <w:vAlign w:val="center"/>
          </w:tcPr>
          <w:p>
            <w:pPr>
              <w:spacing w:after="40"/>
            </w:pPr>
            <w:r/>
            <w:r>
              <w:rPr>
                <w:rFonts w:ascii="Aptos" w:hAnsi="Aptos"/>
                <w:b w:val="0"/>
                <w:sz w:val="17"/>
              </w:rPr>
              <w:t>Portfolio, instrument, quantity, average entry price, cost basis, realized P&amp;L.</w:t>
            </w:r>
          </w:p>
        </w:tc>
      </w:tr>
      <w:tr>
        <w:tc>
          <w:tcPr>
            <w:tcW w:type="dxa" w:w="4968"/>
            <w:vAlign w:val="center"/>
          </w:tcPr>
          <w:p>
            <w:pPr>
              <w:spacing w:after="40"/>
            </w:pPr>
            <w:r/>
            <w:r>
              <w:rPr>
                <w:rFonts w:ascii="Aptos" w:hAnsi="Aptos"/>
                <w:b/>
                <w:sz w:val="17"/>
              </w:rPr>
              <w:t>PaperOrder</w:t>
            </w:r>
          </w:p>
        </w:tc>
        <w:tc>
          <w:tcPr>
            <w:tcW w:type="dxa" w:w="4968"/>
            <w:vAlign w:val="center"/>
          </w:tcPr>
          <w:p>
            <w:pPr>
              <w:spacing w:after="40"/>
            </w:pPr>
            <w:r/>
            <w:r>
              <w:rPr>
                <w:rFonts w:ascii="Aptos" w:hAnsi="Aptos"/>
                <w:b w:val="0"/>
                <w:sz w:val="17"/>
              </w:rPr>
              <w:t>Portfolio, instrument, side, order type, quantity, simulated price, fees, status, idempotency key, timestamps.</w:t>
            </w:r>
          </w:p>
        </w:tc>
      </w:tr>
      <w:tr>
        <w:tc>
          <w:tcPr>
            <w:tcW w:type="dxa" w:w="4968"/>
            <w:vAlign w:val="center"/>
          </w:tcPr>
          <w:p>
            <w:pPr>
              <w:spacing w:after="40"/>
            </w:pPr>
            <w:r/>
            <w:r>
              <w:rPr>
                <w:rFonts w:ascii="Aptos" w:hAnsi="Aptos"/>
                <w:b/>
                <w:sz w:val="17"/>
              </w:rPr>
              <w:t>Transaction</w:t>
            </w:r>
          </w:p>
        </w:tc>
        <w:tc>
          <w:tcPr>
            <w:tcW w:type="dxa" w:w="4968"/>
            <w:vAlign w:val="center"/>
          </w:tcPr>
          <w:p>
            <w:pPr>
              <w:spacing w:after="40"/>
            </w:pPr>
            <w:r/>
            <w:r>
              <w:rPr>
                <w:rFonts w:ascii="Aptos" w:hAnsi="Aptos"/>
                <w:b w:val="0"/>
                <w:sz w:val="17"/>
              </w:rPr>
              <w:t>Auditable ledger entry linked to order and portfolio; quantity, price, fees, cash change, currency, timestamp.</w:t>
            </w:r>
          </w:p>
        </w:tc>
      </w:tr>
      <w:tr>
        <w:tc>
          <w:tcPr>
            <w:tcW w:type="dxa" w:w="4968"/>
            <w:vAlign w:val="center"/>
          </w:tcPr>
          <w:p>
            <w:pPr>
              <w:spacing w:after="40"/>
            </w:pPr>
            <w:r/>
            <w:r>
              <w:rPr>
                <w:rFonts w:ascii="Aptos" w:hAnsi="Aptos"/>
                <w:b/>
                <w:sz w:val="17"/>
              </w:rPr>
              <w:t>MarketDataCache</w:t>
            </w:r>
          </w:p>
        </w:tc>
        <w:tc>
          <w:tcPr>
            <w:tcW w:type="dxa" w:w="4968"/>
            <w:vAlign w:val="center"/>
          </w:tcPr>
          <w:p>
            <w:pPr>
              <w:spacing w:after="40"/>
            </w:pPr>
            <w:r/>
            <w:r>
              <w:rPr>
                <w:rFonts w:ascii="Aptos" w:hAnsi="Aptos"/>
                <w:b w:val="0"/>
                <w:sz w:val="17"/>
              </w:rPr>
              <w:t>Provider payload, instrument, data type, interval, source timestamp, fetch time, expiry.</w:t>
            </w:r>
          </w:p>
        </w:tc>
      </w:tr>
      <w:tr>
        <w:tc>
          <w:tcPr>
            <w:tcW w:type="dxa" w:w="4968"/>
            <w:vAlign w:val="center"/>
          </w:tcPr>
          <w:p>
            <w:pPr>
              <w:spacing w:after="40"/>
            </w:pPr>
            <w:r/>
            <w:r>
              <w:rPr>
                <w:rFonts w:ascii="Aptos" w:hAnsi="Aptos"/>
                <w:b/>
                <w:sz w:val="17"/>
              </w:rPr>
              <w:t>AlgorithmRun</w:t>
            </w:r>
          </w:p>
        </w:tc>
        <w:tc>
          <w:tcPr>
            <w:tcW w:type="dxa" w:w="4968"/>
            <w:vAlign w:val="center"/>
          </w:tcPr>
          <w:p>
            <w:pPr>
              <w:spacing w:after="40"/>
            </w:pPr>
            <w:r/>
            <w:r>
              <w:rPr>
                <w:rFonts w:ascii="Aptos" w:hAnsi="Aptos"/>
                <w:b w:val="0"/>
                <w:sz w:val="17"/>
              </w:rPr>
              <w:t>Algorithm ID/version, input summary, result summary, dataset reference, duration, status, timestamp.</w:t>
            </w:r>
          </w:p>
        </w:tc>
      </w:tr>
    </w:tbl>
    <w:p>
      <w:r>
        <w:t>Persist business records and analysis metadata. Do not persist every incoming quote tick by default. Cache current quotes with bounded expiry and store historical candles only when needed for chart performance, reproducible analysis, or backtesting. Use decimal-safe arithmetic for account balances and consistent transactional updates for paper orders.</w:t>
      </w:r>
    </w:p>
    <w:p>
      <w:pPr>
        <w:pStyle w:val="Heading1"/>
      </w:pPr>
      <w:r>
        <w:t>5. Paper-Trading Workflow</w:t>
      </w:r>
    </w:p>
    <w:p>
      <w:pPr>
        <w:pStyle w:val="ListNumber"/>
        <w:spacing w:after="60"/>
      </w:pPr>
      <w:r>
        <w:t>The user selects an equity and enters side, quantity, and order type.</w:t>
      </w:r>
    </w:p>
    <w:p>
      <w:pPr>
        <w:pStyle w:val="ListNumber"/>
        <w:spacing w:after="60"/>
      </w:pPr>
      <w:r>
        <w:t>The backend verifies the instrument, quantity, portfolio ownership, available cash or holdings, and order parameters.</w:t>
      </w:r>
    </w:p>
    <w:p>
      <w:pPr>
        <w:pStyle w:val="ListNumber"/>
        <w:spacing w:after="60"/>
      </w:pPr>
      <w:r>
        <w:t>For a simulated market order, the service records the latest eligible quote and its timestamp. The result is a simulation, not an exchange fill.</w:t>
      </w:r>
    </w:p>
    <w:p>
      <w:pPr>
        <w:pStyle w:val="ListNumber"/>
        <w:spacing w:after="60"/>
      </w:pPr>
      <w:r>
        <w:t>The service applies configured simulated fees and updates cash, positions, and the transaction ledger consistently.</w:t>
      </w:r>
    </w:p>
    <w:p>
      <w:pPr>
        <w:pStyle w:val="ListNumber"/>
        <w:spacing w:after="60"/>
      </w:pPr>
      <w:r>
        <w:t>The order and transaction history are persisted. Idempotency prevents duplicate submissions from double-executing.</w:t>
      </w:r>
    </w:p>
    <w:p>
      <w:pPr>
        <w:pStyle w:val="ListNumber"/>
        <w:spacing w:after="60"/>
      </w:pPr>
      <w:r>
        <w:t>The portfolio page recalculates position market values and unrealized P&amp;L using the latest available quotes; realized P&amp;L follows the documented accounting policy.</w:t>
      </w:r>
    </w:p>
    <w:p>
      <w:r>
        <w:t>Limit orders need a documented simulation policy for eligibility and fill timing. The UI must disclose that real-world spread, liquidity, slippage, market impact, and execution timing are not fully modeled. No real brokerage orders are placed.</w:t>
      </w:r>
    </w:p>
    <w:p>
      <w:pPr>
        <w:pStyle w:val="Heading1"/>
      </w:pPr>
      <w:r>
        <w:t>6. Algorithm Integration Principles</w:t>
      </w:r>
    </w:p>
    <w:p>
      <w:pPr>
        <w:pStyle w:val="ListBullet"/>
        <w:spacing w:after="60"/>
      </w:pPr>
      <w:r>
        <w:t>Every algorithm is implemented in its own source file under packages/algorithms/src/.</w:t>
      </w:r>
    </w:p>
    <w:p>
      <w:pPr>
        <w:pStyle w:val="ListBullet"/>
        <w:spacing w:after="60"/>
      </w:pPr>
      <w:r>
        <w:t>Each algorithm has a stable ID (ACC-01 through ACC-13), exported function, typed contract, validation, unit tests, and optional trace mode.</w:t>
      </w:r>
    </w:p>
    <w:p>
      <w:pPr>
        <w:pStyle w:val="ListBullet"/>
        <w:spacing w:after="60"/>
      </w:pPr>
      <w:r>
        <w:t>The registry is generated from actual metadata and must point to existing source files, exports, tests, and real call sites.</w:t>
      </w:r>
    </w:p>
    <w:p>
      <w:pPr>
        <w:pStyle w:val="ListBullet"/>
        <w:spacing w:after="60"/>
      </w:pPr>
      <w:r>
        <w:t>The Algorithm Inspector displays actual source code, function name, input/output, trace, complexity, and test information.</w:t>
      </w:r>
    </w:p>
    <w:p>
      <w:pPr>
        <w:pStyle w:val="ListBullet"/>
        <w:spacing w:after="60"/>
      </w:pPr>
      <w:r>
        <w:t>Market analytics use historical stock data only after validating the dataset and documenting its units and ordering.</w:t>
      </w:r>
    </w:p>
    <w:p>
      <w:pPr>
        <w:pStyle w:val="ListBullet"/>
        <w:spacing w:after="60"/>
      </w:pPr>
      <w:r>
        <w:t>Some algorithms are educational utilities rather than standard financial methods. The application must explain this honestly rather than inventing trading value.</w:t>
      </w:r>
    </w:p>
    <w:p>
      <w:pPr>
        <w:pStyle w:val="ListBullet"/>
        <w:spacing w:after="60"/>
      </w:pPr>
      <w:r>
        <w:t>Historical analytics are descriptive and do not guarantee future performance.</w:t>
      </w:r>
    </w:p>
    <w:p>
      <w:r>
        <w:br w:type="page"/>
      </w:r>
    </w:p>
    <w:p>
      <w:pPr>
        <w:pStyle w:val="Heading1"/>
      </w:pPr>
      <w:r>
        <w:t>7. Detailed Algorithm Use Cases</w:t>
      </w:r>
    </w:p>
    <w:p>
      <w:r>
        <w:t>This section documents the problem solved by each algorithm, its implementation location, the data it receives, the result it returns, and the way a user encounters it in QuantEdge. File names and function names below are the required source-code contracts.</w:t>
      </w:r>
    </w:p>
    <w:p>
      <w:pPr>
        <w:pStyle w:val="Heading2"/>
      </w:pPr>
      <w:r>
        <w:t>ACC-01 — Booth's Algorithm</w:t>
      </w:r>
    </w:p>
    <w:p>
      <w:pPr>
        <w:spacing w:after="60"/>
      </w:pPr>
      <w:r>
        <w:rPr>
          <w:b/>
        </w:rPr>
        <w:t xml:space="preserve">Source file: </w:t>
      </w:r>
      <w:r>
        <w:t>packages/algorithms/src/booth.ts</w:t>
      </w:r>
    </w:p>
    <w:p>
      <w:pPr>
        <w:spacing w:after="60"/>
      </w:pPr>
      <w:r>
        <w:rPr>
          <w:b/>
        </w:rPr>
        <w:t xml:space="preserve">Exported function: </w:t>
      </w:r>
      <w:r>
        <w:t>boothMultiply(a, b, bitWidth)</w:t>
      </w:r>
    </w:p>
    <w:p>
      <w:pPr>
        <w:spacing w:after="60"/>
      </w:pPr>
      <w:r>
        <w:rPr>
          <w:b/>
        </w:rPr>
        <w:t xml:space="preserve">Where it appears: </w:t>
      </w:r>
      <w:r>
        <w:t>Algorithm Lab → Fixed-Width Signed Arithmetic</w:t>
      </w:r>
    </w:p>
    <w:p>
      <w:pPr>
        <w:spacing w:after="60"/>
      </w:pPr>
      <w:r>
        <w:rPr>
          <w:b/>
        </w:rPr>
        <w:t xml:space="preserve">Problem solved: </w:t>
      </w:r>
      <w:r>
        <w:t>Multiply signed integers represented in fixed-width two's-complement form.</w:t>
      </w:r>
    </w:p>
    <w:p>
      <w:pPr>
        <w:spacing w:after="60"/>
      </w:pPr>
      <w:r>
        <w:rPr>
          <w:b/>
        </w:rPr>
        <w:t xml:space="preserve">Input: </w:t>
      </w:r>
      <w:r>
        <w:t>Two signed integer operands and an explicit bit width, validated against the supported signed range.</w:t>
      </w:r>
    </w:p>
    <w:p>
      <w:pPr>
        <w:spacing w:after="60"/>
      </w:pPr>
      <w:r>
        <w:rPr>
          <w:b/>
        </w:rPr>
        <w:t xml:space="preserve">Output: </w:t>
      </w:r>
      <w:r>
        <w:t>The signed product plus an optional iteration trace showing registers, bit pairs, arithmetic operations, and shifts.</w:t>
      </w:r>
    </w:p>
    <w:p>
      <w:pPr>
        <w:spacing w:after="60"/>
      </w:pPr>
      <w:r>
        <w:rPr>
          <w:b/>
        </w:rPr>
        <w:t xml:space="preserve">Real-world use case: </w:t>
      </w:r>
      <w:r>
        <w:t>The user can explore low-level signed arithmetic using synthetic scaled financial integers. For example, integer 125 and integer -4 at a documented scale produce a signed integer product of -500. The scale is illustrative and must be stated.</w:t>
      </w:r>
    </w:p>
    <w:p>
      <w:pPr>
        <w:spacing w:after="60"/>
      </w:pPr>
      <w:r>
        <w:rPr>
          <w:b/>
        </w:rPr>
        <w:t xml:space="preserve">Application integration: </w:t>
      </w:r>
      <w:r>
        <w:t>The Algorithm Inspector invokes the exported Booth implementation. It is not used by the portfolio accounting service; financial balances use decimal-safe arithmetic.</w:t>
      </w:r>
    </w:p>
    <w:p>
      <w:pPr>
        <w:spacing w:after="60"/>
      </w:pPr>
      <w:r>
        <w:rPr>
          <w:b/>
        </w:rPr>
        <w:t xml:space="preserve">Complexity: </w:t>
      </w:r>
      <w:r>
        <w:t>For a fixed bit width, the algorithm performs a linear number of iterations in that width. Document register and trace storage separately.</w:t>
      </w:r>
    </w:p>
    <w:p>
      <w:pPr>
        <w:spacing w:after="60"/>
      </w:pPr>
      <w:r>
        <w:rPr>
          <w:b/>
        </w:rPr>
        <w:t xml:space="preserve">Limitations and correctness notes: </w:t>
      </w:r>
      <w:r>
        <w:t>Define product width and overflow behavior explicitly. Test positive, negative, zero, and boundary values.</w:t>
      </w:r>
    </w:p>
    <w:p>
      <w:pPr>
        <w:pStyle w:val="Heading2"/>
      </w:pPr>
      <w:r>
        <w:t>ACC-02 — Euclid's Algorithm</w:t>
      </w:r>
    </w:p>
    <w:p>
      <w:pPr>
        <w:spacing w:after="60"/>
      </w:pPr>
      <w:r>
        <w:rPr>
          <w:b/>
        </w:rPr>
        <w:t xml:space="preserve">Source file: </w:t>
      </w:r>
      <w:r>
        <w:t>packages/algorithms/src/euclid.ts</w:t>
      </w:r>
    </w:p>
    <w:p>
      <w:pPr>
        <w:spacing w:after="60"/>
      </w:pPr>
      <w:r>
        <w:rPr>
          <w:b/>
        </w:rPr>
        <w:t xml:space="preserve">Exported function: </w:t>
      </w:r>
      <w:r>
        <w:t>gcd(a, b)</w:t>
      </w:r>
    </w:p>
    <w:p>
      <w:pPr>
        <w:spacing w:after="60"/>
      </w:pPr>
      <w:r>
        <w:rPr>
          <w:b/>
        </w:rPr>
        <w:t xml:space="preserve">Where it appears: </w:t>
      </w:r>
      <w:r>
        <w:t>Quantitative Analytics → Sampling Interval Analysis</w:t>
      </w:r>
    </w:p>
    <w:p>
      <w:pPr>
        <w:spacing w:after="60"/>
      </w:pPr>
      <w:r>
        <w:rPr>
          <w:b/>
        </w:rPr>
        <w:t xml:space="preserve">Problem solved: </w:t>
      </w:r>
      <w:r>
        <w:t>Find the greatest common divisor of two integers.</w:t>
      </w:r>
    </w:p>
    <w:p>
      <w:pPr>
        <w:spacing w:after="60"/>
      </w:pPr>
      <w:r>
        <w:rPr>
          <w:b/>
        </w:rPr>
        <w:t xml:space="preserve">Input: </w:t>
      </w:r>
      <w:r>
        <w:t>Two integer interval lengths expressed in the same unit, such as minutes.</w:t>
      </w:r>
    </w:p>
    <w:p>
      <w:pPr>
        <w:spacing w:after="60"/>
      </w:pPr>
      <w:r>
        <w:rPr>
          <w:b/>
        </w:rPr>
        <w:t xml:space="preserve">Output: </w:t>
      </w:r>
      <w:r>
        <w:t>The GCD and an optional sequence of remainder operations.</w:t>
      </w:r>
    </w:p>
    <w:p>
      <w:pPr>
        <w:spacing w:after="60"/>
      </w:pPr>
      <w:r>
        <w:rPr>
          <w:b/>
        </w:rPr>
        <w:t xml:space="preserve">Real-world use case: </w:t>
      </w:r>
      <w:r>
        <w:t>A researcher can compare two sampling intervals, such as 15 and 30 minutes. Their GCD is 15 minutes. This is a small utility for reasoning about compatible interval grids and common divisors.</w:t>
      </w:r>
    </w:p>
    <w:p>
      <w:pPr>
        <w:spacing w:after="60"/>
      </w:pPr>
      <w:r>
        <w:rPr>
          <w:b/>
        </w:rPr>
        <w:t xml:space="preserve">Application integration: </w:t>
      </w:r>
      <w:r>
        <w:t>The analytics service passes validated interval values to gcd and displays the calculation. It does not derive a trading signal from the GCD.</w:t>
      </w:r>
    </w:p>
    <w:p>
      <w:pPr>
        <w:spacing w:after="60"/>
      </w:pPr>
      <w:r>
        <w:rPr>
          <w:b/>
        </w:rPr>
        <w:t xml:space="preserve">Complexity: </w:t>
      </w:r>
      <w:r>
        <w:t>O(log(min(|a|, |b|))) time for nonzero integer inputs; O(1) auxiliary space in the iterative implementation.</w:t>
      </w:r>
    </w:p>
    <w:p>
      <w:pPr>
        <w:spacing w:after="60"/>
      </w:pPr>
      <w:r>
        <w:rPr>
          <w:b/>
        </w:rPr>
        <w:t xml:space="preserve">Limitations and correctness notes: </w:t>
      </w:r>
      <w:r>
        <w:t>Define behavior for zero and negative inputs. A GCD does not itself prove that one interval is financially optimal.</w:t>
      </w:r>
    </w:p>
    <w:p>
      <w:pPr>
        <w:pStyle w:val="Heading2"/>
      </w:pPr>
      <w:r>
        <w:t>ACC-03 — Karatsuba Algorithm</w:t>
      </w:r>
    </w:p>
    <w:p>
      <w:pPr>
        <w:spacing w:after="60"/>
      </w:pPr>
      <w:r>
        <w:rPr>
          <w:b/>
        </w:rPr>
        <w:t xml:space="preserve">Source file: </w:t>
      </w:r>
      <w:r>
        <w:t>packages/algorithms/src/karatsuba.ts</w:t>
      </w:r>
    </w:p>
    <w:p>
      <w:pPr>
        <w:spacing w:after="60"/>
      </w:pPr>
      <w:r>
        <w:rPr>
          <w:b/>
        </w:rPr>
        <w:t xml:space="preserve">Exported function: </w:t>
      </w:r>
      <w:r>
        <w:t>karatsubaMultiply(a, b)</w:t>
      </w:r>
    </w:p>
    <w:p>
      <w:pPr>
        <w:spacing w:after="60"/>
      </w:pPr>
      <w:r>
        <w:rPr>
          <w:b/>
        </w:rPr>
        <w:t xml:space="preserve">Where it appears: </w:t>
      </w:r>
      <w:r>
        <w:t>Algorithm Lab → Large Integer Benchmark</w:t>
      </w:r>
    </w:p>
    <w:p>
      <w:pPr>
        <w:spacing w:after="60"/>
      </w:pPr>
      <w:r>
        <w:rPr>
          <w:b/>
        </w:rPr>
        <w:t xml:space="preserve">Problem solved: </w:t>
      </w:r>
      <w:r>
        <w:t>Multiply large integers using divide and conquer with three recursive multiplications per non-base-case split.</w:t>
      </w:r>
    </w:p>
    <w:p>
      <w:pPr>
        <w:spacing w:after="60"/>
      </w:pPr>
      <w:r>
        <w:rPr>
          <w:b/>
        </w:rPr>
        <w:t xml:space="preserve">Input: </w:t>
      </w:r>
      <w:r>
        <w:t>Large integer operands represented using BigInt or another exact integer representation.</w:t>
      </w:r>
    </w:p>
    <w:p>
      <w:pPr>
        <w:spacing w:after="60"/>
      </w:pPr>
      <w:r>
        <w:rPr>
          <w:b/>
        </w:rPr>
        <w:t xml:space="preserve">Output: </w:t>
      </w:r>
      <w:r>
        <w:t>Exact product, recursion trace, and optional operation/benchmark metadata.</w:t>
      </w:r>
    </w:p>
    <w:p>
      <w:pPr>
        <w:spacing w:after="60"/>
      </w:pPr>
      <w:r>
        <w:rPr>
          <w:b/>
        </w:rPr>
        <w:t xml:space="preserve">Real-world use case: </w:t>
      </w:r>
      <w:r>
        <w:t>A student can enter large synthetic integer values and compare the exact result and runtime with conventional multiplication. This demonstrates why reducing recursive multiplications can improve asymptotic complexity.</w:t>
      </w:r>
    </w:p>
    <w:p>
      <w:pPr>
        <w:spacing w:after="60"/>
      </w:pPr>
      <w:r>
        <w:rPr>
          <w:b/>
        </w:rPr>
        <w:t xml:space="preserve">Application integration: </w:t>
      </w:r>
      <w:r>
        <w:t>The benchmark page invokes karatsubaMultiply and a separate exact baseline for correctness comparison. It is not used for ordinary stock-price or portfolio arithmetic.</w:t>
      </w:r>
    </w:p>
    <w:p>
      <w:pPr>
        <w:spacing w:after="60"/>
      </w:pPr>
      <w:r>
        <w:rPr>
          <w:b/>
        </w:rPr>
        <w:t xml:space="preserve">Complexity: </w:t>
      </w:r>
      <w:r>
        <w:t>O(n^log2(3)) time, approximately O(n^1.585), under the standard recurrence. Auxiliary stack/storage depends on implementation and operand representation.</w:t>
      </w:r>
    </w:p>
    <w:p>
      <w:pPr>
        <w:spacing w:after="60"/>
      </w:pPr>
      <w:r>
        <w:rPr>
          <w:b/>
        </w:rPr>
        <w:t xml:space="preserve">Limitations and correctness notes: </w:t>
      </w:r>
      <w:r>
        <w:t>Use BigInt to avoid floating-point precision loss. Small operands may be faster with conventional multiplication; benchmarks must report actual measurements rather than promise a speedup.</w:t>
      </w:r>
    </w:p>
    <w:p>
      <w:pPr>
        <w:pStyle w:val="Heading2"/>
      </w:pPr>
      <w:r>
        <w:t>ACC-04 — Longest Sequence of 1 After Flipping a Bit</w:t>
      </w:r>
    </w:p>
    <w:p>
      <w:pPr>
        <w:spacing w:after="60"/>
      </w:pPr>
      <w:r>
        <w:rPr>
          <w:b/>
        </w:rPr>
        <w:t xml:space="preserve">Source file: </w:t>
      </w:r>
      <w:r>
        <w:t>packages/algorithms/src/longestOnesAfterFlip.ts</w:t>
      </w:r>
    </w:p>
    <w:p>
      <w:pPr>
        <w:spacing w:after="60"/>
      </w:pPr>
      <w:r>
        <w:rPr>
          <w:b/>
        </w:rPr>
        <w:t xml:space="preserve">Exported function: </w:t>
      </w:r>
      <w:r>
        <w:t>longestOnesAfterFlip(bits)</w:t>
      </w:r>
    </w:p>
    <w:p>
      <w:pPr>
        <w:spacing w:after="60"/>
      </w:pPr>
      <w:r>
        <w:rPr>
          <w:b/>
        </w:rPr>
        <w:t xml:space="preserve">Where it appears: </w:t>
      </w:r>
      <w:r>
        <w:t>Algorithm Lab → Binary Signal Tolerance</w:t>
      </w:r>
    </w:p>
    <w:p>
      <w:pPr>
        <w:spacing w:after="60"/>
      </w:pPr>
      <w:r>
        <w:rPr>
          <w:b/>
        </w:rPr>
        <w:t xml:space="preserve">Problem solved: </w:t>
      </w:r>
      <w:r>
        <w:t>Find the longest contiguous sequence of ones after flipping at most one zero.</w:t>
      </w:r>
    </w:p>
    <w:p>
      <w:pPr>
        <w:spacing w:after="60"/>
      </w:pPr>
      <w:r>
        <w:rPr>
          <w:b/>
        </w:rPr>
        <w:t xml:space="preserve">Input: </w:t>
      </w:r>
      <w:r>
        <w:t>An array or string of binary values with explicit validation.</w:t>
      </w:r>
    </w:p>
    <w:p>
      <w:pPr>
        <w:spacing w:after="60"/>
      </w:pPr>
      <w:r>
        <w:rPr>
          <w:b/>
        </w:rPr>
        <w:t xml:space="preserve">Output: </w:t>
      </w:r>
      <w:r>
        <w:t>Maximum achievable run length and, optionally, the flip position and selected range.</w:t>
      </w:r>
    </w:p>
    <w:p>
      <w:pPr>
        <w:spacing w:after="60"/>
      </w:pPr>
      <w:r>
        <w:rPr>
          <w:b/>
        </w:rPr>
        <w:t xml:space="preserve">Real-world use case: </w:t>
      </w:r>
      <w:r>
        <w:t>The Lab demonstrates tolerance analysis on a binary uptime or event sequence. A market-derived version could encode whether each period's return was positive, but flipping a bit would be a hypothetical scenario rather than a real historical result.</w:t>
      </w:r>
    </w:p>
    <w:p>
      <w:pPr>
        <w:spacing w:after="60"/>
      </w:pPr>
      <w:r>
        <w:rPr>
          <w:b/>
        </w:rPr>
        <w:t xml:space="preserve">Application integration: </w:t>
      </w:r>
      <w:r>
        <w:t>The dedicated inspector invokes longestOnesAfterFlip and shows the sliding-window or equivalent algorithm trace.</w:t>
      </w:r>
    </w:p>
    <w:p>
      <w:pPr>
        <w:spacing w:after="60"/>
      </w:pPr>
      <w:r>
        <w:rPr>
          <w:b/>
        </w:rPr>
        <w:t xml:space="preserve">Complexity: </w:t>
      </w:r>
      <w:r>
        <w:t>O(n) time. Auxiliary space can be O(1) for a sliding-window implementation, excluding trace output.</w:t>
      </w:r>
    </w:p>
    <w:p>
      <w:pPr>
        <w:spacing w:after="60"/>
      </w:pPr>
      <w:r>
        <w:rPr>
          <w:b/>
        </w:rPr>
        <w:t xml:space="preserve">Limitations and correctness notes: </w:t>
      </w:r>
      <w:r>
        <w:t>Do not silently modify actual observations or report the hypothetical result as actual market performance.</w:t>
      </w:r>
    </w:p>
    <w:p>
      <w:pPr>
        <w:pStyle w:val="Heading2"/>
      </w:pPr>
      <w:r>
        <w:t>ACC-05 — Swap Two Nibbles in a Byte</w:t>
      </w:r>
    </w:p>
    <w:p>
      <w:pPr>
        <w:spacing w:after="60"/>
      </w:pPr>
      <w:r>
        <w:rPr>
          <w:b/>
        </w:rPr>
        <w:t xml:space="preserve">Source file: </w:t>
      </w:r>
      <w:r>
        <w:t>packages/algorithms/src/swapNibbles.ts</w:t>
      </w:r>
    </w:p>
    <w:p>
      <w:pPr>
        <w:spacing w:after="60"/>
      </w:pPr>
      <w:r>
        <w:rPr>
          <w:b/>
        </w:rPr>
        <w:t xml:space="preserve">Exported function: </w:t>
      </w:r>
      <w:r>
        <w:t>swapNibbles(byte)</w:t>
      </w:r>
    </w:p>
    <w:p>
      <w:pPr>
        <w:spacing w:after="60"/>
      </w:pPr>
      <w:r>
        <w:rPr>
          <w:b/>
        </w:rPr>
        <w:t xml:space="preserve">Where it appears: </w:t>
      </w:r>
      <w:r>
        <w:t>Algorithm Lab → Binary Encoding</w:t>
      </w:r>
    </w:p>
    <w:p>
      <w:pPr>
        <w:spacing w:after="60"/>
      </w:pPr>
      <w:r>
        <w:rPr>
          <w:b/>
        </w:rPr>
        <w:t xml:space="preserve">Problem solved: </w:t>
      </w:r>
      <w:r>
        <w:t>Exchange the upper and lower four-bit halves of an unsigned byte.</w:t>
      </w:r>
    </w:p>
    <w:p>
      <w:pPr>
        <w:spacing w:after="60"/>
      </w:pPr>
      <w:r>
        <w:rPr>
          <w:b/>
        </w:rPr>
        <w:t xml:space="preserve">Input: </w:t>
      </w:r>
      <w:r>
        <w:t>An integer in the range 0–255.</w:t>
      </w:r>
    </w:p>
    <w:p>
      <w:pPr>
        <w:spacing w:after="60"/>
      </w:pPr>
      <w:r>
        <w:rPr>
          <w:b/>
        </w:rPr>
        <w:t xml:space="preserve">Output: </w:t>
      </w:r>
      <w:r>
        <w:t>The transformed byte, with binary, decimal, and hexadecimal representations.</w:t>
      </w:r>
    </w:p>
    <w:p>
      <w:pPr>
        <w:spacing w:after="60"/>
      </w:pPr>
      <w:r>
        <w:rPr>
          <w:b/>
        </w:rPr>
        <w:t xml:space="preserve">Real-world use case: </w:t>
      </w:r>
      <w:r>
        <w:t>The user enters a byte and sees how two four-bit fields are exchanged. This is a low-level bit-manipulation demonstration relevant to compact data formats and embedded protocols.</w:t>
      </w:r>
    </w:p>
    <w:p>
      <w:pPr>
        <w:spacing w:after="60"/>
      </w:pPr>
      <w:r>
        <w:rPr>
          <w:b/>
        </w:rPr>
        <w:t xml:space="preserve">Application integration: </w:t>
      </w:r>
      <w:r>
        <w:t>The byte utility calls swapNibbles directly and displays the actual bitwise result.</w:t>
      </w:r>
    </w:p>
    <w:p>
      <w:pPr>
        <w:spacing w:after="60"/>
      </w:pPr>
      <w:r>
        <w:rPr>
          <w:b/>
        </w:rPr>
        <w:t xml:space="preserve">Complexity: </w:t>
      </w:r>
      <w:r>
        <w:t>O(1) time and O(1) auxiliary space.</w:t>
      </w:r>
    </w:p>
    <w:p>
      <w:pPr>
        <w:spacing w:after="60"/>
      </w:pPr>
      <w:r>
        <w:rPr>
          <w:b/>
        </w:rPr>
        <w:t xml:space="preserve">Limitations and correctness notes: </w:t>
      </w:r>
      <w:r>
        <w:t>This is not a standard stock-analysis operation. Keep it in the educational utility area; do not claim it improves market data or trade execution.</w:t>
      </w:r>
    </w:p>
    <w:p>
      <w:pPr>
        <w:pStyle w:val="Heading2"/>
      </w:pPr>
      <w:r>
        <w:t>ACC-06 — Block Swap Algorithm</w:t>
      </w:r>
    </w:p>
    <w:p>
      <w:pPr>
        <w:spacing w:after="60"/>
      </w:pPr>
      <w:r>
        <w:rPr>
          <w:b/>
        </w:rPr>
        <w:t xml:space="preserve">Source file: </w:t>
      </w:r>
      <w:r>
        <w:t>packages/algorithms/src/blockSwap.ts</w:t>
      </w:r>
    </w:p>
    <w:p>
      <w:pPr>
        <w:spacing w:after="60"/>
      </w:pPr>
      <w:r>
        <w:rPr>
          <w:b/>
        </w:rPr>
        <w:t xml:space="preserve">Exported function: </w:t>
      </w:r>
      <w:r>
        <w:t>rotateLeftBlockSwap(array, rotationCount)</w:t>
      </w:r>
    </w:p>
    <w:p>
      <w:pPr>
        <w:spacing w:after="60"/>
      </w:pPr>
      <w:r>
        <w:rPr>
          <w:b/>
        </w:rPr>
        <w:t xml:space="preserve">Where it appears: </w:t>
      </w:r>
      <w:r>
        <w:t>Quantitative Analytics → Rolling Sample Window</w:t>
      </w:r>
    </w:p>
    <w:p>
      <w:pPr>
        <w:spacing w:after="60"/>
      </w:pPr>
      <w:r>
        <w:rPr>
          <w:b/>
        </w:rPr>
        <w:t xml:space="preserve">Problem solved: </w:t>
      </w:r>
      <w:r>
        <w:t>Rotate an array left by k positions using block swaps.</w:t>
      </w:r>
    </w:p>
    <w:p>
      <w:pPr>
        <w:spacing w:after="60"/>
      </w:pPr>
      <w:r>
        <w:rPr>
          <w:b/>
        </w:rPr>
        <w:t xml:space="preserve">Input: </w:t>
      </w:r>
      <w:r>
        <w:t>A sequence of observations or sample identifiers and a rotation count.</w:t>
      </w:r>
    </w:p>
    <w:p>
      <w:pPr>
        <w:spacing w:after="60"/>
      </w:pPr>
      <w:r>
        <w:rPr>
          <w:b/>
        </w:rPr>
        <w:t xml:space="preserve">Output: </w:t>
      </w:r>
      <w:r>
        <w:t>The rotated sequence, with a trace of block swaps when enabled.</w:t>
      </w:r>
    </w:p>
    <w:p>
      <w:pPr>
        <w:spacing w:after="60"/>
      </w:pPr>
      <w:r>
        <w:rPr>
          <w:b/>
        </w:rPr>
        <w:t xml:space="preserve">Real-world use case: </w:t>
      </w:r>
      <w:r>
        <w:t>The user can choose a fixed sample buffer and inspect how a selected starting position is rotated to the front for a demonstration or windowed display. The underlying timestamp must remain attached to each observation.</w:t>
      </w:r>
    </w:p>
    <w:p>
      <w:pPr>
        <w:spacing w:after="60"/>
      </w:pPr>
      <w:r>
        <w:rPr>
          <w:b/>
        </w:rPr>
        <w:t xml:space="preserve">Application integration: </w:t>
      </w:r>
      <w:r>
        <w:t>A rolling-window utility calls rotateLeftBlockSwap. Analytics must preserve the original chronological series for calculations; a rotated display buffer must not be mistaken for chronological market history.</w:t>
      </w:r>
    </w:p>
    <w:p>
      <w:pPr>
        <w:spacing w:after="60"/>
      </w:pPr>
      <w:r>
        <w:rPr>
          <w:b/>
        </w:rPr>
        <w:t xml:space="preserve">Complexity: </w:t>
      </w:r>
      <w:r>
        <w:t>O(n) time and O(1) auxiliary space for the standard in-place block-swap method, excluding trace storage.</w:t>
      </w:r>
    </w:p>
    <w:p>
      <w:pPr>
        <w:spacing w:after="60"/>
      </w:pPr>
      <w:r>
        <w:rPr>
          <w:b/>
        </w:rPr>
        <w:t xml:space="preserve">Limitations and correctness notes: </w:t>
      </w:r>
      <w:r>
        <w:t>Rotation is not sorting and does not change the economic meaning or timestamp of an observation.</w:t>
      </w:r>
    </w:p>
    <w:p>
      <w:pPr>
        <w:pStyle w:val="Heading2"/>
      </w:pPr>
      <w:r>
        <w:t>ACC-07 — Maximum Product Subarray</w:t>
      </w:r>
    </w:p>
    <w:p>
      <w:pPr>
        <w:spacing w:after="60"/>
      </w:pPr>
      <w:r>
        <w:rPr>
          <w:b/>
        </w:rPr>
        <w:t xml:space="preserve">Source file: </w:t>
      </w:r>
      <w:r>
        <w:t>packages/algorithms/src/maxProductSubarray.ts</w:t>
      </w:r>
    </w:p>
    <w:p>
      <w:pPr>
        <w:spacing w:after="60"/>
      </w:pPr>
      <w:r>
        <w:rPr>
          <w:b/>
        </w:rPr>
        <w:t xml:space="preserve">Exported function: </w:t>
      </w:r>
      <w:r>
        <w:t>maxProductSubarray(values)</w:t>
      </w:r>
    </w:p>
    <w:p>
      <w:pPr>
        <w:spacing w:after="60"/>
      </w:pPr>
      <w:r>
        <w:rPr>
          <w:b/>
        </w:rPr>
        <w:t xml:space="preserve">Where it appears: </w:t>
      </w:r>
      <w:r>
        <w:t>Stock Detail / Quantitative Analytics → Best Compounded-Return Window</w:t>
      </w:r>
    </w:p>
    <w:p>
      <w:pPr>
        <w:spacing w:after="60"/>
      </w:pPr>
      <w:r>
        <w:rPr>
          <w:b/>
        </w:rPr>
        <w:t xml:space="preserve">Problem solved: </w:t>
      </w:r>
      <w:r>
        <w:t>Find the contiguous subarray with the maximum product, tracking both maximum and minimum products ending at each index.</w:t>
      </w:r>
    </w:p>
    <w:p>
      <w:pPr>
        <w:spacing w:after="60"/>
      </w:pPr>
      <w:r>
        <w:rPr>
          <w:b/>
        </w:rPr>
        <w:t xml:space="preserve">Input: </w:t>
      </w:r>
      <w:r>
        <w:t>A sequence of valid multiplicative factors derived from period returns, not raw stock prices.</w:t>
      </w:r>
    </w:p>
    <w:p>
      <w:pPr>
        <w:spacing w:after="60"/>
      </w:pPr>
      <w:r>
        <w:rPr>
          <w:b/>
        </w:rPr>
        <w:t xml:space="preserve">Output: </w:t>
      </w:r>
      <w:r>
        <w:t>Maximum product, start/end indices, and corresponding return-window result.</w:t>
      </w:r>
    </w:p>
    <w:p>
      <w:pPr>
        <w:spacing w:after="60"/>
      </w:pPr>
      <w:r>
        <w:rPr>
          <w:b/>
        </w:rPr>
        <w:t xml:space="preserve">Real-world use case: </w:t>
      </w:r>
      <w:r>
        <w:t>For simple return r_i, create a growth factor g_i = 1 + r_i. The product of growth factors across a contiguous window represents compounded growth over that window. Convert the selected product P to a return of (P - 1) × 100 percent.</w:t>
      </w:r>
    </w:p>
    <w:p>
      <w:pPr>
        <w:spacing w:after="60"/>
      </w:pPr>
      <w:r>
        <w:rPr>
          <w:b/>
        </w:rPr>
        <w:t xml:space="preserve">Application integration: </w:t>
      </w:r>
      <w:r>
        <w:t>The market-analytics service loads timestamped closes, calculates period returns with a documented convention, converts them to factors, and invokes maxProductSubarray. It maps returned indices back to timestamps.</w:t>
      </w:r>
    </w:p>
    <w:p>
      <w:pPr>
        <w:spacing w:after="60"/>
      </w:pPr>
      <w:r>
        <w:rPr>
          <w:b/>
        </w:rPr>
        <w:t xml:space="preserve">Complexity: </w:t>
      </w:r>
      <w:r>
        <w:t>O(n) time and O(1) auxiliary space for the numeric DP state, excluding optional trace and result metadata.</w:t>
      </w:r>
    </w:p>
    <w:p>
      <w:pPr>
        <w:spacing w:after="60"/>
      </w:pPr>
      <w:r>
        <w:rPr>
          <w:b/>
        </w:rPr>
        <w:t xml:space="preserve">Limitations and correctness notes: </w:t>
      </w:r>
      <w:r>
        <w:t>Specify how the first observation is handled and how invalid, missing, or zero/negative factors are treated. Do not multiply raw prices and label the result profit.</w:t>
      </w:r>
    </w:p>
    <w:p>
      <w:pPr>
        <w:pStyle w:val="Heading2"/>
      </w:pPr>
      <w:r>
        <w:t>ACC-08 — Maximum Sum of Hourglass in Matrix</w:t>
      </w:r>
    </w:p>
    <w:p>
      <w:pPr>
        <w:spacing w:after="60"/>
      </w:pPr>
      <w:r>
        <w:rPr>
          <w:b/>
        </w:rPr>
        <w:t xml:space="preserve">Source file: </w:t>
      </w:r>
      <w:r>
        <w:t>packages/algorithms/src/maxHourglassSum.ts</w:t>
      </w:r>
    </w:p>
    <w:p>
      <w:pPr>
        <w:spacing w:after="60"/>
      </w:pPr>
      <w:r>
        <w:rPr>
          <w:b/>
        </w:rPr>
        <w:t xml:space="preserve">Exported function: </w:t>
      </w:r>
      <w:r>
        <w:t>maxHourglassSum(matrix)</w:t>
      </w:r>
    </w:p>
    <w:p>
      <w:pPr>
        <w:spacing w:after="60"/>
      </w:pPr>
      <w:r>
        <w:rPr>
          <w:b/>
        </w:rPr>
        <w:t xml:space="preserve">Where it appears: </w:t>
      </w:r>
      <w:r>
        <w:t>Quantitative Analytics → Performance Heatmap</w:t>
      </w:r>
    </w:p>
    <w:p>
      <w:pPr>
        <w:spacing w:after="60"/>
      </w:pPr>
      <w:r>
        <w:rPr>
          <w:b/>
        </w:rPr>
        <w:t xml:space="preserve">Problem solved: </w:t>
      </w:r>
      <w:r>
        <w:t>Find the maximum sum of the seven cells forming a 3×3 hourglass pattern in a matrix.</w:t>
      </w:r>
    </w:p>
    <w:p>
      <w:pPr>
        <w:spacing w:after="60"/>
      </w:pPr>
      <w:r>
        <w:rPr>
          <w:b/>
        </w:rPr>
        <w:t xml:space="preserve">Input: </w:t>
      </w:r>
      <w:r>
        <w:t>A rectangular numeric matrix with at least three rows and three columns.</w:t>
      </w:r>
    </w:p>
    <w:p>
      <w:pPr>
        <w:spacing w:after="60"/>
      </w:pPr>
      <w:r>
        <w:rPr>
          <w:b/>
        </w:rPr>
        <w:t xml:space="preserve">Output: </w:t>
      </w:r>
      <w:r>
        <w:t>Maximum hourglass sum, top-left position, and the seven contributing cells.</w:t>
      </w:r>
    </w:p>
    <w:p>
      <w:pPr>
        <w:spacing w:after="60"/>
      </w:pPr>
      <w:r>
        <w:rPr>
          <w:b/>
        </w:rPr>
        <w:t xml:space="preserve">Real-world use case: </w:t>
      </w:r>
      <w:r>
        <w:t>Construct a documented matrix from sector or instrument performance scores across selected groups and time windows. The algorithm highlights the highest-scoring local hourglass-shaped neighborhood.</w:t>
      </w:r>
    </w:p>
    <w:p>
      <w:pPr>
        <w:spacing w:after="60"/>
      </w:pPr>
      <w:r>
        <w:rPr>
          <w:b/>
        </w:rPr>
        <w:t xml:space="preserve">Application integration: </w:t>
      </w:r>
      <w:r>
        <w:t>The heatmap service constructs a matrix with explicit row/column meanings, calls maxHourglassSum, and highlights the selected cells in the UI.</w:t>
      </w:r>
    </w:p>
    <w:p>
      <w:pPr>
        <w:spacing w:after="60"/>
      </w:pPr>
      <w:r>
        <w:rPr>
          <w:b/>
        </w:rPr>
        <w:t xml:space="preserve">Complexity: </w:t>
      </w:r>
      <w:r>
        <w:t>O(R×C) time for an R-by-C matrix and O(1) auxiliary space beyond the result and optional trace.</w:t>
      </w:r>
    </w:p>
    <w:p>
      <w:pPr>
        <w:spacing w:after="60"/>
      </w:pPr>
      <w:r>
        <w:rPr>
          <w:b/>
        </w:rPr>
        <w:t xml:space="preserve">Limitations and correctness notes: </w:t>
      </w:r>
      <w:r>
        <w:t>The matrix layout is a custom visualization convention, not a standard financial metric. Explain what each cell represents and avoid misleading spatial interpretations.</w:t>
      </w:r>
    </w:p>
    <w:p>
      <w:pPr>
        <w:pStyle w:val="Heading2"/>
      </w:pPr>
      <w:r>
        <w:t>ACC-09 — Maximum Equilibrium Sum</w:t>
      </w:r>
    </w:p>
    <w:p>
      <w:pPr>
        <w:spacing w:after="60"/>
      </w:pPr>
      <w:r>
        <w:rPr>
          <w:b/>
        </w:rPr>
        <w:t xml:space="preserve">Source file: </w:t>
      </w:r>
      <w:r>
        <w:t>packages/algorithms/src/maxEquilibriumSum.ts</w:t>
      </w:r>
    </w:p>
    <w:p>
      <w:pPr>
        <w:spacing w:after="60"/>
      </w:pPr>
      <w:r>
        <w:rPr>
          <w:b/>
        </w:rPr>
        <w:t xml:space="preserve">Exported function: </w:t>
      </w:r>
      <w:r>
        <w:t>maxEquilibriumSum(values)</w:t>
      </w:r>
    </w:p>
    <w:p>
      <w:pPr>
        <w:spacing w:after="60"/>
      </w:pPr>
      <w:r>
        <w:rPr>
          <w:b/>
        </w:rPr>
        <w:t xml:space="preserve">Where it appears: </w:t>
      </w:r>
      <w:r>
        <w:t>Portfolio Analytics → Contribution Balance</w:t>
      </w:r>
    </w:p>
    <w:p>
      <w:pPr>
        <w:spacing w:after="60"/>
      </w:pPr>
      <w:r>
        <w:rPr>
          <w:b/>
        </w:rPr>
        <w:t xml:space="preserve">Problem solved: </w:t>
      </w:r>
      <w:r>
        <w:t>Find an equilibrium position where the sum to the left equals the sum to the right; return the maximum equilibrium sum if multiple valid positions exist.</w:t>
      </w:r>
    </w:p>
    <w:p>
      <w:pPr>
        <w:spacing w:after="60"/>
      </w:pPr>
      <w:r>
        <w:rPr>
          <w:b/>
        </w:rPr>
        <w:t xml:space="preserve">Input: </w:t>
      </w:r>
      <w:r>
        <w:t>An ordered array of signed contribution values, such as period P&amp;L contributions or synthetic values.</w:t>
      </w:r>
    </w:p>
    <w:p>
      <w:pPr>
        <w:spacing w:after="60"/>
      </w:pPr>
      <w:r>
        <w:rPr>
          <w:b/>
        </w:rPr>
        <w:t xml:space="preserve">Output: </w:t>
      </w:r>
      <w:r>
        <w:t>Maximum equilibrium sum and the valid equilibrium index or indices, according to the chosen function contract.</w:t>
      </w:r>
    </w:p>
    <w:p>
      <w:pPr>
        <w:spacing w:after="60"/>
      </w:pPr>
      <w:r>
        <w:rPr>
          <w:b/>
        </w:rPr>
        <w:t xml:space="preserve">Real-world use case: </w:t>
      </w:r>
      <w:r>
        <w:t>A portfolio analyst can inspect whether a sequence of contributions can be split into equal left and right totals. This is a balance diagnostic, not an allocation optimizer.</w:t>
      </w:r>
    </w:p>
    <w:p>
      <w:pPr>
        <w:spacing w:after="60"/>
      </w:pPr>
      <w:r>
        <w:rPr>
          <w:b/>
        </w:rPr>
        <w:t xml:space="preserve">Application integration: </w:t>
      </w:r>
      <w:r>
        <w:t>The portfolio analytics service passes a clearly defined ordered contribution series to maxEquilibriumSum and displays both sides' totals.</w:t>
      </w:r>
    </w:p>
    <w:p>
      <w:pPr>
        <w:spacing w:after="60"/>
      </w:pPr>
      <w:r>
        <w:rPr>
          <w:b/>
        </w:rPr>
        <w:t xml:space="preserve">Complexity: </w:t>
      </w:r>
      <w:r>
        <w:t>O(n) time and O(1) auxiliary space for a standard prefix/total-sum implementation, excluding returned indices and trace.</w:t>
      </w:r>
    </w:p>
    <w:p>
      <w:pPr>
        <w:spacing w:after="60"/>
      </w:pPr>
      <w:r>
        <w:rPr>
          <w:b/>
        </w:rPr>
        <w:t xml:space="preserve">Limitations and correctness notes: </w:t>
      </w:r>
      <w:r>
        <w:t>Document whether empty left or right sides are permitted. Negative contributions are valid when the input represents signed P&amp;L.</w:t>
      </w:r>
    </w:p>
    <w:p>
      <w:pPr>
        <w:pStyle w:val="Heading2"/>
      </w:pPr>
      <w:r>
        <w:t>ACC-10 — Leaders in Array</w:t>
      </w:r>
    </w:p>
    <w:p>
      <w:pPr>
        <w:spacing w:after="60"/>
      </w:pPr>
      <w:r>
        <w:rPr>
          <w:b/>
        </w:rPr>
        <w:t xml:space="preserve">Source file: </w:t>
      </w:r>
      <w:r>
        <w:t>packages/algorithms/src/leadersInArray.ts</w:t>
      </w:r>
    </w:p>
    <w:p>
      <w:pPr>
        <w:spacing w:after="60"/>
      </w:pPr>
      <w:r>
        <w:rPr>
          <w:b/>
        </w:rPr>
        <w:t xml:space="preserve">Exported function: </w:t>
      </w:r>
      <w:r>
        <w:t>findLeaders(values)</w:t>
      </w:r>
    </w:p>
    <w:p>
      <w:pPr>
        <w:spacing w:after="60"/>
      </w:pPr>
      <w:r>
        <w:rPr>
          <w:b/>
        </w:rPr>
        <w:t xml:space="preserve">Where it appears: </w:t>
      </w:r>
      <w:r>
        <w:t>Stock Detail → Historical Price Leaders</w:t>
      </w:r>
    </w:p>
    <w:p>
      <w:pPr>
        <w:spacing w:after="60"/>
      </w:pPr>
      <w:r>
        <w:rPr>
          <w:b/>
        </w:rPr>
        <w:t xml:space="preserve">Problem solved: </w:t>
      </w:r>
      <w:r>
        <w:t>Find each value strictly greater than every value to its right.</w:t>
      </w:r>
    </w:p>
    <w:p>
      <w:pPr>
        <w:spacing w:after="60"/>
      </w:pPr>
      <w:r>
        <w:rPr>
          <w:b/>
        </w:rPr>
        <w:t xml:space="preserve">Input: </w:t>
      </w:r>
      <w:r>
        <w:t>A chronological series of closing prices or another clearly defined numeric sequence.</w:t>
      </w:r>
    </w:p>
    <w:p>
      <w:pPr>
        <w:spacing w:after="60"/>
      </w:pPr>
      <w:r>
        <w:rPr>
          <w:b/>
        </w:rPr>
        <w:t xml:space="preserve">Output: </w:t>
      </w:r>
      <w:r>
        <w:t>Leader values in the required order; analytics should preserve each value's original index and timestamp.</w:t>
      </w:r>
    </w:p>
    <w:p>
      <w:pPr>
        <w:spacing w:after="60"/>
      </w:pPr>
      <w:r>
        <w:rPr>
          <w:b/>
        </w:rPr>
        <w:t xml:space="preserve">Real-world use case: </w:t>
      </w:r>
      <w:r>
        <w:t>For a selected stock and historical period, identify closing-price observations that exceed all later closing prices in that selected window. This provides a compact historical pattern summary.</w:t>
      </w:r>
    </w:p>
    <w:p>
      <w:pPr>
        <w:spacing w:after="60"/>
      </w:pPr>
      <w:r>
        <w:rPr>
          <w:b/>
        </w:rPr>
        <w:t xml:space="preserve">Application integration: </w:t>
      </w:r>
      <w:r>
        <w:t>The market-analytics service passes chronological closes to findLeaders, then maps the returned values/indices to candle timestamps. If duplicate values exist, use indices or return indexed observations to avoid ambiguous timestamp mapping.</w:t>
      </w:r>
    </w:p>
    <w:p>
      <w:pPr>
        <w:spacing w:after="60"/>
      </w:pPr>
      <w:r>
        <w:rPr>
          <w:b/>
        </w:rPr>
        <w:t xml:space="preserve">Complexity: </w:t>
      </w:r>
      <w:r>
        <w:t>O(n) time. Auxiliary space is O(k) for k returned leaders, excluding optional trace.</w:t>
      </w:r>
    </w:p>
    <w:p>
      <w:pPr>
        <w:spacing w:after="60"/>
      </w:pPr>
      <w:r>
        <w:rPr>
          <w:b/>
        </w:rPr>
        <w:t xml:space="preserve">Limitations and correctness notes: </w:t>
      </w:r>
      <w:r>
        <w:t>A leader is defined relative to the end of the selected window. It is not a guaranteed breakout or a prediction of future prices.</w:t>
      </w:r>
    </w:p>
    <w:p>
      <w:pPr>
        <w:pStyle w:val="Heading2"/>
      </w:pPr>
      <w:r>
        <w:t>ACC-11 — Majority Element</w:t>
      </w:r>
    </w:p>
    <w:p>
      <w:pPr>
        <w:spacing w:after="60"/>
      </w:pPr>
      <w:r>
        <w:rPr>
          <w:b/>
        </w:rPr>
        <w:t xml:space="preserve">Source file: </w:t>
      </w:r>
      <w:r>
        <w:t>packages/algorithms/src/majorityElement.ts</w:t>
      </w:r>
    </w:p>
    <w:p>
      <w:pPr>
        <w:spacing w:after="60"/>
      </w:pPr>
      <w:r>
        <w:rPr>
          <w:b/>
        </w:rPr>
        <w:t xml:space="preserve">Exported function: </w:t>
      </w:r>
      <w:r>
        <w:t>findMajorityElement(values)</w:t>
      </w:r>
    </w:p>
    <w:p>
      <w:pPr>
        <w:spacing w:after="60"/>
      </w:pPr>
      <w:r>
        <w:rPr>
          <w:b/>
        </w:rPr>
        <w:t xml:space="preserve">Where it appears: </w:t>
      </w:r>
      <w:r>
        <w:t>Quantitative Analytics → Market Breadth</w:t>
      </w:r>
    </w:p>
    <w:p>
      <w:pPr>
        <w:spacing w:after="60"/>
      </w:pPr>
      <w:r>
        <w:rPr>
          <w:b/>
        </w:rPr>
        <w:t xml:space="preserve">Problem solved: </w:t>
      </w:r>
      <w:r>
        <w:t>Find a value occurring strictly more than n/2 times, using Boyer–Moore voting followed by verification.</w:t>
      </w:r>
    </w:p>
    <w:p>
      <w:pPr>
        <w:spacing w:after="60"/>
      </w:pPr>
      <w:r>
        <w:rPr>
          <w:b/>
        </w:rPr>
        <w:t xml:space="preserve">Input: </w:t>
      </w:r>
      <w:r>
        <w:t>A batch of categories, such as positive, negative, and unchanged returns for a selected set of observations.</w:t>
      </w:r>
    </w:p>
    <w:p>
      <w:pPr>
        <w:spacing w:after="60"/>
      </w:pPr>
      <w:r>
        <w:rPr>
          <w:b/>
        </w:rPr>
        <w:t xml:space="preserve">Output: </w:t>
      </w:r>
      <w:r>
        <w:t>Verified majority value and count, or no-majority result.</w:t>
      </w:r>
    </w:p>
    <w:p>
      <w:pPr>
        <w:spacing w:after="60"/>
      </w:pPr>
      <w:r>
        <w:rPr>
          <w:b/>
        </w:rPr>
        <w:t xml:space="preserve">Real-world use case: </w:t>
      </w:r>
      <w:r>
        <w:t>For a chosen group of stocks or a defined batch of observations, classify returns by sign and determine whether one category exceeds half the sample. Show category counts and percentage.</w:t>
      </w:r>
    </w:p>
    <w:p>
      <w:pPr>
        <w:spacing w:after="60"/>
      </w:pPr>
      <w:r>
        <w:rPr>
          <w:b/>
        </w:rPr>
        <w:t xml:space="preserve">Application integration: </w:t>
      </w:r>
      <w:r>
        <w:t>The breadth service generates categories using a documented return threshold, invokes findMajorityElement, and verifies the result before presenting it.</w:t>
      </w:r>
    </w:p>
    <w:p>
      <w:pPr>
        <w:spacing w:after="60"/>
      </w:pPr>
      <w:r>
        <w:rPr>
          <w:b/>
        </w:rPr>
        <w:t xml:space="preserve">Complexity: </w:t>
      </w:r>
      <w:r>
        <w:t>O(n) time and O(1) auxiliary space for the voting and verification algorithm, excluding optional output metadata.</w:t>
      </w:r>
    </w:p>
    <w:p>
      <w:pPr>
        <w:spacing w:after="60"/>
      </w:pPr>
      <w:r>
        <w:rPr>
          <w:b/>
        </w:rPr>
        <w:t xml:space="preserve">Limitations and correctness notes: </w:t>
      </w:r>
      <w:r>
        <w:t>A candidate from the voting pass is not necessarily a majority. Verification is mandatory. Define how missing observations and exactly zero returns are treated.</w:t>
      </w:r>
    </w:p>
    <w:p>
      <w:pPr>
        <w:pStyle w:val="Heading2"/>
      </w:pPr>
      <w:r>
        <w:t>ACC-12 — Lexicographically First Palindromic String</w:t>
      </w:r>
    </w:p>
    <w:p>
      <w:pPr>
        <w:spacing w:after="60"/>
      </w:pPr>
      <w:r>
        <w:rPr>
          <w:b/>
        </w:rPr>
        <w:t xml:space="preserve">Source file: </w:t>
      </w:r>
      <w:r>
        <w:t>packages/algorithms/src/lexicographicPalindrome.ts</w:t>
      </w:r>
    </w:p>
    <w:p>
      <w:pPr>
        <w:spacing w:after="60"/>
      </w:pPr>
      <w:r>
        <w:rPr>
          <w:b/>
        </w:rPr>
        <w:t xml:space="preserve">Exported function: </w:t>
      </w:r>
      <w:r>
        <w:t>lexicographicallyFirstPalindrome(input)</w:t>
      </w:r>
    </w:p>
    <w:p>
      <w:pPr>
        <w:spacing w:after="60"/>
      </w:pPr>
      <w:r>
        <w:rPr>
          <w:b/>
        </w:rPr>
        <w:t xml:space="preserve">Where it appears: </w:t>
      </w:r>
      <w:r>
        <w:t>Algorithm Lab → Symmetric Reference String Generator</w:t>
      </w:r>
    </w:p>
    <w:p>
      <w:pPr>
        <w:spacing w:after="60"/>
      </w:pPr>
      <w:r>
        <w:rPr>
          <w:b/>
        </w:rPr>
        <w:t xml:space="preserve">Problem solved: </w:t>
      </w:r>
      <w:r>
        <w:t>Rearrange a multiset of characters into the lexicographically smallest palindrome when possible.</w:t>
      </w:r>
    </w:p>
    <w:p>
      <w:pPr>
        <w:spacing w:after="60"/>
      </w:pPr>
      <w:r>
        <w:rPr>
          <w:b/>
        </w:rPr>
        <w:t xml:space="preserve">Input: </w:t>
      </w:r>
      <w:r>
        <w:t>A string, with explicit character-order and case-sensitivity rules.</w:t>
      </w:r>
    </w:p>
    <w:p>
      <w:pPr>
        <w:spacing w:after="60"/>
      </w:pPr>
      <w:r>
        <w:rPr>
          <w:b/>
        </w:rPr>
        <w:t xml:space="preserve">Output: </w:t>
      </w:r>
      <w:r>
        <w:t>The smallest feasible palindrome or an explicit no-solution result.</w:t>
      </w:r>
    </w:p>
    <w:p>
      <w:pPr>
        <w:spacing w:after="60"/>
      </w:pPr>
      <w:r>
        <w:rPr>
          <w:b/>
        </w:rPr>
        <w:t xml:space="preserve">Real-world use case: </w:t>
      </w:r>
      <w:r>
        <w:t>A user supplies a string such as `aabbc`; the tool returns `abcba` under ordinary lowercase character ordering. The interface explains frequency counts, feasibility, first-half construction, middle character, and mirroring.</w:t>
      </w:r>
    </w:p>
    <w:p>
      <w:pPr>
        <w:spacing w:after="60"/>
      </w:pPr>
      <w:r>
        <w:rPr>
          <w:b/>
        </w:rPr>
        <w:t xml:space="preserve">Application integration: </w:t>
      </w:r>
      <w:r>
        <w:t>The dedicated Lab page invokes lexicographicallyFirstPalindrome and displays its actual construction trace.</w:t>
      </w:r>
    </w:p>
    <w:p>
      <w:pPr>
        <w:spacing w:after="60"/>
      </w:pPr>
      <w:r>
        <w:rPr>
          <w:b/>
        </w:rPr>
        <w:t xml:space="preserve">Complexity: </w:t>
      </w:r>
      <w:r>
        <w:t>O(n log n) time when sorting character types is required, with space based on the character frequency map and output.</w:t>
      </w:r>
    </w:p>
    <w:p>
      <w:pPr>
        <w:spacing w:after="60"/>
      </w:pPr>
      <w:r>
        <w:rPr>
          <w:b/>
        </w:rPr>
        <w:t xml:space="preserve">Limitations and correctness notes: </w:t>
      </w:r>
      <w:r>
        <w:t>This is an educational string algorithm, not a secure ID, password, or transaction-reference generator.</w:t>
      </w:r>
    </w:p>
    <w:p>
      <w:pPr>
        <w:pStyle w:val="Heading2"/>
      </w:pPr>
      <w:r>
        <w:t>ACC-13 — Natural Sort Order</w:t>
      </w:r>
    </w:p>
    <w:p>
      <w:pPr>
        <w:spacing w:after="60"/>
      </w:pPr>
      <w:r>
        <w:rPr>
          <w:b/>
        </w:rPr>
        <w:t xml:space="preserve">Source file: </w:t>
      </w:r>
      <w:r>
        <w:t>packages/algorithms/src/naturalSort.ts</w:t>
      </w:r>
    </w:p>
    <w:p>
      <w:pPr>
        <w:spacing w:after="60"/>
      </w:pPr>
      <w:r>
        <w:rPr>
          <w:b/>
        </w:rPr>
        <w:t xml:space="preserve">Exported function: </w:t>
      </w:r>
      <w:r>
        <w:t>naturalSort(values)</w:t>
      </w:r>
    </w:p>
    <w:p>
      <w:pPr>
        <w:spacing w:after="60"/>
      </w:pPr>
      <w:r>
        <w:rPr>
          <w:b/>
        </w:rPr>
        <w:t xml:space="preserve">Where it appears: </w:t>
      </w:r>
      <w:r>
        <w:t>Markets, Watchlists, Order History, and Algorithm Registry</w:t>
      </w:r>
    </w:p>
    <w:p>
      <w:pPr>
        <w:spacing w:after="60"/>
      </w:pPr>
      <w:r>
        <w:rPr>
          <w:b/>
        </w:rPr>
        <w:t xml:space="preserve">Problem solved: </w:t>
      </w:r>
      <w:r>
        <w:t>Sort strings so numeric substrings are compared by numeric value rather than purely lexicographic character order.</w:t>
      </w:r>
    </w:p>
    <w:p>
      <w:pPr>
        <w:spacing w:after="60"/>
      </w:pPr>
      <w:r>
        <w:rPr>
          <w:b/>
        </w:rPr>
        <w:t xml:space="preserve">Input: </w:t>
      </w:r>
      <w:r>
        <w:t>A list of instrument labels or identifiers.</w:t>
      </w:r>
    </w:p>
    <w:p>
      <w:pPr>
        <w:spacing w:after="60"/>
      </w:pPr>
      <w:r>
        <w:rPr>
          <w:b/>
        </w:rPr>
        <w:t xml:space="preserve">Output: </w:t>
      </w:r>
      <w:r>
        <w:t>A naturally ordered list.</w:t>
      </w:r>
    </w:p>
    <w:p>
      <w:pPr>
        <w:spacing w:after="60"/>
      </w:pPr>
      <w:r>
        <w:rPr>
          <w:b/>
        </w:rPr>
        <w:t xml:space="preserve">Real-world use case: </w:t>
      </w:r>
      <w:r>
        <w:t>Identifiers such as `STOCK-1`, `STOCK-2`, and `STOCK-10` appear in the order users expect. The algorithm can also sort synthetic watchlist labels and order references that contain numeric parts.</w:t>
      </w:r>
    </w:p>
    <w:p>
      <w:pPr>
        <w:spacing w:after="60"/>
      </w:pPr>
      <w:r>
        <w:rPr>
          <w:b/>
        </w:rPr>
        <w:t xml:space="preserve">Application integration: </w:t>
      </w:r>
      <w:r>
        <w:t>The market list, watchlist, order history, and registry invoke the shared naturalSort implementation when the user chooses natural identifier sorting.</w:t>
      </w:r>
    </w:p>
    <w:p>
      <w:pPr>
        <w:spacing w:after="60"/>
      </w:pPr>
      <w:r>
        <w:rPr>
          <w:b/>
        </w:rPr>
        <w:t xml:space="preserve">Complexity: </w:t>
      </w:r>
      <w:r>
        <w:t>Typically O(n log n × L) for n strings and comparator cost related to string length L; document the actual implementation and tokenization behavior.</w:t>
      </w:r>
    </w:p>
    <w:p>
      <w:pPr>
        <w:spacing w:after="60"/>
      </w:pPr>
      <w:r>
        <w:rPr>
          <w:b/>
        </w:rPr>
        <w:t xml:space="preserve">Limitations and correctness notes: </w:t>
      </w:r>
      <w:r>
        <w:t>Natural sorting is for human-readable identifiers. Financial rankings such as percentage change must use numeric sorting on the corresponding numeric field instead.</w:t>
      </w:r>
    </w:p>
    <w:p>
      <w:r>
        <w:br w:type="page"/>
      </w:r>
    </w:p>
    <w:p>
      <w:pPr>
        <w:pStyle w:val="Heading1"/>
      </w:pPr>
      <w:r>
        <w:t>8. Algorithm Execution and Source Traceability</w:t>
      </w:r>
    </w:p>
    <w:p>
      <w:r>
        <w:t>The Algorithm Registry is the authoritative index of the 13 required implementations. It must be generated from actual algorithm metadata rather than maintained as a separate, potentially inaccurate table.</w:t>
      </w:r>
    </w:p>
    <w:p>
      <w:pPr>
        <w:pStyle w:val="ListBullet"/>
        <w:spacing w:after="60"/>
      </w:pPr>
      <w:r>
        <w:t>Stable ID: ACC-01 through ACC-13.</w:t>
      </w:r>
    </w:p>
    <w:p>
      <w:pPr>
        <w:pStyle w:val="ListBullet"/>
        <w:spacing w:after="60"/>
      </w:pPr>
      <w:r>
        <w:t>Source path: the exact file in packages/algorithms/src/.</w:t>
      </w:r>
    </w:p>
    <w:p>
      <w:pPr>
        <w:pStyle w:val="ListBullet"/>
        <w:spacing w:after="60"/>
      </w:pPr>
      <w:r>
        <w:t>Exported function: the function actually invoked by the backend or Lab.</w:t>
      </w:r>
    </w:p>
    <w:p>
      <w:pPr>
        <w:pStyle w:val="ListBullet"/>
        <w:spacing w:after="60"/>
      </w:pPr>
      <w:r>
        <w:t>Input/output contract: typed schema and documented validation behavior.</w:t>
      </w:r>
    </w:p>
    <w:p>
      <w:pPr>
        <w:pStyle w:val="ListBullet"/>
        <w:spacing w:after="60"/>
      </w:pPr>
      <w:r>
        <w:t>Caller: actual module or UI workflow that invokes the implementation.</w:t>
      </w:r>
    </w:p>
    <w:p>
      <w:pPr>
        <w:pStyle w:val="ListBullet"/>
        <w:spacing w:after="60"/>
      </w:pPr>
      <w:r>
        <w:t>Tests: existing unit-test file and real test status.</w:t>
      </w:r>
    </w:p>
    <w:p>
      <w:pPr>
        <w:pStyle w:val="ListBullet"/>
        <w:spacing w:after="60"/>
      </w:pPr>
      <w:r>
        <w:t>Trace: internal steps produced by the implementation, not a fabricated explanation after the result.</w:t>
      </w:r>
    </w:p>
    <w:p>
      <w:pPr>
        <w:pStyle w:val="ListBullet"/>
        <w:spacing w:after="60"/>
      </w:pPr>
      <w:r>
        <w:t>Version and reproducibility: record algorithm version and dataset reference for saved analyses where practical.</w:t>
      </w:r>
    </w:p>
    <w:p>
      <w:pPr>
        <w:pStyle w:val="Heading1"/>
      </w:pPr>
      <w:r>
        <w:t>9. API and Service Boundaries</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5324B"/>
          </w:tcPr>
          <w:p>
            <w:pPr>
              <w:spacing w:after="40"/>
            </w:pPr>
            <w:r/>
            <w:r>
              <w:rPr>
                <w:rFonts w:ascii="Aptos" w:hAnsi="Aptos"/>
                <w:b/>
                <w:color w:val="FFFFFF"/>
                <w:sz w:val="18"/>
              </w:rPr>
              <w:t>Endpoint</w:t>
            </w:r>
          </w:p>
        </w:tc>
        <w:tc>
          <w:tcPr>
            <w:tcW w:type="dxa" w:w="4968"/>
            <w:vAlign w:val="center"/>
            <w:shd w:fill="15324B"/>
          </w:tcPr>
          <w:p>
            <w:pPr>
              <w:spacing w:after="40"/>
            </w:pPr>
            <w:r/>
            <w:r>
              <w:rPr>
                <w:rFonts w:ascii="Aptos" w:hAnsi="Aptos"/>
                <w:b/>
                <w:color w:val="FFFFFF"/>
                <w:sz w:val="18"/>
              </w:rPr>
              <w:t>Purpose</w:t>
            </w:r>
          </w:p>
        </w:tc>
      </w:tr>
      <w:tr>
        <w:tc>
          <w:tcPr>
            <w:tcW w:type="dxa" w:w="4968"/>
            <w:vAlign w:val="center"/>
          </w:tcPr>
          <w:p>
            <w:pPr>
              <w:spacing w:after="40"/>
            </w:pPr>
            <w:r/>
            <w:r>
              <w:rPr>
                <w:rFonts w:ascii="Aptos" w:hAnsi="Aptos"/>
                <w:b/>
                <w:sz w:val="16"/>
              </w:rPr>
              <w:t>GET /api/markets/search</w:t>
            </w:r>
          </w:p>
        </w:tc>
        <w:tc>
          <w:tcPr>
            <w:tcW w:type="dxa" w:w="4968"/>
            <w:vAlign w:val="center"/>
          </w:tcPr>
          <w:p>
            <w:pPr>
              <w:spacing w:after="40"/>
            </w:pPr>
            <w:r/>
            <w:r>
              <w:rPr>
                <w:rFonts w:ascii="Aptos" w:hAnsi="Aptos"/>
                <w:b w:val="0"/>
                <w:sz w:val="17"/>
              </w:rPr>
              <w:t>Search supported instruments by query and exchange.</w:t>
            </w:r>
          </w:p>
        </w:tc>
      </w:tr>
      <w:tr>
        <w:tc>
          <w:tcPr>
            <w:tcW w:type="dxa" w:w="4968"/>
            <w:vAlign w:val="center"/>
          </w:tcPr>
          <w:p>
            <w:pPr>
              <w:spacing w:after="40"/>
            </w:pPr>
            <w:r/>
            <w:r>
              <w:rPr>
                <w:rFonts w:ascii="Aptos" w:hAnsi="Aptos"/>
                <w:b/>
                <w:sz w:val="16"/>
              </w:rPr>
              <w:t>GET /api/markets/quote</w:t>
            </w:r>
          </w:p>
        </w:tc>
        <w:tc>
          <w:tcPr>
            <w:tcW w:type="dxa" w:w="4968"/>
            <w:vAlign w:val="center"/>
          </w:tcPr>
          <w:p>
            <w:pPr>
              <w:spacing w:after="40"/>
            </w:pPr>
            <w:r/>
            <w:r>
              <w:rPr>
                <w:rFonts w:ascii="Aptos" w:hAnsi="Aptos"/>
                <w:b w:val="0"/>
                <w:sz w:val="17"/>
              </w:rPr>
              <w:t>Retrieve normalized latest available quote with provenance.</w:t>
            </w:r>
          </w:p>
        </w:tc>
      </w:tr>
      <w:tr>
        <w:tc>
          <w:tcPr>
            <w:tcW w:type="dxa" w:w="4968"/>
            <w:vAlign w:val="center"/>
          </w:tcPr>
          <w:p>
            <w:pPr>
              <w:spacing w:after="40"/>
            </w:pPr>
            <w:r/>
            <w:r>
              <w:rPr>
                <w:rFonts w:ascii="Aptos" w:hAnsi="Aptos"/>
                <w:b/>
                <w:sz w:val="16"/>
              </w:rPr>
              <w:t>GET /api/markets/candles</w:t>
            </w:r>
          </w:p>
        </w:tc>
        <w:tc>
          <w:tcPr>
            <w:tcW w:type="dxa" w:w="4968"/>
            <w:vAlign w:val="center"/>
          </w:tcPr>
          <w:p>
            <w:pPr>
              <w:spacing w:after="40"/>
            </w:pPr>
            <w:r/>
            <w:r>
              <w:rPr>
                <w:rFonts w:ascii="Aptos" w:hAnsi="Aptos"/>
                <w:b w:val="0"/>
                <w:sz w:val="17"/>
              </w:rPr>
              <w:t>Retrieve validated historical OHLCV observations.</w:t>
            </w:r>
          </w:p>
        </w:tc>
      </w:tr>
      <w:tr>
        <w:tc>
          <w:tcPr>
            <w:tcW w:type="dxa" w:w="4968"/>
            <w:vAlign w:val="center"/>
          </w:tcPr>
          <w:p>
            <w:pPr>
              <w:spacing w:after="40"/>
            </w:pPr>
            <w:r/>
            <w:r>
              <w:rPr>
                <w:rFonts w:ascii="Aptos" w:hAnsi="Aptos"/>
                <w:b/>
                <w:sz w:val="16"/>
              </w:rPr>
              <w:t>GET /api/markets/fundamentals</w:t>
            </w:r>
          </w:p>
        </w:tc>
        <w:tc>
          <w:tcPr>
            <w:tcW w:type="dxa" w:w="4968"/>
            <w:vAlign w:val="center"/>
          </w:tcPr>
          <w:p>
            <w:pPr>
              <w:spacing w:after="40"/>
            </w:pPr>
            <w:r/>
            <w:r>
              <w:rPr>
                <w:rFonts w:ascii="Aptos" w:hAnsi="Aptos"/>
                <w:b w:val="0"/>
                <w:sz w:val="17"/>
              </w:rPr>
              <w:t>Return supported company profile/fundamental fields.</w:t>
            </w:r>
          </w:p>
        </w:tc>
      </w:tr>
      <w:tr>
        <w:tc>
          <w:tcPr>
            <w:tcW w:type="dxa" w:w="4968"/>
            <w:vAlign w:val="center"/>
          </w:tcPr>
          <w:p>
            <w:pPr>
              <w:spacing w:after="40"/>
            </w:pPr>
            <w:r/>
            <w:r>
              <w:rPr>
                <w:rFonts w:ascii="Aptos" w:hAnsi="Aptos"/>
                <w:b/>
                <w:sz w:val="16"/>
              </w:rPr>
              <w:t>GET /api/watchlists</w:t>
            </w:r>
          </w:p>
        </w:tc>
        <w:tc>
          <w:tcPr>
            <w:tcW w:type="dxa" w:w="4968"/>
            <w:vAlign w:val="center"/>
          </w:tcPr>
          <w:p>
            <w:pPr>
              <w:spacing w:after="40"/>
            </w:pPr>
            <w:r/>
            <w:r>
              <w:rPr>
                <w:rFonts w:ascii="Aptos" w:hAnsi="Aptos"/>
                <w:b w:val="0"/>
                <w:sz w:val="17"/>
              </w:rPr>
              <w:t>Retrieve the authenticated user's watchlists.</w:t>
            </w:r>
          </w:p>
        </w:tc>
      </w:tr>
      <w:tr>
        <w:tc>
          <w:tcPr>
            <w:tcW w:type="dxa" w:w="4968"/>
            <w:vAlign w:val="center"/>
          </w:tcPr>
          <w:p>
            <w:pPr>
              <w:spacing w:after="40"/>
            </w:pPr>
            <w:r/>
            <w:r>
              <w:rPr>
                <w:rFonts w:ascii="Aptos" w:hAnsi="Aptos"/>
                <w:b/>
                <w:sz w:val="16"/>
              </w:rPr>
              <w:t>POST /api/watchlists</w:t>
            </w:r>
          </w:p>
        </w:tc>
        <w:tc>
          <w:tcPr>
            <w:tcW w:type="dxa" w:w="4968"/>
            <w:vAlign w:val="center"/>
          </w:tcPr>
          <w:p>
            <w:pPr>
              <w:spacing w:after="40"/>
            </w:pPr>
            <w:r/>
            <w:r>
              <w:rPr>
                <w:rFonts w:ascii="Aptos" w:hAnsi="Aptos"/>
                <w:b w:val="0"/>
                <w:sz w:val="17"/>
              </w:rPr>
              <w:t>Create a watchlist.</w:t>
            </w:r>
          </w:p>
        </w:tc>
      </w:tr>
      <w:tr>
        <w:tc>
          <w:tcPr>
            <w:tcW w:type="dxa" w:w="4968"/>
            <w:vAlign w:val="center"/>
          </w:tcPr>
          <w:p>
            <w:pPr>
              <w:spacing w:after="40"/>
            </w:pPr>
            <w:r/>
            <w:r>
              <w:rPr>
                <w:rFonts w:ascii="Aptos" w:hAnsi="Aptos"/>
                <w:b/>
                <w:sz w:val="16"/>
              </w:rPr>
              <w:t>GET /api/portfolio</w:t>
            </w:r>
          </w:p>
        </w:tc>
        <w:tc>
          <w:tcPr>
            <w:tcW w:type="dxa" w:w="4968"/>
            <w:vAlign w:val="center"/>
          </w:tcPr>
          <w:p>
            <w:pPr>
              <w:spacing w:after="40"/>
            </w:pPr>
            <w:r/>
            <w:r>
              <w:rPr>
                <w:rFonts w:ascii="Aptos" w:hAnsi="Aptos"/>
                <w:b w:val="0"/>
                <w:sz w:val="17"/>
              </w:rPr>
              <w:t>Retrieve virtual balances and positions for the authenticated user.</w:t>
            </w:r>
          </w:p>
        </w:tc>
      </w:tr>
      <w:tr>
        <w:tc>
          <w:tcPr>
            <w:tcW w:type="dxa" w:w="4968"/>
            <w:vAlign w:val="center"/>
          </w:tcPr>
          <w:p>
            <w:pPr>
              <w:spacing w:after="40"/>
            </w:pPr>
            <w:r/>
            <w:r>
              <w:rPr>
                <w:rFonts w:ascii="Aptos" w:hAnsi="Aptos"/>
                <w:b/>
                <w:sz w:val="16"/>
              </w:rPr>
              <w:t>POST /api/paper/orders</w:t>
            </w:r>
          </w:p>
        </w:tc>
        <w:tc>
          <w:tcPr>
            <w:tcW w:type="dxa" w:w="4968"/>
            <w:vAlign w:val="center"/>
          </w:tcPr>
          <w:p>
            <w:pPr>
              <w:spacing w:after="40"/>
            </w:pPr>
            <w:r/>
            <w:r>
              <w:rPr>
                <w:rFonts w:ascii="Aptos" w:hAnsi="Aptos"/>
                <w:b w:val="0"/>
                <w:sz w:val="17"/>
              </w:rPr>
              <w:t>Validate and simulate an order; never submit it to a broker.</w:t>
            </w:r>
          </w:p>
        </w:tc>
      </w:tr>
      <w:tr>
        <w:tc>
          <w:tcPr>
            <w:tcW w:type="dxa" w:w="4968"/>
            <w:vAlign w:val="center"/>
          </w:tcPr>
          <w:p>
            <w:pPr>
              <w:spacing w:after="40"/>
            </w:pPr>
            <w:r/>
            <w:r>
              <w:rPr>
                <w:rFonts w:ascii="Aptos" w:hAnsi="Aptos"/>
                <w:b/>
                <w:sz w:val="16"/>
              </w:rPr>
              <w:t>GET /api/paper/orders</w:t>
            </w:r>
          </w:p>
        </w:tc>
        <w:tc>
          <w:tcPr>
            <w:tcW w:type="dxa" w:w="4968"/>
            <w:vAlign w:val="center"/>
          </w:tcPr>
          <w:p>
            <w:pPr>
              <w:spacing w:after="40"/>
            </w:pPr>
            <w:r/>
            <w:r>
              <w:rPr>
                <w:rFonts w:ascii="Aptos" w:hAnsi="Aptos"/>
                <w:b w:val="0"/>
                <w:sz w:val="17"/>
              </w:rPr>
              <w:t>Retrieve the user's simulated order history.</w:t>
            </w:r>
          </w:p>
        </w:tc>
      </w:tr>
      <w:tr>
        <w:tc>
          <w:tcPr>
            <w:tcW w:type="dxa" w:w="4968"/>
            <w:vAlign w:val="center"/>
          </w:tcPr>
          <w:p>
            <w:pPr>
              <w:spacing w:after="40"/>
            </w:pPr>
            <w:r/>
            <w:r>
              <w:rPr>
                <w:rFonts w:ascii="Aptos" w:hAnsi="Aptos"/>
                <w:b/>
                <w:sz w:val="16"/>
              </w:rPr>
              <w:t>POST /api/algorithms/:algorithmId/run</w:t>
            </w:r>
          </w:p>
        </w:tc>
        <w:tc>
          <w:tcPr>
            <w:tcW w:type="dxa" w:w="4968"/>
            <w:vAlign w:val="center"/>
          </w:tcPr>
          <w:p>
            <w:pPr>
              <w:spacing w:after="40"/>
            </w:pPr>
            <w:r/>
            <w:r>
              <w:rPr>
                <w:rFonts w:ascii="Aptos" w:hAnsi="Aptos"/>
                <w:b w:val="0"/>
                <w:sz w:val="17"/>
              </w:rPr>
              <w:t>Validate input and execute the actual registered implementation.</w:t>
            </w:r>
          </w:p>
        </w:tc>
      </w:tr>
      <w:tr>
        <w:tc>
          <w:tcPr>
            <w:tcW w:type="dxa" w:w="4968"/>
            <w:vAlign w:val="center"/>
          </w:tcPr>
          <w:p>
            <w:pPr>
              <w:spacing w:after="40"/>
            </w:pPr>
            <w:r/>
            <w:r>
              <w:rPr>
                <w:rFonts w:ascii="Aptos" w:hAnsi="Aptos"/>
                <w:b/>
                <w:sz w:val="16"/>
              </w:rPr>
              <w:t>GET /api/algorithms/registry</w:t>
            </w:r>
          </w:p>
        </w:tc>
        <w:tc>
          <w:tcPr>
            <w:tcW w:type="dxa" w:w="4968"/>
            <w:vAlign w:val="center"/>
          </w:tcPr>
          <w:p>
            <w:pPr>
              <w:spacing w:after="40"/>
            </w:pPr>
            <w:r/>
            <w:r>
              <w:rPr>
                <w:rFonts w:ascii="Aptos" w:hAnsi="Aptos"/>
                <w:b w:val="0"/>
                <w:sz w:val="17"/>
              </w:rPr>
              <w:t>Return metadata generated from the algorithm registry.</w:t>
            </w:r>
          </w:p>
        </w:tc>
      </w:tr>
      <w:tr>
        <w:tc>
          <w:tcPr>
            <w:tcW w:type="dxa" w:w="4968"/>
            <w:vAlign w:val="center"/>
          </w:tcPr>
          <w:p>
            <w:pPr>
              <w:spacing w:after="40"/>
            </w:pPr>
            <w:r/>
            <w:r>
              <w:rPr>
                <w:rFonts w:ascii="Aptos" w:hAnsi="Aptos"/>
                <w:b/>
                <w:sz w:val="16"/>
              </w:rPr>
              <w:t>GET /api/algorithms/:algorithmId/source</w:t>
            </w:r>
          </w:p>
        </w:tc>
        <w:tc>
          <w:tcPr>
            <w:tcW w:type="dxa" w:w="4968"/>
            <w:vAlign w:val="center"/>
          </w:tcPr>
          <w:p>
            <w:pPr>
              <w:spacing w:after="40"/>
            </w:pPr>
            <w:r/>
            <w:r>
              <w:rPr>
                <w:rFonts w:ascii="Aptos" w:hAnsi="Aptos"/>
                <w:b w:val="0"/>
                <w:sz w:val="17"/>
              </w:rPr>
              <w:t>Return source for an allowlisted algorithm file in a safe development/source-viewer design.</w:t>
            </w:r>
          </w:p>
        </w:tc>
      </w:tr>
    </w:tbl>
    <w:p>
      <w:pPr>
        <w:pStyle w:val="Heading1"/>
      </w:pPr>
      <w:r>
        <w:t>10. Non-Functional Requirements</w:t>
      </w:r>
    </w:p>
    <w:p>
      <w:pPr>
        <w:pStyle w:val="ListBullet"/>
        <w:spacing w:after="60"/>
      </w:pPr>
      <w:r>
        <w:t>Correctness: validated algorithms, consistent accounting, and no fabricated market data.</w:t>
      </w:r>
    </w:p>
    <w:p>
      <w:pPr>
        <w:pStyle w:val="ListBullet"/>
        <w:spacing w:after="60"/>
      </w:pPr>
      <w:r>
        <w:t>Security: server-only provider credentials, authenticated ownership checks, safe source viewer, input validation, and secrets excluded from logs.</w:t>
      </w:r>
    </w:p>
    <w:p>
      <w:pPr>
        <w:pStyle w:val="ListBullet"/>
        <w:spacing w:after="60"/>
      </w:pPr>
      <w:r>
        <w:t>Reliability: bounded retries, clear offline states, and tests that do not require the external provider to be available.</w:t>
      </w:r>
    </w:p>
    <w:p>
      <w:pPr>
        <w:pStyle w:val="ListBullet"/>
        <w:spacing w:after="60"/>
      </w:pPr>
      <w:r>
        <w:t>Performance: pagination or virtualization for large tables, cached quotes with expiry, and bounded input sizes for algorithm execution.</w:t>
      </w:r>
    </w:p>
    <w:p>
      <w:pPr>
        <w:pStyle w:val="ListBullet"/>
        <w:spacing w:after="60"/>
      </w:pPr>
      <w:r>
        <w:t>Auditability: order/transaction history and algorithm run metadata.</w:t>
      </w:r>
    </w:p>
    <w:p>
      <w:pPr>
        <w:pStyle w:val="ListBullet"/>
        <w:spacing w:after="60"/>
      </w:pPr>
      <w:r>
        <w:t>Accessibility: readable contrast, keyboard-accessible controls, labels, and responsive layouts.</w:t>
      </w:r>
    </w:p>
    <w:p>
      <w:pPr>
        <w:pStyle w:val="ListBullet"/>
        <w:spacing w:after="60"/>
      </w:pPr>
      <w:r>
        <w:t>Maintainability: provider adapters, separate services, independent algorithm files, generated registry, and documented API contracts.</w:t>
      </w:r>
    </w:p>
    <w:p>
      <w:pPr>
        <w:pStyle w:val="Heading1"/>
      </w:pPr>
      <w:r>
        <w:t>11. Testing and Acceptance Criteria</w:t>
      </w:r>
    </w:p>
    <w:p>
      <w:pPr>
        <w:pStyle w:val="ListBullet"/>
        <w:spacing w:after="60"/>
      </w:pPr>
      <w:r>
        <w:t>All 13 algorithms have independent implementations and unit tests, including edge cases.</w:t>
      </w:r>
    </w:p>
    <w:p>
      <w:pPr>
        <w:pStyle w:val="ListBullet"/>
        <w:spacing w:after="60"/>
      </w:pPr>
      <w:r>
        <w:t>The registry contains exactly 13 entries and every entry resolves to an actual source file, exported function, caller, and test file.</w:t>
      </w:r>
    </w:p>
    <w:p>
      <w:pPr>
        <w:pStyle w:val="ListBullet"/>
        <w:spacing w:after="60"/>
      </w:pPr>
      <w:r>
        <w:t>The source viewer opens real code and does not permit arbitrary filesystem access.</w:t>
      </w:r>
    </w:p>
    <w:p>
      <w:pPr>
        <w:pStyle w:val="ListBullet"/>
        <w:spacing w:after="60"/>
      </w:pPr>
      <w:r>
        <w:t>Stock search, quotes, and candles work when provider credentials and entitlements permit; mocked responses cover automated tests.</w:t>
      </w:r>
    </w:p>
    <w:p>
      <w:pPr>
        <w:pStyle w:val="ListBullet"/>
        <w:spacing w:after="60"/>
      </w:pPr>
      <w:r>
        <w:t>Data freshness and source status are visible; demo data is never presented as live.</w:t>
      </w:r>
    </w:p>
    <w:p>
      <w:pPr>
        <w:pStyle w:val="ListBullet"/>
        <w:spacing w:after="60"/>
      </w:pPr>
      <w:r>
        <w:t>Watchlists and paper-trading records persist in MongoDB when configured.</w:t>
      </w:r>
    </w:p>
    <w:p>
      <w:pPr>
        <w:pStyle w:val="ListBullet"/>
        <w:spacing w:after="60"/>
      </w:pPr>
      <w:r>
        <w:t>Paper orders correctly update cash, positions, fees, and P&amp;L; invalid and duplicate orders are rejected.</w:t>
      </w:r>
    </w:p>
    <w:p>
      <w:pPr>
        <w:pStyle w:val="ListBullet"/>
        <w:spacing w:after="60"/>
      </w:pPr>
      <w:r>
        <w:t>User data is isolated by authenticated ownership checks.</w:t>
      </w:r>
    </w:p>
    <w:p>
      <w:pPr>
        <w:pStyle w:val="ListBullet"/>
        <w:spacing w:after="60"/>
      </w:pPr>
      <w:r>
        <w:t>Frontend and backend type checks, builds, and tests are run and their actual outcomes documented.</w:t>
      </w:r>
    </w:p>
    <w:p>
      <w:pPr>
        <w:pStyle w:val="ListBullet"/>
        <w:spacing w:after="60"/>
      </w:pPr>
      <w:r>
        <w:t>README explains setup, provider limitations, database configuration, test commands, and paper-trading limitations.</w:t>
      </w:r>
    </w:p>
    <w:p>
      <w:pPr>
        <w:pStyle w:val="Heading1"/>
      </w:pPr>
      <w:r>
        <w:t>12. Risks, Limitations, and Assumptions</w:t>
      </w:r>
    </w:p>
    <w:p>
      <w:pPr>
        <w:pStyle w:val="ListBullet"/>
        <w:spacing w:after="60"/>
      </w:pPr>
      <w:r>
        <w:t>Market-data coverage, real-time access, historical depth, fundamentals, and streaming depend on the provider and subscription plan.</w:t>
      </w:r>
    </w:p>
    <w:p>
      <w:pPr>
        <w:pStyle w:val="ListBullet"/>
        <w:spacing w:after="60"/>
      </w:pPr>
      <w:r>
        <w:t>A market-data API is not a brokerage API. QuantEdge simulates orders and does not execute real trades.</w:t>
      </w:r>
    </w:p>
    <w:p>
      <w:pPr>
        <w:pStyle w:val="ListBullet"/>
        <w:spacing w:after="60"/>
      </w:pPr>
      <w:r>
        <w:t>Historical patterns are descriptive and do not guarantee future returns.</w:t>
      </w:r>
    </w:p>
    <w:p>
      <w:pPr>
        <w:pStyle w:val="ListBullet"/>
        <w:spacing w:after="60"/>
      </w:pPr>
      <w:r>
        <w:t>The 13 algorithms do not all represent conventional finance techniques. Booth's algorithm, nibble swapping, and palindrome construction are educational utilities; their value is transparent algorithm demonstration and traceability.</w:t>
      </w:r>
    </w:p>
    <w:p>
      <w:pPr>
        <w:pStyle w:val="ListBullet"/>
        <w:spacing w:after="60"/>
      </w:pPr>
      <w:r>
        <w:t>Paper trading cannot fully reproduce spread, liquidity, market impact, slippage, or actual exchange queue priority.</w:t>
      </w:r>
    </w:p>
    <w:p>
      <w:pPr>
        <w:pStyle w:val="ListBullet"/>
        <w:spacing w:after="60"/>
      </w:pPr>
      <w:r>
        <w:t>Data from different exchanges may have different trading hours, currencies, symbol conventions, and availability.</w:t>
      </w:r>
    </w:p>
    <w:p>
      <w:pPr>
        <w:pStyle w:val="ListBullet"/>
        <w:spacing w:after="60"/>
      </w:pPr>
      <w:r>
        <w:t>Algorithm benchmarks depend on machine, input sizes, runtime, and implementation details; report measured results honestly.</w:t>
      </w:r>
    </w:p>
    <w:p>
      <w:pPr>
        <w:pStyle w:val="Heading1"/>
      </w:pPr>
      <w:r>
        <w:t>13. Conclusion</w:t>
      </w:r>
    </w:p>
    <w:p>
      <w:r>
        <w:t>QuantEdge combines a conventional equity-research workflow with a transparent algorithm-engineering layer. Its value is not simply that it displays stock charts: it connects market data, validated analytics, a persistent virtual portfolio, and 13 independently testable algorithms. The generated Algorithm Registry and source viewer make the academic implementation verifiable, while clear data provenance and paper-trading boundaries keep the financial behavior honest.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QuantEdge Project Design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QUANTEDGE  |  SYSTEM &amp; ALGORITHM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53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