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68D2"/>
          <w:sz w:val="28"/>
        </w:rPr>
        <w:t>GHS INC</w:t>
      </w:r>
    </w:p>
    <w:p>
      <w:pPr>
        <w:pStyle w:val="Title"/>
        <w:jc w:val="center"/>
      </w:pPr>
      <w:r>
        <w:t>Covering Letter</w:t>
      </w:r>
    </w:p>
    <w:p>
      <w:pPr>
        <w:jc w:val="center"/>
      </w:pPr>
      <w:r>
        <w:rPr>
          <w:b/>
          <w:sz w:val="24"/>
        </w:rPr>
        <w:t>Proposal for a Government Asset Management &amp; Inventory Digitisation Pilot</w:t>
      </w:r>
    </w:p>
    <w:p>
      <w:r>
        <w:t>Date: 14 October 2026</w:t>
      </w:r>
    </w:p>
    <w:p>
      <w:r>
        <w:t>To</w:t>
        <w:br/>
        <w:t>The Hon’ble Minister for Information Technology and Digital Services</w:t>
        <w:br/>
        <w:t>Government of Tamil Nadu</w:t>
        <w:br/>
        <w:t>Secretariat, Fort St. George</w:t>
        <w:br/>
        <w:t>Chennai – 600 009</w:t>
      </w:r>
    </w:p>
    <w:p>
      <w:r>
        <w:t>Through: The Additional Chief Secretary to Government</w:t>
        <w:br/>
        <w:t>Artificial Intelligence, Information Technology and Digital Services Department</w:t>
        <w:br/>
        <w:t>Government of Tamil Nadu</w:t>
      </w:r>
    </w:p>
    <w:p>
      <w:r>
        <w:rPr>
          <w:b/>
        </w:rPr>
        <w:t xml:space="preserve">Subject: </w:t>
      </w:r>
      <w:r>
        <w:t>Request for an initial review meeting to discuss a controlled pilot for digital asset management.</w:t>
      </w:r>
    </w:p>
    <w:p>
      <w:r>
        <w:t>Respected Hon’ble Minister,</w:t>
      </w:r>
    </w:p>
    <w:p>
      <w:r>
        <w:t>On behalf of GHS Inc, I respectfully submit the enclosed concept proposal for the Government’s consideration. The proposal outlines a potential pilot to digitise the registration, location, custody, search and lifecycle tracking of selected government assets within a department or nominated office.</w:t>
      </w:r>
    </w:p>
    <w:p>
      <w:r>
        <w:t>We propose beginning with a discovery discussion and a limited pilot, subject to the Department’s priorities, technical and security standards, data governance requirements, and applicable procurement procedures. The objective would be to assess workflow fit, data quality, usability and measurable operational outcomes before considering any expansion.</w:t>
      </w:r>
    </w:p>
    <w:p>
      <w:r>
        <w:t>We would be grateful for guidance on the appropriate nodal officer or technical team with whom GHS Inc may discuss the concept, demonstrate the current starter application, and understand the Department’s evaluation and procurement process.</w:t>
      </w:r>
    </w:p>
    <w:p>
      <w:r>
        <w:t>Thank you for your time and consideration.</w:t>
      </w:r>
    </w:p>
    <w:p>
      <w:r>
        <w:t>Yours faithfully,</w:t>
      </w:r>
    </w:p>
    <w:p>
      <w:r>
        <w:t>Authorised Representative</w:t>
        <w:br/>
        <w:t>GHS Inc</w:t>
        <w:br/>
        <w:t>Name: __________________________________</w:t>
        <w:br/>
        <w:t>Designation: _____________________________</w:t>
        <w:br/>
        <w:t>Email: __________________________________</w:t>
        <w:br/>
        <w:t>Phone: ___________________________________</w:t>
        <w:br/>
        <w:t>Registered office: _________________________</w:t>
      </w:r>
    </w:p>
    <w:p/>
    <w:p>
      <w:r>
        <w:rPr>
          <w:b/>
        </w:rPr>
        <w:t xml:space="preserve">Enclosure: </w:t>
      </w:r>
      <w:r>
        <w:t>Concept Proposal — Government Asset Management &amp; Inventory Digitisation Pilot</w:t>
      </w:r>
    </w:p>
    <w:p>
      <w:r>
        <w:br w:type="page"/>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p>
      <w:pPr>
        <w:jc w:val="center"/>
      </w:pPr>
      <w:r>
        <w:rPr>
          <w:b/>
          <w:color w:val="2368D2"/>
          <w:sz w:val="26"/>
        </w:rPr>
        <w:t>GHS INC</w:t>
      </w:r>
    </w:p>
    <w:p>
      <w:pPr>
        <w:pStyle w:val="Title"/>
        <w:jc w:val="center"/>
      </w:pPr>
      <w:r>
        <w:t>Proposal for a Government Asset Management &amp; Inventory Digitisation Pilot</w:t>
      </w:r>
    </w:p>
    <w:p>
      <w:pPr>
        <w:jc w:val="center"/>
      </w:pPr>
      <w:r>
        <w:rPr>
          <w:b/>
          <w:sz w:val="24"/>
        </w:rPr>
        <w:t>Submitted for consideration by the Government of Tamil Nadu</w:t>
      </w:r>
    </w:p>
    <w:p>
      <w:pPr>
        <w:jc w:val="center"/>
      </w:pPr>
      <w:r>
        <w:rPr>
          <w:sz w:val="18"/>
        </w:rPr>
        <w:t>Prepared by GHS Inc  |  14 October 2026</w:t>
      </w:r>
    </w:p>
    <w:tbl>
      <w:tblPr>
        <w:tblStyle w:val="TableGrid"/>
        <w:tblW w:type="auto" w:w="0"/>
        <w:jc w:val="center"/>
        <w:tblLook w:firstColumn="1" w:firstRow="1" w:lastColumn="0" w:lastRow="0" w:noHBand="0" w:noVBand="1" w:val="04A0"/>
      </w:tblPr>
      <w:tblGrid>
        <w:gridCol w:w="4968"/>
        <w:gridCol w:w="4968"/>
      </w:tblGrid>
      <w:tr>
        <w:tc>
          <w:tcPr>
            <w:tcW w:type="dxa" w:w="4968"/>
            <w:shd w:fill="EAF1FA"/>
          </w:tcPr>
          <w:p>
            <w:pPr>
              <w:spacing w:after="0"/>
            </w:pPr>
            <w:r>
              <w:rPr>
                <w:rFonts w:ascii="Aptos" w:hAnsi="Aptos"/>
                <w:sz w:val="18"/>
              </w:rPr>
            </w:r>
            <w:r>
              <w:rPr>
                <w:rFonts w:ascii="Aptos" w:hAnsi="Aptos"/>
                <w:b/>
                <w:color w:val="0F2748"/>
                <w:sz w:val="18"/>
              </w:rPr>
              <w:t>Submitted to</w:t>
            </w:r>
          </w:p>
        </w:tc>
        <w:tc>
          <w:tcPr>
            <w:tcW w:type="dxa" w:w="4968"/>
          </w:tcPr>
          <w:p>
            <w:r>
              <w:rPr>
                <w:rFonts w:ascii="Aptos" w:hAnsi="Aptos"/>
                <w:sz w:val="18"/>
              </w:rPr>
              <w:t>The Hon’ble Minister for Information Technology and Digital Services, Government of Tamil Nadu; through the Additional Chief Secretary to Government, Artificial Intelligence, Information Technology and Digital Services Department.</w:t>
            </w:r>
          </w:p>
        </w:tc>
      </w:tr>
      <w:tr>
        <w:tc>
          <w:tcPr>
            <w:tcW w:type="dxa" w:w="4968"/>
            <w:shd w:fill="EAF1FA"/>
          </w:tcPr>
          <w:p>
            <w:pPr>
              <w:spacing w:after="0"/>
            </w:pPr>
            <w:r>
              <w:rPr>
                <w:rFonts w:ascii="Aptos" w:hAnsi="Aptos"/>
                <w:sz w:val="18"/>
              </w:rPr>
            </w:r>
            <w:r>
              <w:rPr>
                <w:rFonts w:ascii="Aptos" w:hAnsi="Aptos"/>
                <w:b/>
                <w:color w:val="0F2748"/>
                <w:sz w:val="18"/>
              </w:rPr>
              <w:t>Subject</w:t>
            </w:r>
          </w:p>
        </w:tc>
        <w:tc>
          <w:tcPr>
            <w:tcW w:type="dxa" w:w="4968"/>
          </w:tcPr>
          <w:p>
            <w:r>
              <w:rPr>
                <w:rFonts w:ascii="Aptos" w:hAnsi="Aptos"/>
                <w:sz w:val="18"/>
              </w:rPr>
              <w:t>Request for an initial review meeting and consideration of a controlled pilot for digital asset registration, tracking, search and lifecycle management.</w:t>
            </w:r>
          </w:p>
        </w:tc>
      </w:tr>
      <w:tr>
        <w:tc>
          <w:tcPr>
            <w:tcW w:type="dxa" w:w="4968"/>
            <w:shd w:fill="EAF1FA"/>
          </w:tcPr>
          <w:p>
            <w:pPr>
              <w:spacing w:after="0"/>
            </w:pPr>
            <w:r>
              <w:rPr>
                <w:rFonts w:ascii="Aptos" w:hAnsi="Aptos"/>
                <w:sz w:val="18"/>
              </w:rPr>
            </w:r>
            <w:r>
              <w:rPr>
                <w:rFonts w:ascii="Aptos" w:hAnsi="Aptos"/>
                <w:b/>
                <w:color w:val="0F2748"/>
                <w:sz w:val="18"/>
              </w:rPr>
              <w:t>Proposed sponsor</w:t>
            </w:r>
          </w:p>
        </w:tc>
        <w:tc>
          <w:tcPr>
            <w:tcW w:type="dxa" w:w="4968"/>
          </w:tcPr>
          <w:p>
            <w:pPr>
              <w:spacing w:after="0"/>
            </w:pPr>
            <w:r>
              <w:rPr>
                <w:rFonts w:ascii="Aptos" w:hAnsi="Aptos"/>
                <w:sz w:val="18"/>
              </w:rPr>
            </w:r>
            <w:r>
              <w:rPr>
                <w:rFonts w:ascii="Aptos" w:hAnsi="Aptos"/>
                <w:b w:val="0"/>
                <w:color w:val="283241"/>
                <w:sz w:val="18"/>
              </w:rPr>
              <w:t>A department or directorate nominated by the Government</w:t>
            </w:r>
          </w:p>
        </w:tc>
      </w:tr>
      <w:tr>
        <w:tc>
          <w:tcPr>
            <w:tcW w:type="dxa" w:w="4968"/>
            <w:shd w:fill="EAF1FA"/>
          </w:tcPr>
          <w:p>
            <w:pPr>
              <w:spacing w:after="0"/>
            </w:pPr>
            <w:r>
              <w:rPr>
                <w:rFonts w:ascii="Aptos" w:hAnsi="Aptos"/>
                <w:sz w:val="18"/>
              </w:rPr>
            </w:r>
            <w:r>
              <w:rPr>
                <w:rFonts w:ascii="Aptos" w:hAnsi="Aptos"/>
                <w:b/>
                <w:color w:val="0F2748"/>
                <w:sz w:val="18"/>
              </w:rPr>
              <w:t>Proposal status</w:t>
            </w:r>
          </w:p>
        </w:tc>
        <w:tc>
          <w:tcPr>
            <w:tcW w:type="dxa" w:w="4968"/>
          </w:tcPr>
          <w:p>
            <w:pPr>
              <w:spacing w:after="0"/>
            </w:pPr>
            <w:r>
              <w:rPr>
                <w:rFonts w:ascii="Aptos" w:hAnsi="Aptos"/>
                <w:sz w:val="18"/>
              </w:rPr>
            </w:r>
            <w:r>
              <w:rPr>
                <w:rFonts w:ascii="Aptos" w:hAnsi="Aptos"/>
                <w:b w:val="0"/>
                <w:color w:val="283241"/>
                <w:sz w:val="18"/>
              </w:rPr>
              <w:t>Concept proposal; scope, procurement route, budget and timelines to be agreed with the Government</w:t>
            </w:r>
          </w:p>
        </w:tc>
      </w:tr>
    </w:tbl>
    <w:p>
      <w:pPr>
        <w:pStyle w:val="Heading1"/>
      </w:pPr>
      <w:r>
        <w:t>1. Executive Summary</w:t>
      </w:r>
    </w:p>
    <w:p>
      <w:r>
        <w:t>GHS Inc respectfully submits this concept proposal for the Government of Tamil Nadu to consider a limited, measurable pilot for digital asset and inventory management. The proposed platform is intended to help an authorised department maintain a consistent register of selected physical assets, record custody and location, follow lifecycle events, and retrieve asset information through a searchable interface and reports.</w:t>
      </w:r>
    </w:p>
    <w:p>
      <w:r>
        <w:t>The recommendation is to begin with discovery and a controlled pilot—not a statewide rollout. The department would select one participating office or facility, define asset categories and business rules, validate security and integration needs, and assess the pilot against agreed acceptance criteria before deciding whether to expand.</w:t>
      </w:r>
    </w:p>
    <w:p>
      <w:pPr>
        <w:pStyle w:val="Heading1"/>
      </w:pPr>
      <w:r>
        <w:t>2. Government Use Case and Opportunity</w:t>
      </w:r>
    </w:p>
    <w:p>
      <w:pPr>
        <w:pStyle w:val="ListBullet"/>
      </w:pPr>
      <w:r>
        <w:t>Create a standard digital register for selected equipment, IT assets, furniture or other approved asset categories.</w:t>
      </w:r>
    </w:p>
    <w:p>
      <w:pPr>
        <w:pStyle w:val="ListBullet"/>
      </w:pPr>
      <w:r>
        <w:t>Record asset tag/identifier, description, category, make/model, serial number where applicable, location, custodian, status and key dates.</w:t>
      </w:r>
    </w:p>
    <w:p>
      <w:pPr>
        <w:pStyle w:val="ListBullet"/>
      </w:pPr>
      <w:r>
        <w:t>Track approved lifecycle activities such as receipt, assignment, transfer, return, maintenance and retirement, subject to departmental rules.</w:t>
      </w:r>
    </w:p>
    <w:p>
      <w:pPr>
        <w:pStyle w:val="ListBullet"/>
      </w:pPr>
      <w:r>
        <w:t>Improve asset discovery and reconciliation while reducing reliance on disconnected spreadsheets and manual registers.</w:t>
      </w:r>
    </w:p>
    <w:p>
      <w:pPr>
        <w:pStyle w:val="ListBullet"/>
      </w:pPr>
      <w:r>
        <w:t>Provide a foundation for audit-ready records and management reporting, subject to implementation of access controls, activity history and approval workflows.</w:t>
      </w:r>
    </w:p>
    <w:p>
      <w:pPr>
        <w:pStyle w:val="Heading1"/>
      </w:pPr>
      <w:r>
        <w:t>3. Proposed Solution</w:t>
      </w:r>
    </w:p>
    <w:p>
      <w:r>
        <w:t>GHS Inc proposes to configure and extend an asset-management application around the department’s approved workflows. The current starter solution uses Angular for the user interface, Spring Boot REST APIs for application services, MongoDB for asset records, Kafka for event-driven integration, and Elasticsearch for search. These are proposed implementation components, not a requirement for the Government; final architecture should follow the department’s approved standards and hosting policy.</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pPr>
              <w:spacing w:after="0"/>
            </w:pPr>
            <w:r/>
            <w:r>
              <w:rPr>
                <w:rFonts w:ascii="Aptos" w:hAnsi="Aptos"/>
                <w:b/>
                <w:color w:val="FFFFFF"/>
                <w:sz w:val="18"/>
              </w:rPr>
              <w:t>Capability</w:t>
            </w:r>
          </w:p>
        </w:tc>
        <w:tc>
          <w:tcPr>
            <w:tcW w:type="dxa" w:w="4968"/>
            <w:shd w:fill="17365D"/>
          </w:tcPr>
          <w:p>
            <w:pPr>
              <w:spacing w:after="0"/>
            </w:pPr>
            <w:r/>
            <w:r>
              <w:rPr>
                <w:rFonts w:ascii="Aptos" w:hAnsi="Aptos"/>
                <w:b/>
                <w:color w:val="FFFFFF"/>
                <w:sz w:val="18"/>
              </w:rPr>
              <w:t>Proposed scope</w:t>
            </w:r>
          </w:p>
        </w:tc>
      </w:tr>
      <w:tr>
        <w:tc>
          <w:tcPr>
            <w:tcW w:type="dxa" w:w="4968"/>
          </w:tcPr>
          <w:p>
            <w:pPr>
              <w:spacing w:after="0"/>
            </w:pPr>
            <w:r/>
            <w:r>
              <w:rPr>
                <w:rFonts w:ascii="Aptos" w:hAnsi="Aptos"/>
                <w:b/>
                <w:color w:val="0F2748"/>
                <w:sz w:val="18"/>
              </w:rPr>
              <w:t>Asset registry</w:t>
            </w:r>
          </w:p>
        </w:tc>
        <w:tc>
          <w:tcPr>
            <w:tcW w:type="dxa" w:w="4968"/>
          </w:tcPr>
          <w:p>
            <w:pPr>
              <w:spacing w:after="0"/>
            </w:pPr>
            <w:r/>
            <w:r>
              <w:rPr>
                <w:rFonts w:ascii="Aptos" w:hAnsi="Aptos"/>
                <w:b w:val="0"/>
                <w:color w:val="283241"/>
                <w:sz w:val="18"/>
              </w:rPr>
              <w:t>Unique asset identifiers, category, location, custodian, status and configurable metadata.</w:t>
            </w:r>
          </w:p>
        </w:tc>
      </w:tr>
      <w:tr>
        <w:tc>
          <w:tcPr>
            <w:tcW w:type="dxa" w:w="4968"/>
          </w:tcPr>
          <w:p>
            <w:pPr>
              <w:spacing w:after="0"/>
            </w:pPr>
            <w:r/>
            <w:r>
              <w:rPr>
                <w:rFonts w:ascii="Aptos" w:hAnsi="Aptos"/>
                <w:b/>
                <w:color w:val="0F2748"/>
                <w:sz w:val="18"/>
              </w:rPr>
              <w:t>Lifecycle management</w:t>
            </w:r>
          </w:p>
        </w:tc>
        <w:tc>
          <w:tcPr>
            <w:tcW w:type="dxa" w:w="4968"/>
          </w:tcPr>
          <w:p>
            <w:pPr>
              <w:spacing w:after="0"/>
            </w:pPr>
            <w:r/>
            <w:r>
              <w:rPr>
                <w:rFonts w:ascii="Aptos" w:hAnsi="Aptos"/>
                <w:b w:val="0"/>
                <w:color w:val="283241"/>
                <w:sz w:val="18"/>
              </w:rPr>
              <w:t>Controlled assignment, transfer, return, maintenance and retirement workflows.</w:t>
            </w:r>
          </w:p>
        </w:tc>
      </w:tr>
      <w:tr>
        <w:tc>
          <w:tcPr>
            <w:tcW w:type="dxa" w:w="4968"/>
          </w:tcPr>
          <w:p>
            <w:pPr>
              <w:spacing w:after="0"/>
            </w:pPr>
            <w:r/>
            <w:r>
              <w:rPr>
                <w:rFonts w:ascii="Aptos" w:hAnsi="Aptos"/>
                <w:b/>
                <w:color w:val="0F2748"/>
                <w:sz w:val="18"/>
              </w:rPr>
              <w:t>Search and reports</w:t>
            </w:r>
          </w:p>
        </w:tc>
        <w:tc>
          <w:tcPr>
            <w:tcW w:type="dxa" w:w="4968"/>
          </w:tcPr>
          <w:p>
            <w:pPr>
              <w:spacing w:after="0"/>
            </w:pPr>
            <w:r/>
            <w:r>
              <w:rPr>
                <w:rFonts w:ascii="Aptos" w:hAnsi="Aptos"/>
                <w:b w:val="0"/>
                <w:color w:val="283241"/>
                <w:sz w:val="18"/>
              </w:rPr>
              <w:t>Search by identifier and selected attributes; operational dashboards and reports as approved.</w:t>
            </w:r>
          </w:p>
        </w:tc>
      </w:tr>
      <w:tr>
        <w:tc>
          <w:tcPr>
            <w:tcW w:type="dxa" w:w="4968"/>
          </w:tcPr>
          <w:p>
            <w:pPr>
              <w:spacing w:after="0"/>
            </w:pPr>
            <w:r/>
            <w:r>
              <w:rPr>
                <w:rFonts w:ascii="Aptos" w:hAnsi="Aptos"/>
                <w:b/>
                <w:color w:val="0F2748"/>
                <w:sz w:val="18"/>
              </w:rPr>
              <w:t>User access</w:t>
            </w:r>
          </w:p>
        </w:tc>
        <w:tc>
          <w:tcPr>
            <w:tcW w:type="dxa" w:w="4968"/>
          </w:tcPr>
          <w:p>
            <w:pPr>
              <w:spacing w:after="0"/>
            </w:pPr>
            <w:r/>
            <w:r>
              <w:rPr>
                <w:rFonts w:ascii="Aptos" w:hAnsi="Aptos"/>
                <w:b w:val="0"/>
                <w:color w:val="283241"/>
                <w:sz w:val="18"/>
              </w:rPr>
              <w:t>Role-based access and least-privilege permissions; integration with Government identity services where approved.</w:t>
            </w:r>
          </w:p>
        </w:tc>
      </w:tr>
      <w:tr>
        <w:tc>
          <w:tcPr>
            <w:tcW w:type="dxa" w:w="4968"/>
          </w:tcPr>
          <w:p>
            <w:pPr>
              <w:spacing w:after="0"/>
            </w:pPr>
            <w:r/>
            <w:r>
              <w:rPr>
                <w:rFonts w:ascii="Aptos" w:hAnsi="Aptos"/>
                <w:b/>
                <w:color w:val="0F2748"/>
                <w:sz w:val="18"/>
              </w:rPr>
              <w:t>Audit and governance</w:t>
            </w:r>
          </w:p>
        </w:tc>
        <w:tc>
          <w:tcPr>
            <w:tcW w:type="dxa" w:w="4968"/>
          </w:tcPr>
          <w:p>
            <w:pPr>
              <w:spacing w:after="0"/>
            </w:pPr>
            <w:r/>
            <w:r>
              <w:rPr>
                <w:rFonts w:ascii="Aptos" w:hAnsi="Aptos"/>
                <w:b w:val="0"/>
                <w:color w:val="283241"/>
                <w:sz w:val="18"/>
              </w:rPr>
              <w:t>Timestamped activity history, approval trails where required, retention rules and audit exports.</w:t>
            </w:r>
          </w:p>
        </w:tc>
      </w:tr>
      <w:tr>
        <w:tc>
          <w:tcPr>
            <w:tcW w:type="dxa" w:w="4968"/>
          </w:tcPr>
          <w:p>
            <w:pPr>
              <w:spacing w:after="0"/>
            </w:pPr>
            <w:r/>
            <w:r>
              <w:rPr>
                <w:rFonts w:ascii="Aptos" w:hAnsi="Aptos"/>
                <w:b/>
                <w:color w:val="0F2748"/>
                <w:sz w:val="18"/>
              </w:rPr>
              <w:t>Integration readiness</w:t>
            </w:r>
          </w:p>
        </w:tc>
        <w:tc>
          <w:tcPr>
            <w:tcW w:type="dxa" w:w="4968"/>
          </w:tcPr>
          <w:p>
            <w:pPr>
              <w:spacing w:after="0"/>
            </w:pPr>
            <w:r/>
            <w:r>
              <w:rPr>
                <w:rFonts w:ascii="Aptos" w:hAnsi="Aptos"/>
                <w:b w:val="0"/>
                <w:color w:val="283241"/>
                <w:sz w:val="18"/>
              </w:rPr>
              <w:t>Documented APIs and event patterns for approved finance, procurement, HR or existing asset systems.</w:t>
            </w:r>
          </w:p>
        </w:tc>
      </w:tr>
    </w:tbl>
    <w:p>
      <w:pPr>
        <w:pStyle w:val="Heading1"/>
      </w:pPr>
      <w:r>
        <w:t>4. Suggested Pilot Scope</w:t>
      </w:r>
    </w:p>
    <w:p>
      <w:r>
        <w:t>A pilot should be deliberately bounded and selected jointly with the sponsoring department.</w:t>
      </w:r>
    </w:p>
    <w:p>
      <w:pPr>
        <w:pStyle w:val="ListBullet"/>
      </w:pPr>
      <w:r>
        <w:t>One department, directorate, office or facility nominated by the Government.</w:t>
      </w:r>
    </w:p>
    <w:p>
      <w:pPr>
        <w:pStyle w:val="ListBullet"/>
      </w:pPr>
      <w:r>
        <w:t>A small set of asset categories and a department-approved sample or initial inventory.</w:t>
      </w:r>
    </w:p>
    <w:p>
      <w:pPr>
        <w:pStyle w:val="ListBullet"/>
      </w:pPr>
      <w:r>
        <w:t>Named user roles, asset ownership rules, lifecycle statuses and approval responsibilities.</w:t>
      </w:r>
    </w:p>
    <w:p>
      <w:pPr>
        <w:pStyle w:val="ListBullet"/>
      </w:pPr>
      <w:r>
        <w:t>Data import template, validation, duplicate handling and reconciliation process.</w:t>
      </w:r>
    </w:p>
    <w:p>
      <w:pPr>
        <w:pStyle w:val="ListBullet"/>
      </w:pPr>
      <w:r>
        <w:t>Demonstration, user acceptance testing, training, feedback collection and a pilot evaluation report.</w:t>
      </w:r>
    </w:p>
    <w:p>
      <w:pPr>
        <w:pStyle w:val="Heading1"/>
      </w:pPr>
      <w:r>
        <w:t>5. Implementation Approach and Indicative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pPr>
              <w:spacing w:after="0"/>
            </w:pPr>
            <w:r/>
            <w:r>
              <w:rPr>
                <w:rFonts w:ascii="Aptos" w:hAnsi="Aptos"/>
                <w:b/>
                <w:color w:val="FFFFFF"/>
                <w:sz w:val="18"/>
              </w:rPr>
              <w:t>Phase</w:t>
            </w:r>
          </w:p>
        </w:tc>
        <w:tc>
          <w:tcPr>
            <w:tcW w:type="dxa" w:w="3312"/>
            <w:shd w:fill="17365D"/>
          </w:tcPr>
          <w:p>
            <w:pPr>
              <w:spacing w:after="0"/>
            </w:pPr>
            <w:r/>
            <w:r>
              <w:rPr>
                <w:rFonts w:ascii="Aptos" w:hAnsi="Aptos"/>
                <w:b/>
                <w:color w:val="FFFFFF"/>
                <w:sz w:val="18"/>
              </w:rPr>
              <w:t>Indicative duration</w:t>
            </w:r>
          </w:p>
        </w:tc>
        <w:tc>
          <w:tcPr>
            <w:tcW w:type="dxa" w:w="3312"/>
            <w:shd w:fill="17365D"/>
          </w:tcPr>
          <w:p>
            <w:pPr>
              <w:spacing w:after="0"/>
            </w:pPr>
            <w:r/>
            <w:r>
              <w:rPr>
                <w:rFonts w:ascii="Aptos" w:hAnsi="Aptos"/>
                <w:b/>
                <w:color w:val="FFFFFF"/>
                <w:sz w:val="18"/>
              </w:rPr>
              <w:t>Activities</w:t>
            </w:r>
          </w:p>
        </w:tc>
      </w:tr>
      <w:tr>
        <w:tc>
          <w:tcPr>
            <w:tcW w:type="dxa" w:w="3312"/>
          </w:tcPr>
          <w:p>
            <w:pPr>
              <w:spacing w:after="0"/>
            </w:pPr>
            <w:r/>
            <w:r>
              <w:rPr>
                <w:rFonts w:ascii="Aptos" w:hAnsi="Aptos"/>
                <w:b/>
                <w:color w:val="0F2748"/>
                <w:sz w:val="16"/>
              </w:rPr>
              <w:t>Phase 1 — Discovery and governance</w:t>
            </w:r>
          </w:p>
        </w:tc>
        <w:tc>
          <w:tcPr>
            <w:tcW w:type="dxa" w:w="3312"/>
          </w:tcPr>
          <w:p>
            <w:pPr>
              <w:spacing w:after="0"/>
            </w:pPr>
            <w:r/>
            <w:r>
              <w:rPr>
                <w:rFonts w:ascii="Aptos" w:hAnsi="Aptos"/>
                <w:b w:val="0"/>
                <w:color w:val="283241"/>
                <w:sz w:val="16"/>
              </w:rPr>
              <w:t>2 weeks</w:t>
            </w:r>
          </w:p>
        </w:tc>
        <w:tc>
          <w:tcPr>
            <w:tcW w:type="dxa" w:w="3312"/>
          </w:tcPr>
          <w:p>
            <w:pPr>
              <w:spacing w:after="0"/>
            </w:pPr>
            <w:r/>
            <w:r>
              <w:rPr>
                <w:rFonts w:ascii="Aptos" w:hAnsi="Aptos"/>
                <w:b w:val="0"/>
                <w:color w:val="283241"/>
                <w:sz w:val="16"/>
              </w:rPr>
              <w:t>Confirm sponsor, use cases, data classification, hosting constraints and acceptance criteria.</w:t>
            </w:r>
          </w:p>
        </w:tc>
      </w:tr>
      <w:tr>
        <w:tc>
          <w:tcPr>
            <w:tcW w:type="dxa" w:w="3312"/>
          </w:tcPr>
          <w:p>
            <w:pPr>
              <w:spacing w:after="0"/>
            </w:pPr>
            <w:r/>
            <w:r>
              <w:rPr>
                <w:rFonts w:ascii="Aptos" w:hAnsi="Aptos"/>
                <w:b/>
                <w:color w:val="0F2748"/>
                <w:sz w:val="16"/>
              </w:rPr>
              <w:t>Phase 2 — Configuration and build</w:t>
            </w:r>
          </w:p>
        </w:tc>
        <w:tc>
          <w:tcPr>
            <w:tcW w:type="dxa" w:w="3312"/>
          </w:tcPr>
          <w:p>
            <w:pPr>
              <w:spacing w:after="0"/>
            </w:pPr>
            <w:r/>
            <w:r>
              <w:rPr>
                <w:rFonts w:ascii="Aptos" w:hAnsi="Aptos"/>
                <w:b w:val="0"/>
                <w:color w:val="283241"/>
                <w:sz w:val="16"/>
              </w:rPr>
              <w:t>4–6 weeks</w:t>
            </w:r>
          </w:p>
        </w:tc>
        <w:tc>
          <w:tcPr>
            <w:tcW w:type="dxa" w:w="3312"/>
          </w:tcPr>
          <w:p>
            <w:pPr>
              <w:spacing w:after="0"/>
            </w:pPr>
            <w:r/>
            <w:r>
              <w:rPr>
                <w:rFonts w:ascii="Aptos" w:hAnsi="Aptos"/>
                <w:b w:val="0"/>
                <w:color w:val="283241"/>
                <w:sz w:val="16"/>
              </w:rPr>
              <w:t>Configure workflows, roles, forms, search, reports, import templates and agreed integrations.</w:t>
            </w:r>
          </w:p>
        </w:tc>
      </w:tr>
      <w:tr>
        <w:tc>
          <w:tcPr>
            <w:tcW w:type="dxa" w:w="3312"/>
          </w:tcPr>
          <w:p>
            <w:pPr>
              <w:spacing w:after="0"/>
            </w:pPr>
            <w:r/>
            <w:r>
              <w:rPr>
                <w:rFonts w:ascii="Aptos" w:hAnsi="Aptos"/>
                <w:b/>
                <w:color w:val="0F2748"/>
                <w:sz w:val="16"/>
              </w:rPr>
              <w:t>Phase 3 — Validation and training</w:t>
            </w:r>
          </w:p>
        </w:tc>
        <w:tc>
          <w:tcPr>
            <w:tcW w:type="dxa" w:w="3312"/>
          </w:tcPr>
          <w:p>
            <w:pPr>
              <w:spacing w:after="0"/>
            </w:pPr>
            <w:r/>
            <w:r>
              <w:rPr>
                <w:rFonts w:ascii="Aptos" w:hAnsi="Aptos"/>
                <w:b w:val="0"/>
                <w:color w:val="283241"/>
                <w:sz w:val="16"/>
              </w:rPr>
              <w:t>2 weeks</w:t>
            </w:r>
          </w:p>
        </w:tc>
        <w:tc>
          <w:tcPr>
            <w:tcW w:type="dxa" w:w="3312"/>
          </w:tcPr>
          <w:p>
            <w:pPr>
              <w:spacing w:after="0"/>
            </w:pPr>
            <w:r/>
            <w:r>
              <w:rPr>
                <w:rFonts w:ascii="Aptos" w:hAnsi="Aptos"/>
                <w:b w:val="0"/>
                <w:color w:val="283241"/>
                <w:sz w:val="16"/>
              </w:rPr>
              <w:t>Security review, functional/integration tests, user acceptance testing and training.</w:t>
            </w:r>
          </w:p>
        </w:tc>
      </w:tr>
      <w:tr>
        <w:tc>
          <w:tcPr>
            <w:tcW w:type="dxa" w:w="3312"/>
          </w:tcPr>
          <w:p>
            <w:pPr>
              <w:spacing w:after="0"/>
            </w:pPr>
            <w:r/>
            <w:r>
              <w:rPr>
                <w:rFonts w:ascii="Aptos" w:hAnsi="Aptos"/>
                <w:b/>
                <w:color w:val="0F2748"/>
                <w:sz w:val="16"/>
              </w:rPr>
              <w:t>Phase 4 — Controlled pilot</w:t>
            </w:r>
          </w:p>
        </w:tc>
        <w:tc>
          <w:tcPr>
            <w:tcW w:type="dxa" w:w="3312"/>
          </w:tcPr>
          <w:p>
            <w:pPr>
              <w:spacing w:after="0"/>
            </w:pPr>
            <w:r/>
            <w:r>
              <w:rPr>
                <w:rFonts w:ascii="Aptos" w:hAnsi="Aptos"/>
                <w:b w:val="0"/>
                <w:color w:val="283241"/>
                <w:sz w:val="16"/>
              </w:rPr>
              <w:t>4 weeks</w:t>
            </w:r>
          </w:p>
        </w:tc>
        <w:tc>
          <w:tcPr>
            <w:tcW w:type="dxa" w:w="3312"/>
          </w:tcPr>
          <w:p>
            <w:pPr>
              <w:spacing w:after="0"/>
            </w:pPr>
            <w:r/>
            <w:r>
              <w:rPr>
                <w:rFonts w:ascii="Aptos" w:hAnsi="Aptos"/>
                <w:b w:val="0"/>
                <w:color w:val="283241"/>
                <w:sz w:val="16"/>
              </w:rPr>
              <w:t>Operate with nominated users, monitor agreed metrics and gather feedback.</w:t>
            </w:r>
          </w:p>
        </w:tc>
      </w:tr>
      <w:tr>
        <w:tc>
          <w:tcPr>
            <w:tcW w:type="dxa" w:w="3312"/>
          </w:tcPr>
          <w:p>
            <w:pPr>
              <w:spacing w:after="0"/>
            </w:pPr>
            <w:r/>
            <w:r>
              <w:rPr>
                <w:rFonts w:ascii="Aptos" w:hAnsi="Aptos"/>
                <w:b/>
                <w:color w:val="0F2748"/>
                <w:sz w:val="16"/>
              </w:rPr>
              <w:t>Phase 5 — Evaluation and decision</w:t>
            </w:r>
          </w:p>
        </w:tc>
        <w:tc>
          <w:tcPr>
            <w:tcW w:type="dxa" w:w="3312"/>
          </w:tcPr>
          <w:p>
            <w:pPr>
              <w:spacing w:after="0"/>
            </w:pPr>
            <w:r/>
            <w:r>
              <w:rPr>
                <w:rFonts w:ascii="Aptos" w:hAnsi="Aptos"/>
                <w:b w:val="0"/>
                <w:color w:val="283241"/>
                <w:sz w:val="16"/>
              </w:rPr>
              <w:t>1 week</w:t>
            </w:r>
          </w:p>
        </w:tc>
        <w:tc>
          <w:tcPr>
            <w:tcW w:type="dxa" w:w="3312"/>
          </w:tcPr>
          <w:p>
            <w:pPr>
              <w:spacing w:after="0"/>
            </w:pPr>
            <w:r/>
            <w:r>
              <w:rPr>
                <w:rFonts w:ascii="Aptos" w:hAnsi="Aptos"/>
                <w:b w:val="0"/>
                <w:color w:val="283241"/>
                <w:sz w:val="16"/>
              </w:rPr>
              <w:t>Present outcomes, risks, costs and options for improvement or expansion.</w:t>
            </w:r>
          </w:p>
        </w:tc>
      </w:tr>
    </w:tbl>
    <w:p>
      <w:r>
        <w:t>Indicative duration: approximately 13–15 weeks after approvals, access, data and stakeholder availability. Actual timing depends on procurement, security assessment, integrations and scope.</w:t>
      </w:r>
    </w:p>
    <w:p>
      <w:pPr>
        <w:pStyle w:val="Heading1"/>
      </w:pPr>
      <w:r>
        <w:t>6. Security, Privacy and Government Readiness</w:t>
      </w:r>
    </w:p>
    <w:p>
      <w:r>
        <w:t>No production deployment or sensitive-data onboarding should occur until the sponsoring department’s reviews and approvals are complete. The pilot plan should address:</w:t>
      </w:r>
    </w:p>
    <w:p>
      <w:pPr>
        <w:pStyle w:val="ListBullet"/>
      </w:pPr>
      <w:r>
        <w:t>Government-approved hosting, data residency, network segmentation and access requirements.</w:t>
      </w:r>
    </w:p>
    <w:p>
      <w:pPr>
        <w:pStyle w:val="ListBullet"/>
      </w:pPr>
      <w:r>
        <w:t>Authentication, role-based authorisation, privileged access, secure secrets handling and encryption in transit and at rest.</w:t>
      </w:r>
    </w:p>
    <w:p>
      <w:pPr>
        <w:pStyle w:val="ListBullet"/>
      </w:pPr>
      <w:r>
        <w:t>Audit logs, retention/deletion policy, backup and restoration tests, incident response and disaster recovery expectations.</w:t>
      </w:r>
    </w:p>
    <w:p>
      <w:pPr>
        <w:pStyle w:val="ListBullet"/>
      </w:pPr>
      <w:r>
        <w:t>Secure development, dependency/vulnerability scanning, penetration testing where required, monitoring and patch management.</w:t>
      </w:r>
    </w:p>
    <w:p>
      <w:pPr>
        <w:pStyle w:val="ListBullet"/>
      </w:pPr>
      <w:r>
        <w:t>Data ownership, permitted use, confidentiality, portability, and deletion or handover at engagement end.</w:t>
      </w:r>
    </w:p>
    <w:p>
      <w:pPr>
        <w:pStyle w:val="ListBullet"/>
      </w:pPr>
      <w:r>
        <w:t>Applicable Government of Tamil Nadu policies, procurement rules, IT/security directions and Indian law, as confirmed by the department.</w:t>
      </w:r>
    </w:p>
    <w:p>
      <w:pPr>
        <w:pStyle w:val="Heading1"/>
      </w:pPr>
      <w:r>
        <w:t>7. Expected Outcomes and Measurement</w:t>
      </w:r>
    </w:p>
    <w:p>
      <w:r>
        <w:t>The pilot should establish a baseline and measure outcomes rather than promise unverified savings. Suggested indicators:</w:t>
      </w:r>
    </w:p>
    <w:p>
      <w:pPr>
        <w:pStyle w:val="ListBullet"/>
      </w:pPr>
      <w:r>
        <w:t>Percentage of in-scope assets registered with required fields complete.</w:t>
      </w:r>
    </w:p>
    <w:p>
      <w:pPr>
        <w:pStyle w:val="ListBullet"/>
      </w:pPr>
      <w:r>
        <w:t>Time required to locate an asset record before and during the pilot.</w:t>
      </w:r>
    </w:p>
    <w:p>
      <w:pPr>
        <w:pStyle w:val="ListBullet"/>
      </w:pPr>
      <w:r>
        <w:t>Number and percentage of duplicate, missing or mismatched records identified and resolved.</w:t>
      </w:r>
    </w:p>
    <w:p>
      <w:pPr>
        <w:pStyle w:val="ListBullet"/>
      </w:pPr>
      <w:r>
        <w:t>Percentage of assignment, transfer and return actions recorded through the agreed workflow.</w:t>
      </w:r>
    </w:p>
    <w:p>
      <w:pPr>
        <w:pStyle w:val="ListBullet"/>
      </w:pPr>
      <w:r>
        <w:t>User adoption, training completion, defects, availability and support response times.</w:t>
      </w:r>
    </w:p>
    <w:p>
      <w:pPr>
        <w:pStyle w:val="ListBullet"/>
      </w:pPr>
      <w:r>
        <w:t>Quality and timeliness of reports required by the sponsoring department.</w:t>
      </w:r>
    </w:p>
    <w:p>
      <w:pPr>
        <w:pStyle w:val="Heading1"/>
      </w:pPr>
      <w:r>
        <w:t>8. Commercial and Procurement Model</w:t>
      </w:r>
    </w:p>
    <w:p>
      <w:r>
        <w:t>No fixed price is stated because asset volume, integrations, hosting model, security controls, support hours and procurement route have not been confirmed. Following discovery, GHS Inc can submit a detailed statement of work with itemised implementation, hosting, licensing (if any), support, training, taxes, milestones and acceptance criteria.</w:t>
      </w:r>
    </w:p>
    <w:p>
      <w:r>
        <w:t>Any engagement would be subject to the Government’s applicable procurement process, eligibility requirements, financial approvals, contract review and competitive process where required. This proposal does not seek to bypass procurement rules and does not imply Government endorsement, approval or an existing contract.</w:t>
      </w:r>
    </w:p>
    <w:p>
      <w:pPr>
        <w:pStyle w:val="Heading1"/>
      </w:pPr>
      <w:r>
        <w:t>9. Support Requested from the Government</w:t>
      </w:r>
    </w:p>
    <w:p>
      <w:pPr>
        <w:pStyle w:val="ListNumber"/>
      </w:pPr>
      <w:r>
        <w:t>Nominate the appropriate department, nodal officer and technical/administrative stakeholders for an initial discussion.</w:t>
      </w:r>
    </w:p>
    <w:p>
      <w:pPr>
        <w:pStyle w:val="ListNumber"/>
      </w:pPr>
      <w:r>
        <w:t>Permit a discovery workshop to understand current asset processes and priority pain points.</w:t>
      </w:r>
    </w:p>
    <w:p>
      <w:pPr>
        <w:pStyle w:val="ListNumber"/>
      </w:pPr>
      <w:r>
        <w:t>Identify a suitable pilot office, approved asset categories and non-sensitive sample data.</w:t>
      </w:r>
    </w:p>
    <w:p>
      <w:pPr>
        <w:pStyle w:val="ListNumber"/>
      </w:pPr>
      <w:r>
        <w:t>Share applicable architecture, security, hosting, integration and procurement requirements.</w:t>
      </w:r>
    </w:p>
    <w:p>
      <w:pPr>
        <w:pStyle w:val="ListNumber"/>
      </w:pPr>
      <w:r>
        <w:t>Agree measurable pilot acceptance criteria and the process for evaluating any next phase.</w:t>
      </w:r>
    </w:p>
    <w:p>
      <w:pPr>
        <w:pStyle w:val="Heading1"/>
      </w:pPr>
      <w:r>
        <w:t>10. Conclusion</w:t>
      </w:r>
    </w:p>
    <w:p>
      <w:r>
        <w:t>GHS Inc would welcome the opportunity to demonstrate the current starter application and discuss how it could be adapted to the Government’s requirements. A small, governed pilot would allow the department to evaluate usability, data quality, workflow fit, security and operational value before deciding on broader deployment.</w:t>
      </w:r>
    </w:p>
    <w:p>
      <w:r>
        <w:rPr>
          <w:b/>
        </w:rPr>
        <w:t>Respectfully submitted,</w:t>
      </w:r>
    </w:p>
    <w:p>
      <w:r>
        <w:t>For GHS Inc</w:t>
      </w:r>
    </w:p>
    <w:p>
      <w:r>
        <w:t>Authorised Representative: __________________________________</w:t>
      </w:r>
    </w:p>
    <w:p>
      <w:r>
        <w:t>Designation: ______________________________________________</w:t>
      </w:r>
    </w:p>
    <w:p>
      <w:r>
        <w:t>Email / Phone: ____________________________________________</w:t>
      </w:r>
    </w:p>
    <w:p>
      <w:r>
        <w:t>Registered office / company details: _________________________</w:t>
      </w:r>
    </w:p>
    <w:p>
      <w:pPr>
        <w:pStyle w:val="Heading1"/>
      </w:pPr>
      <w:r>
        <w:t>Annexure A — Items to Confirm Before Formal Submission</w:t>
      </w:r>
    </w:p>
    <w:p>
      <w:pPr>
        <w:pStyle w:val="ListBullet"/>
      </w:pPr>
      <w:r>
        <w:t>Exact recipient: Minister, Principal Secretary, Commissioner/Director, or IT/e-Governance authority.</w:t>
      </w:r>
    </w:p>
    <w:p>
      <w:pPr>
        <w:pStyle w:val="ListBullet"/>
      </w:pPr>
      <w:r>
        <w:t>GHS Inc legal entity details, registration number, registered address and authorised signatory.</w:t>
      </w:r>
    </w:p>
    <w:p>
      <w:pPr>
        <w:pStyle w:val="ListBullet"/>
      </w:pPr>
      <w:r>
        <w:t>Vendor registration, empanelment, tender or eligibility requirements that may apply.</w:t>
      </w:r>
    </w:p>
    <w:p>
      <w:pPr>
        <w:pStyle w:val="ListBullet"/>
      </w:pPr>
      <w:r>
        <w:t>Department-specific use case, pilot location, asset volume and integrations.</w:t>
      </w:r>
    </w:p>
    <w:p>
      <w:pPr>
        <w:pStyle w:val="ListBullet"/>
      </w:pPr>
      <w:r>
        <w:t>Detailed budget, taxes, service levels, intellectual property terms, support period and project governance.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GHS Inc | Concept proposal for official review; subject to Government processes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0647D"/>
        <w:sz w:val="16"/>
      </w:rPr>
      <w:t>GHS INC  |  SOFTWARE CONSULTING &amp; DIGITAL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27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6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274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