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SOFTWARE DEVELOPMENT AGREEMENT</w:t>
      </w:r>
    </w:p>
    <w:p>
      <w:pPr>
        <w:spacing w:after="320"/>
        <w:jc w:val="center"/>
      </w:pPr>
      <w:r>
        <w:rPr>
          <w:b/>
          <w:bCs/>
          <w:sz w:val="24"/>
          <w:szCs w:val="24"/>
        </w:rPr>
        <w:t xml:space="preserve">Hardware Shop CRM Application</w:t>
      </w:r>
    </w:p>
    <w:p>
      <w:pPr>
        <w:spacing w:after="120"/>
      </w:pPr>
      <w:r>
        <w:t xml:space="preserve">This Agreement (the “Agreement”) is made and entered into on the date of signing (the “Effective Date”) by and between:</w:t>
      </w:r>
    </w:p>
    <w:p>
      <w:pPr>
        <w:spacing w:after="120"/>
      </w:pPr>
      <w:r>
        <w:t xml:space="preserve">Gamma Developers (hereinafter referred to as the “Developer”), and</w:t>
      </w:r>
    </w:p>
    <w:p>
      <w:pPr>
        <w:spacing w:after="120"/>
      </w:pPr>
      <w:r>
        <w:t xml:space="preserve">The Client (hereinafter referred to as the “Client”).</w:t>
      </w:r>
    </w:p>
    <w:p>
      <w:pPr>
        <w:spacing w:after="120"/>
      </w:pPr>
      <w:r>
        <w:t xml:space="preserve">The Developer and the Client are collectively referred to as the “Parties.”</w:t>
      </w:r>
    </w:p>
    <w:p>
      <w:r>
        <w:t xml:space="preserve"/>
      </w:r>
    </w:p>
    <w:p>
      <w:pPr>
        <w:pStyle w:val="Heading1"/>
      </w:pPr>
      <w:r>
        <w:t xml:space="preserve">1. PROJECT OVERVIEW</w:t>
      </w:r>
    </w:p>
    <w:p>
      <w:pPr>
        <w:spacing w:after="120"/>
      </w:pPr>
      <w:r>
        <w:t xml:space="preserve">The Developer agrees to design, develop, and deploy a web-based Customer Relationship Management (CRM) application for the Client’s hardware shop business (the “Application”), in accordance with the scope of work defined in Section 2 of this Agreement.</w:t>
      </w:r>
    </w:p>
    <w:p>
      <w:pPr>
        <w:spacing w:after="120"/>
      </w:pPr>
      <w:r>
        <w:t xml:space="preserve">The Application shall support both English and Urdu (Nastaliq script) languages across its entire user interface, as further detailed in Module 7.</w:t>
      </w:r>
    </w:p>
    <w:p>
      <w:pPr>
        <w:pStyle w:val="Heading1"/>
      </w:pPr>
      <w:r>
        <w:t xml:space="preserve">2. SCOPE OF WORK</w:t>
      </w:r>
    </w:p>
    <w:p>
      <w:pPr>
        <w:spacing w:after="120"/>
      </w:pPr>
      <w:r>
        <w:t xml:space="preserve">The Application shall consist of the following seven (7) modules:</w:t>
      </w:r>
    </w:p>
    <w:p>
      <w:pPr>
        <w:pStyle w:val="Heading2"/>
      </w:pPr>
      <w:r>
        <w:t xml:space="preserve">Module 1 — Authentication &amp; Role-Based Access Control (RBAC)</w:t>
      </w:r>
    </w:p>
    <w:p>
      <w:pPr>
        <w:pStyle w:val="ListParagraph"/>
        <w:numPr>
          <w:ilvl w:val="0"/>
          <w:numId w:val="2"/>
        </w:numPr>
        <w:spacing w:after="80"/>
      </w:pPr>
      <w:r>
        <w:t xml:space="preserve">A unified login page for all users of the Application, with secure session management.</w:t>
      </w:r>
    </w:p>
    <w:p>
      <w:pPr>
        <w:pStyle w:val="ListParagraph"/>
        <w:numPr>
          <w:ilvl w:val="0"/>
          <w:numId w:val="2"/>
        </w:numPr>
        <w:spacing w:after="80"/>
      </w:pPr>
      <w:r>
        <w:t xml:space="preserve">Multi-user system with full role-based access control, including the following predefined roles: Super Admin (full unrestricted access), Admin (configurable administrative access), and Cashier/Staff (limited operational access). Additional custom roles may be defined within this structure as agreed during project kickoff.</w:t>
      </w:r>
    </w:p>
    <w:p>
      <w:pPr>
        <w:pStyle w:val="ListParagraph"/>
        <w:numPr>
          <w:ilvl w:val="0"/>
          <w:numId w:val="2"/>
        </w:numPr>
        <w:spacing w:after="80"/>
      </w:pPr>
      <w:r>
        <w:t xml:space="preserve">User management interface allowing the Super Admin (or any role granted the relevant permission) to create, edit, deactivate, and delete users, and to assign roles.</w:t>
      </w:r>
    </w:p>
    <w:p>
      <w:pPr>
        <w:pStyle w:val="ListParagraph"/>
        <w:numPr>
          <w:ilvl w:val="0"/>
          <w:numId w:val="2"/>
        </w:numPr>
        <w:spacing w:after="80"/>
      </w:pPr>
      <w:r>
        <w:t xml:space="preserve">Permission matrix providing per-module read, write, and delete control per role, configurable from within the Application.</w:t>
      </w:r>
    </w:p>
    <w:p>
      <w:pPr>
        <w:pStyle w:val="ListParagraph"/>
        <w:numPr>
          <w:ilvl w:val="0"/>
          <w:numId w:val="2"/>
        </w:numPr>
        <w:spacing w:after="80"/>
      </w:pPr>
      <w:r>
        <w:t xml:space="preserve">Password change functionality for any logged-in user; password reset by an admin is supported.</w:t>
      </w:r>
    </w:p>
    <w:p>
      <w:pPr>
        <w:pStyle w:val="ListParagraph"/>
        <w:numPr>
          <w:ilvl w:val="0"/>
          <w:numId w:val="2"/>
        </w:numPr>
        <w:spacing w:after="80"/>
      </w:pPr>
      <w:r>
        <w:t xml:space="preserve">Initial Super Admin credentials shall be set by the Developer and securely handed over to the Client upon final delivery.</w:t>
      </w:r>
    </w:p>
    <w:p>
      <w:pPr>
        <w:pStyle w:val="ListParagraph"/>
        <w:numPr>
          <w:ilvl w:val="0"/>
          <w:numId w:val="2"/>
        </w:numPr>
        <w:spacing w:after="80"/>
      </w:pPr>
      <w:r>
        <w:t xml:space="preserve">No public self-registration is included within the scope of this Agreement; all users are provisioned by an admin within the Application.</w:t>
      </w:r>
    </w:p>
    <w:p>
      <w:pPr>
        <w:pStyle w:val="Heading2"/>
      </w:pPr>
      <w:r>
        <w:t xml:space="preserve">Module 2 — Catalog &amp; Pricing Management</w:t>
      </w:r>
    </w:p>
    <w:p>
      <w:pPr>
        <w:pStyle w:val="ListParagraph"/>
        <w:numPr>
          <w:ilvl w:val="0"/>
          <w:numId w:val="2"/>
        </w:numPr>
        <w:spacing w:after="80"/>
      </w:pPr>
      <w:r>
        <w:t xml:space="preserve">Category management with create, read, update, and delete (CRUD) functionality.</w:t>
      </w:r>
    </w:p>
    <w:p>
      <w:pPr>
        <w:pStyle w:val="ListParagraph"/>
        <w:numPr>
          <w:ilvl w:val="0"/>
          <w:numId w:val="2"/>
        </w:numPr>
        <w:spacing w:after="80"/>
      </w:pPr>
      <w:r>
        <w:t xml:space="preserve">Item management with full CRUD, system-generated unique SKUs, unit of measurement per item, and product image upload.</w:t>
      </w:r>
    </w:p>
    <w:p>
      <w:pPr>
        <w:pStyle w:val="ListParagraph"/>
        <w:numPr>
          <w:ilvl w:val="0"/>
          <w:numId w:val="2"/>
        </w:numPr>
        <w:spacing w:after="80"/>
      </w:pPr>
      <w:r>
        <w:t xml:space="preserve">Buying-rate management per item, with edit and delete supported; price history shall not be maintained (edits overwrite previous values).</w:t>
      </w:r>
    </w:p>
    <w:p>
      <w:pPr>
        <w:pStyle w:val="ListParagraph"/>
        <w:numPr>
          <w:ilvl w:val="0"/>
          <w:numId w:val="2"/>
        </w:numPr>
        <w:spacing w:after="80"/>
      </w:pPr>
      <w:r>
        <w:t xml:space="preserve">Deep dynamic real-time search across items and categories.</w:t>
      </w:r>
    </w:p>
    <w:p>
      <w:pPr>
        <w:pStyle w:val="ListParagraph"/>
        <w:numPr>
          <w:ilvl w:val="0"/>
          <w:numId w:val="2"/>
        </w:numPr>
        <w:spacing w:after="80"/>
      </w:pPr>
      <w:r>
        <w:t xml:space="preserve">Customer-facing inventory tracking is handled at the warehouse level in Module 5; item-level stock is not maintained within this module.</w:t>
      </w:r>
    </w:p>
    <w:p>
      <w:pPr>
        <w:pStyle w:val="Heading2"/>
      </w:pPr>
      <w:r>
        <w:t xml:space="preserve">Module 3 — Customers, Orders &amp; Receipts</w:t>
      </w:r>
    </w:p>
    <w:p>
      <w:pPr>
        <w:pStyle w:val="ListParagraph"/>
        <w:numPr>
          <w:ilvl w:val="0"/>
          <w:numId w:val="2"/>
        </w:numPr>
        <w:spacing w:after="80"/>
      </w:pPr>
      <w:r>
        <w:t xml:space="preserve">Customer management (add, edit, delete) with basic fields, and customer search functionality.</w:t>
      </w:r>
    </w:p>
    <w:p>
      <w:pPr>
        <w:pStyle w:val="ListParagraph"/>
        <w:numPr>
          <w:ilvl w:val="0"/>
          <w:numId w:val="2"/>
        </w:numPr>
        <w:spacing w:after="80"/>
      </w:pPr>
      <w:r>
        <w:t xml:space="preserve">A dedicated customer profile view displaying the customer’s complete past order history.</w:t>
      </w:r>
    </w:p>
    <w:p>
      <w:pPr>
        <w:pStyle w:val="ListParagraph"/>
        <w:numPr>
          <w:ilvl w:val="0"/>
          <w:numId w:val="2"/>
        </w:numPr>
        <w:spacing w:after="80"/>
      </w:pPr>
      <w:r>
        <w:t xml:space="preserve">Order creation form utilizing the deep dynamic item search from Module 2, supporting per-line quantity and unit.</w:t>
      </w:r>
    </w:p>
    <w:p>
      <w:pPr>
        <w:pStyle w:val="ListParagraph"/>
        <w:numPr>
          <w:ilvl w:val="0"/>
          <w:numId w:val="2"/>
        </w:numPr>
        <w:spacing w:after="80"/>
      </w:pPr>
      <w:r>
        <w:t xml:space="preserve">For each item added to an order, the system shall display the most recent selling price previously charged to that specific customer for that specific item (if any), along with the current buying rate, and shall calculate a real-time profit or loss indicator as the new price is entered.</w:t>
      </w:r>
    </w:p>
    <w:p>
      <w:pPr>
        <w:pStyle w:val="ListParagraph"/>
        <w:numPr>
          <w:ilvl w:val="0"/>
          <w:numId w:val="2"/>
        </w:numPr>
        <w:spacing w:after="80"/>
      </w:pPr>
      <w:r>
        <w:t xml:space="preserve">PDF invoice generation for each order.</w:t>
      </w:r>
    </w:p>
    <w:p>
      <w:pPr>
        <w:pStyle w:val="ListParagraph"/>
        <w:numPr>
          <w:ilvl w:val="0"/>
          <w:numId w:val="2"/>
        </w:numPr>
        <w:spacing w:after="80"/>
      </w:pPr>
      <w:r>
        <w:t xml:space="preserve">Standalone receipt creation: the ability to generate a receipt independently of an order (for example, for quick walk-in cash sales, miscellaneous payments, or partial payments), with line items, totals, and optional customer attachment.</w:t>
      </w:r>
    </w:p>
    <w:p>
      <w:pPr>
        <w:pStyle w:val="ListParagraph"/>
        <w:numPr>
          <w:ilvl w:val="0"/>
          <w:numId w:val="2"/>
        </w:numPr>
        <w:spacing w:after="80"/>
      </w:pPr>
      <w:r>
        <w:t xml:space="preserve">Print-friendly receipt and invoice layouts, with browser-based printing supported on standard A4/Letter printers. Support for a specific thermal/POS printer model, if required, shall be confirmed during project kickoff; the standard scope assumes browser print to a regular printer.</w:t>
      </w:r>
    </w:p>
    <w:p>
      <w:pPr>
        <w:pStyle w:val="ListParagraph"/>
        <w:numPr>
          <w:ilvl w:val="0"/>
          <w:numId w:val="2"/>
        </w:numPr>
        <w:spacing w:after="80"/>
      </w:pPr>
      <w:r>
        <w:t xml:space="preserve">Receipt search, view, and reprint capability.</w:t>
      </w:r>
    </w:p>
    <w:p>
      <w:pPr>
        <w:pStyle w:val="ListParagraph"/>
        <w:numPr>
          <w:ilvl w:val="0"/>
          <w:numId w:val="2"/>
        </w:numPr>
        <w:spacing w:after="80"/>
      </w:pPr>
      <w:r>
        <w:t xml:space="preserve">Order lifecycle supporting Draft, Edit, and Delete, and the ability to push an order into a Khata (Module 4).</w:t>
      </w:r>
    </w:p>
    <w:p>
      <w:pPr>
        <w:pStyle w:val="Heading2"/>
      </w:pPr>
      <w:r>
        <w:t xml:space="preserve">Module 4 — Khata (Credit &amp; Reminders)</w:t>
      </w:r>
    </w:p>
    <w:p>
      <w:pPr>
        <w:pStyle w:val="ListParagraph"/>
        <w:numPr>
          <w:ilvl w:val="0"/>
          <w:numId w:val="2"/>
        </w:numPr>
        <w:spacing w:after="80"/>
      </w:pPr>
      <w:r>
        <w:t xml:space="preserve">Creation of Khatas for customers, either as a simple entry with description and amount field, or as a linked order pushed from Module 3.</w:t>
      </w:r>
    </w:p>
    <w:p>
      <w:pPr>
        <w:pStyle w:val="ListParagraph"/>
        <w:numPr>
          <w:ilvl w:val="0"/>
          <w:numId w:val="2"/>
        </w:numPr>
        <w:spacing w:after="80"/>
      </w:pPr>
      <w:r>
        <w:t xml:space="preserve">Each Khata has an associated date.</w:t>
      </w:r>
    </w:p>
    <w:p>
      <w:pPr>
        <w:pStyle w:val="ListParagraph"/>
        <w:numPr>
          <w:ilvl w:val="0"/>
          <w:numId w:val="2"/>
        </w:numPr>
        <w:spacing w:after="80"/>
      </w:pPr>
      <w:r>
        <w:t xml:space="preserve">Khata statuses: Draft, Scheduled (date in the future, not yet due), Pending (date passed, not fulfilled — i.e., overdue), and Fulfilled (manually marked by the admin).</w:t>
      </w:r>
    </w:p>
    <w:p>
      <w:pPr>
        <w:pStyle w:val="ListParagraph"/>
        <w:numPr>
          <w:ilvl w:val="0"/>
          <w:numId w:val="2"/>
        </w:numPr>
        <w:spacing w:after="80"/>
      </w:pPr>
      <w:r>
        <w:t xml:space="preserve">Edit and delete actions supported.</w:t>
      </w:r>
    </w:p>
    <w:p>
      <w:pPr>
        <w:pStyle w:val="ListParagraph"/>
        <w:numPr>
          <w:ilvl w:val="0"/>
          <w:numId w:val="2"/>
        </w:numPr>
        <w:spacing w:after="80"/>
      </w:pPr>
      <w:r>
        <w:t xml:space="preserve">Dashboard displaying today’s Khatas and overdue Khatas.</w:t>
      </w:r>
    </w:p>
    <w:p>
      <w:pPr>
        <w:pStyle w:val="Heading2"/>
      </w:pPr>
      <w:r>
        <w:t xml:space="preserve">Module 5 — Warehouse Inventory Management (New)</w:t>
      </w:r>
    </w:p>
    <w:p>
      <w:pPr>
        <w:pStyle w:val="ListParagraph"/>
        <w:numPr>
          <w:ilvl w:val="0"/>
          <w:numId w:val="2"/>
        </w:numPr>
        <w:spacing w:after="80"/>
      </w:pPr>
      <w:r>
        <w:t xml:space="preserve">Warehouse-level quantity tracking for each item in the catalog. Quantities are maintained at the warehouse (shop) level only and are not tracked per customer.</w:t>
      </w:r>
    </w:p>
    <w:p>
      <w:pPr>
        <w:pStyle w:val="ListParagraph"/>
        <w:numPr>
          <w:ilvl w:val="0"/>
          <w:numId w:val="2"/>
        </w:numPr>
        <w:spacing w:after="80"/>
      </w:pPr>
      <w:r>
        <w:t xml:space="preserve">Stock-in operations (receiving stock into the warehouse) with quantity, date, and optional supplier note.</w:t>
      </w:r>
    </w:p>
    <w:p>
      <w:pPr>
        <w:pStyle w:val="ListParagraph"/>
        <w:numPr>
          <w:ilvl w:val="0"/>
          <w:numId w:val="2"/>
        </w:numPr>
        <w:spacing w:after="80"/>
      </w:pPr>
      <w:r>
        <w:t xml:space="preserve">Stock-out operations (manual deductions for damage, returns, adjustments, or other reasons) with a required reason field.</w:t>
      </w:r>
    </w:p>
    <w:p>
      <w:pPr>
        <w:pStyle w:val="ListParagraph"/>
        <w:numPr>
          <w:ilvl w:val="0"/>
          <w:numId w:val="2"/>
        </w:numPr>
        <w:spacing w:after="80"/>
      </w:pPr>
      <w:r>
        <w:t xml:space="preserve">Current stock view per item, with the ability to filter and search.</w:t>
      </w:r>
    </w:p>
    <w:p>
      <w:pPr>
        <w:pStyle w:val="ListParagraph"/>
        <w:numPr>
          <w:ilvl w:val="0"/>
          <w:numId w:val="2"/>
        </w:numPr>
        <w:spacing w:after="80"/>
      </w:pPr>
      <w:r>
        <w:t xml:space="preserve">Automatic deduction of stock from the warehouse when an order is finalized in Module 3.</w:t>
      </w:r>
    </w:p>
    <w:p>
      <w:pPr>
        <w:pStyle w:val="ListParagraph"/>
        <w:numPr>
          <w:ilvl w:val="0"/>
          <w:numId w:val="2"/>
        </w:numPr>
        <w:spacing w:after="80"/>
      </w:pPr>
      <w:r>
        <w:t xml:space="preserve">Low-stock dashboard widget highlighting items below a configurable threshold.</w:t>
      </w:r>
    </w:p>
    <w:p>
      <w:pPr>
        <w:pStyle w:val="ListParagraph"/>
        <w:numPr>
          <w:ilvl w:val="0"/>
          <w:numId w:val="2"/>
        </w:numPr>
        <w:spacing w:after="80"/>
      </w:pPr>
      <w:r>
        <w:t xml:space="preserve">Stock history/audit log capturing every stock movement (in, out, order deduction, adjustment) with timestamp and acting user.</w:t>
      </w:r>
    </w:p>
    <w:p>
      <w:pPr>
        <w:pStyle w:val="Heading2"/>
      </w:pPr>
      <w:r>
        <w:t xml:space="preserve">Module 6 — AI Agent (Read-Only)</w:t>
      </w:r>
    </w:p>
    <w:p>
      <w:pPr>
        <w:spacing w:after="120"/>
      </w:pPr>
      <w:r>
        <w:t xml:space="preserve">A read-only AI assistant supporting both voice and text input/output, with the following capabilities:</w:t>
      </w:r>
    </w:p>
    <w:p>
      <w:pPr>
        <w:pStyle w:val="ListParagraph"/>
        <w:numPr>
          <w:ilvl w:val="0"/>
          <w:numId w:val="2"/>
        </w:numPr>
        <w:spacing w:after="80"/>
      </w:pPr>
      <w:r>
        <w:t xml:space="preserve">Natural language search for items within the catalog.</w:t>
      </w:r>
    </w:p>
    <w:p>
      <w:pPr>
        <w:pStyle w:val="ListParagraph"/>
        <w:numPr>
          <w:ilvl w:val="0"/>
          <w:numId w:val="2"/>
        </w:numPr>
        <w:spacing w:after="80"/>
      </w:pPr>
      <w:r>
        <w:t xml:space="preserve">Answering “how-to” questions about using the Application.</w:t>
      </w:r>
    </w:p>
    <w:p>
      <w:pPr>
        <w:pStyle w:val="ListParagraph"/>
        <w:numPr>
          <w:ilvl w:val="0"/>
          <w:numId w:val="2"/>
        </w:numPr>
        <w:spacing w:after="80"/>
      </w:pPr>
      <w:r>
        <w:t xml:space="preserve">Generating graphs and visual analytics on request.</w:t>
      </w:r>
    </w:p>
    <w:p>
      <w:pPr>
        <w:spacing w:after="120"/>
      </w:pPr>
      <w:r>
        <w:t xml:space="preserve">The AI Agent shall not be able to create, edit, or delete any data within the Application under any circumstance. Voice capabilities shall be powered by ElevenLabs, and language and intelligence capabilities by OpenAI. Specific configuration details (graph types, voice coverage within supported languages, and knowledge base structure) shall be finalized during the project kickoff phase and shall remain within the overall scope of this module.</w:t>
      </w:r>
    </w:p>
    <w:p>
      <w:pPr>
        <w:pStyle w:val="Heading2"/>
      </w:pPr>
      <w:r>
        <w:t xml:space="preserve">Module 7 — Bilingual Support (English &amp; Urdu)</w:t>
      </w:r>
    </w:p>
    <w:p>
      <w:pPr>
        <w:pStyle w:val="ListParagraph"/>
        <w:numPr>
          <w:ilvl w:val="0"/>
          <w:numId w:val="2"/>
        </w:numPr>
        <w:spacing w:after="80"/>
      </w:pPr>
      <w:r>
        <w:t xml:space="preserve">The entire user interface — including all labels, buttons, menus, navigation, system messages, error messages, dashboard, PDF invoice output, and printed receipts — shall be available in both English and Urdu (Nastaliq script).</w:t>
      </w:r>
    </w:p>
    <w:p>
      <w:pPr>
        <w:pStyle w:val="ListParagraph"/>
        <w:numPr>
          <w:ilvl w:val="0"/>
          <w:numId w:val="2"/>
        </w:numPr>
        <w:spacing w:after="80"/>
      </w:pPr>
      <w:r>
        <w:t xml:space="preserve">Right-to-left (RTL) layout shall be applied when Urdu is selected, with appropriate Urdu web fonts (such as Noto Nastaliq Urdu or equivalent) embedded in the Application.</w:t>
      </w:r>
    </w:p>
    <w:p>
      <w:pPr>
        <w:pStyle w:val="ListParagraph"/>
        <w:numPr>
          <w:ilvl w:val="0"/>
          <w:numId w:val="2"/>
        </w:numPr>
        <w:spacing w:after="80"/>
      </w:pPr>
      <w:r>
        <w:t xml:space="preserve">A language switcher shall be provided in the Application allowing the user to toggle between English and Urdu at any time.</w:t>
      </w:r>
    </w:p>
    <w:p>
      <w:pPr>
        <w:pStyle w:val="ListParagraph"/>
        <w:numPr>
          <w:ilvl w:val="0"/>
          <w:numId w:val="2"/>
        </w:numPr>
        <w:spacing w:after="80"/>
      </w:pPr>
      <w:r>
        <w:t xml:space="preserve">User-entered data (such as customer names, item names, and descriptions) may be entered in any script at the user’s discretion and shall be stored and displayed as entered.</w:t>
      </w:r>
    </w:p>
    <w:p>
      <w:pPr>
        <w:pStyle w:val="ListParagraph"/>
        <w:numPr>
          <w:ilvl w:val="0"/>
          <w:numId w:val="2"/>
        </w:numPr>
        <w:spacing w:after="80"/>
      </w:pPr>
      <w:r>
        <w:t xml:space="preserve">The AI Agent in Module 6 shall understand and respond in both English and Urdu, in both text and voice modes.</w:t>
      </w:r>
    </w:p>
    <w:p>
      <w:pPr>
        <w:pStyle w:val="Heading1"/>
      </w:pPr>
      <w:r>
        <w:t xml:space="preserve">3. TIMELINE</w:t>
      </w:r>
    </w:p>
    <w:p>
      <w:pPr>
        <w:spacing w:after="120"/>
      </w:pPr>
      <w:r>
        <w:t xml:space="preserve">The total duration of the project shall be six (6) weeks, commencing from the Effective Date of this Agreement.</w:t>
      </w:r>
    </w:p>
    <w:p>
      <w:pPr>
        <w:spacing w:after="120"/>
      </w:pPr>
      <w:r>
        <w:t xml:space="preserve">Any delays caused by the Client — including but not limited to delayed feedback, delayed provision of content or business inputs, or clarifications taking more than forty-eight (48) hours — shall extend the delivery timeline on a day-for-day basis without penalty to the Developer.</w:t>
      </w:r>
    </w:p>
    <w:p>
      <w:pPr>
        <w:pStyle w:val="Heading1"/>
      </w:pPr>
      <w:r>
        <w:t xml:space="preserve">4. PROJECT FEE &amp; PAYMENT TERMS</w:t>
      </w:r>
    </w:p>
    <w:p>
      <w:pPr>
        <w:spacing w:after="120"/>
      </w:pPr>
      <w:r>
        <w:t xml:space="preserve">The total project fee is PKR 60,000 (Sixty Thousand Pakistani Rupees only).</w:t>
      </w:r>
    </w:p>
    <w:p>
      <w:pPr>
        <w:spacing w:after="120"/>
      </w:pPr>
      <w:r>
        <w:t xml:space="preserve">No upfront payment is required. The full project fee of PKR 60,000 shall be paid by the Client to the Developer upon completion and delivery of the Application.</w:t>
      </w:r>
    </w:p>
    <w:p>
      <w:pPr>
        <w:spacing w:after="120"/>
      </w:pPr>
      <w:r>
        <w:t xml:space="preserve">Payment shall be made within seven (7) days of project delivery. Any delay beyond seven (7) days may, at the Developer’s sole discretion, result in suspension of access to the deployed Application until full payment is received.</w:t>
      </w:r>
    </w:p>
    <w:p>
      <w:pPr>
        <w:pStyle w:val="Heading1"/>
      </w:pPr>
      <w:r>
        <w:t xml:space="preserve">5. INFRASTRUCTURE &amp; THIRD-PARTY SERVICES</w:t>
      </w:r>
    </w:p>
    <w:p>
      <w:pPr>
        <w:spacing w:after="120"/>
      </w:pPr>
      <w:r>
        <w:t xml:space="preserve">The Developer shall handle all infrastructure setup and deployment, including:</w:t>
      </w:r>
    </w:p>
    <w:p>
      <w:pPr>
        <w:pStyle w:val="ListParagraph"/>
        <w:numPr>
          <w:ilvl w:val="0"/>
          <w:numId w:val="2"/>
        </w:numPr>
        <w:spacing w:after="80"/>
      </w:pPr>
      <w:r>
        <w:t xml:space="preserve">Deployment on Vercel using its free-tier hosting and a free Vercel subdomain.</w:t>
      </w:r>
    </w:p>
    <w:p>
      <w:pPr>
        <w:pStyle w:val="ListParagraph"/>
        <w:numPr>
          <w:ilvl w:val="0"/>
          <w:numId w:val="2"/>
        </w:numPr>
        <w:spacing w:after="80"/>
      </w:pPr>
      <w:r>
        <w:t xml:space="preserve">Backend and database services using Supabase on its free tier.</w:t>
      </w:r>
    </w:p>
    <w:p>
      <w:pPr>
        <w:spacing w:after="120"/>
      </w:pPr>
      <w:r>
        <w:t xml:space="preserve">While the above services remain within their respective free tiers, no additional infrastructure cost shall be borne by either Party. Once usage exceeds the free-tier limits of Vercel, Supabase, or any associated infrastructure service, the Client shall be solely responsible for all subsequent costs, including but not limited to upgraded hosting plans, database storage, bandwidth, and custom domain registration if desired.</w:t>
      </w:r>
    </w:p>
    <w:p>
      <w:pPr>
        <w:spacing w:after="120"/>
      </w:pPr>
      <w:r>
        <w:t xml:space="preserve">Furthermore, all costs associated with third-party AI services — including ElevenLabs voice credits, OpenAI API usage, and any other paid AI service required for the operation of Module 6 — shall be borne entirely by the Client from the point of activation onward. The Developer is not responsible for any AI-related operational costs at any stage of the project or thereafter.</w:t>
      </w:r>
    </w:p>
    <w:p>
      <w:pPr>
        <w:pStyle w:val="Heading1"/>
      </w:pPr>
      <w:r>
        <w:t xml:space="preserve">6. CHANGES &amp; ADDITIONAL WORK</w:t>
      </w:r>
    </w:p>
    <w:p>
      <w:pPr>
        <w:spacing w:after="120"/>
      </w:pPr>
      <w:r>
        <w:t xml:space="preserve">The scope of work defined in Section 2 of this Agreement is final and complete. Any feature, functionality, integration, or change requested by the Client that is not explicitly mentioned in this Agreement shall be treated as new work, subject to a separate quotation and a written addendum signed by both Parties. Such additional work shall not commence until the addendum is signed and any required payment is received.</w:t>
      </w:r>
    </w:p>
    <w:p>
      <w:pPr>
        <w:spacing w:after="120"/>
      </w:pPr>
      <w:r>
        <w:t xml:space="preserve">Each module includes up to two (2) rounds of revisions based on Client feedback. Revisions beyond this limit shall be billed as additional work under the terms above.</w:t>
      </w:r>
    </w:p>
    <w:p>
      <w:pPr>
        <w:pStyle w:val="Heading1"/>
      </w:pPr>
      <w:r>
        <w:t xml:space="preserve">7. TERMINATION BY CLIENT</w:t>
      </w:r>
    </w:p>
    <w:p>
      <w:pPr>
        <w:spacing w:after="120"/>
      </w:pPr>
      <w:r>
        <w:t xml:space="preserve">The Client may elect to terminate the project at any time prior to completion. However, in the event of such termination by the Client at any stage of the project, the Client shall remain liable for the full project fee of PKR 60,000, payable within seven (7) days of the termination notice. No partial refund or pro-rata adjustment shall apply, regardless of the stage at which termination occurs.</w:t>
      </w:r>
    </w:p>
    <w:p>
      <w:pPr>
        <w:pStyle w:val="Heading1"/>
      </w:pPr>
      <w:r>
        <w:t xml:space="preserve">8. INTELLECTUAL PROPERTY</w:t>
      </w:r>
    </w:p>
    <w:p>
      <w:pPr>
        <w:spacing w:after="120"/>
      </w:pPr>
      <w:r>
        <w:t xml:space="preserve">All intellectual property rights in and to the Application — including but not limited to source code, design, architecture, database schema, and all related materials — shall remain the exclusive property of the Developer (Gamma Developers) at all times.</w:t>
      </w:r>
    </w:p>
    <w:p>
      <w:pPr>
        <w:spacing w:after="120"/>
      </w:pPr>
      <w:r>
        <w:t xml:space="preserve">Upon receipt of full payment, the Client is hereby granted a perpetual, non-exclusive, non-transferable license to use the Application solely for the operation of the Client’s hardware shop business. The Client shall not be entitled to resell, sublicense, redistribute, share, or otherwise transfer the source code or any part of the Application to any third party.</w:t>
      </w:r>
    </w:p>
    <w:p>
      <w:pPr>
        <w:spacing w:after="120"/>
      </w:pPr>
      <w:r>
        <w:t xml:space="preserve">The Developer retains the right to reuse the underlying codebase, architecture, and components for other projects and clients.</w:t>
      </w:r>
    </w:p>
    <w:p>
      <w:pPr>
        <w:pStyle w:val="Heading1"/>
      </w:pPr>
      <w:r>
        <w:t xml:space="preserve">9. POST-DELIVERY SUPPORT</w:t>
      </w:r>
    </w:p>
    <w:p>
      <w:pPr>
        <w:spacing w:after="120"/>
      </w:pPr>
      <w:r>
        <w:t xml:space="preserve">The Developer shall provide thirty (30) days of free bug-fix support from the date of final delivery, limited to defects and errors caused by the Developer’s work. This support does not include:</w:t>
      </w:r>
    </w:p>
    <w:p>
      <w:pPr>
        <w:pStyle w:val="ListParagraph"/>
        <w:numPr>
          <w:ilvl w:val="0"/>
          <w:numId w:val="2"/>
        </w:numPr>
        <w:spacing w:after="80"/>
      </w:pPr>
      <w:r>
        <w:t xml:space="preserve">New features or enhancements.</w:t>
      </w:r>
    </w:p>
    <w:p>
      <w:pPr>
        <w:pStyle w:val="ListParagraph"/>
        <w:numPr>
          <w:ilvl w:val="0"/>
          <w:numId w:val="2"/>
        </w:numPr>
        <w:spacing w:after="80"/>
      </w:pPr>
      <w:r>
        <w:t xml:space="preserve">Issues caused by third-party service outages (Vercel, Supabase, OpenAI, ElevenLabs, or others).</w:t>
      </w:r>
    </w:p>
    <w:p>
      <w:pPr>
        <w:pStyle w:val="ListParagraph"/>
        <w:numPr>
          <w:ilvl w:val="0"/>
          <w:numId w:val="2"/>
        </w:numPr>
        <w:spacing w:after="80"/>
      </w:pPr>
      <w:r>
        <w:t xml:space="preserve">Issues caused by exceeding free-tier limits of any service.</w:t>
      </w:r>
    </w:p>
    <w:p>
      <w:pPr>
        <w:pStyle w:val="ListParagraph"/>
        <w:numPr>
          <w:ilvl w:val="0"/>
          <w:numId w:val="2"/>
        </w:numPr>
        <w:spacing w:after="80"/>
      </w:pPr>
      <w:r>
        <w:t xml:space="preserve">Issues caused by Client misuse, unauthorized modifications, or third-party tampering.</w:t>
      </w:r>
    </w:p>
    <w:p>
      <w:pPr>
        <w:spacing w:after="120"/>
      </w:pPr>
      <w:r>
        <w:t xml:space="preserve">Any support requested beyond this period shall be billed separately under a maintenance arrangement to be mutually agreed upon.</w:t>
      </w:r>
    </w:p>
    <w:p>
      <w:pPr>
        <w:pStyle w:val="Heading1"/>
      </w:pPr>
      <w:r>
        <w:t xml:space="preserve">10. CLIENT RESPONSIBILITIES</w:t>
      </w:r>
    </w:p>
    <w:p>
      <w:pPr>
        <w:spacing w:after="120"/>
      </w:pPr>
      <w:r>
        <w:t xml:space="preserve">The Client agrees to:</w:t>
      </w:r>
    </w:p>
    <w:p>
      <w:pPr>
        <w:pStyle w:val="ListParagraph"/>
        <w:numPr>
          <w:ilvl w:val="0"/>
          <w:numId w:val="2"/>
        </w:numPr>
        <w:spacing w:after="80"/>
      </w:pPr>
      <w:r>
        <w:t xml:space="preserve">Provide timely feedback, content, and clarifications throughout the project.</w:t>
      </w:r>
    </w:p>
    <w:p>
      <w:pPr>
        <w:pStyle w:val="ListParagraph"/>
        <w:numPr>
          <w:ilvl w:val="0"/>
          <w:numId w:val="2"/>
        </w:numPr>
        <w:spacing w:after="80"/>
      </w:pPr>
      <w:r>
        <w:t xml:space="preserve">Bear all third-party service costs as outlined in Section 5.</w:t>
      </w:r>
    </w:p>
    <w:p>
      <w:pPr>
        <w:pStyle w:val="ListParagraph"/>
        <w:numPr>
          <w:ilvl w:val="0"/>
          <w:numId w:val="2"/>
        </w:numPr>
        <w:spacing w:after="80"/>
      </w:pPr>
      <w:r>
        <w:t xml:space="preserve">Use the Application strictly for lawful business purposes.</w:t>
      </w:r>
    </w:p>
    <w:p>
      <w:pPr>
        <w:pStyle w:val="ListParagraph"/>
        <w:numPr>
          <w:ilvl w:val="0"/>
          <w:numId w:val="2"/>
        </w:numPr>
        <w:spacing w:after="80"/>
      </w:pPr>
      <w:r>
        <w:t xml:space="preserve">Safeguard the login credentials handed over by the Developer, and manage user provisioning responsibly through the RBAC system; the Developer shall not be liable for any unauthorized access resulting from Client negligence after handover, or from credentials shared internally by the Client.</w:t>
      </w:r>
    </w:p>
    <w:p>
      <w:pPr>
        <w:pStyle w:val="Heading1"/>
      </w:pPr>
      <w:r>
        <w:t xml:space="preserve">11. CONFIDENTIALITY</w:t>
      </w:r>
    </w:p>
    <w:p>
      <w:pPr>
        <w:spacing w:after="120"/>
      </w:pPr>
      <w:r>
        <w:t xml:space="preserve">Both Parties agree to keep confidential any business, technical, or commercial information shared during the course of this Agreement, and shall not disclose such information to any third party without prior written consent, except as required by law.</w:t>
      </w:r>
    </w:p>
    <w:p>
      <w:pPr>
        <w:pStyle w:val="Heading1"/>
      </w:pPr>
      <w:r>
        <w:t xml:space="preserve">12. LIMITATION OF LIABILITY</w:t>
      </w:r>
    </w:p>
    <w:p>
      <w:pPr>
        <w:spacing w:after="120"/>
      </w:pPr>
      <w:r>
        <w:t xml:space="preserve">The Developer’s total liability under this Agreement, regardless of the cause of action, shall not exceed the total project fee of PKR 60,000. The Developer shall not be liable for any indirect, incidental, or consequential damages, including but not limited to loss of business, profits, or data.</w:t>
      </w:r>
    </w:p>
    <w:p>
      <w:pPr>
        <w:pStyle w:val="Heading1"/>
      </w:pPr>
      <w:r>
        <w:t xml:space="preserve">13. GOVERNING LAW &amp; DISPUTES</w:t>
      </w:r>
    </w:p>
    <w:p>
      <w:pPr>
        <w:spacing w:after="120"/>
      </w:pPr>
      <w:r>
        <w:t xml:space="preserve">This Agreement shall be governed by the laws of the Islamic Republic of Pakistan. Any dispute arising under this Agreement shall be subject to the exclusive jurisdiction of the courts of Lahore, Punjab.</w:t>
      </w:r>
    </w:p>
    <w:p>
      <w:pPr>
        <w:spacing w:after="120"/>
      </w:pPr>
      <w:r>
        <w:t xml:space="preserve">The Parties shall first attempt to resolve any dispute amicably through good-faith negotiation before initiating any legal proceedings.</w:t>
      </w:r>
    </w:p>
    <w:p>
      <w:pPr>
        <w:pStyle w:val="Heading1"/>
      </w:pPr>
      <w:r>
        <w:t xml:space="preserve">14. ENTIRE AGREEMENT</w:t>
      </w:r>
    </w:p>
    <w:p>
      <w:pPr>
        <w:spacing w:after="120"/>
      </w:pPr>
      <w:r>
        <w:t xml:space="preserve">This Agreement constitutes the entire understanding between the Parties with respect to the subject matter herein and supersedes all prior discussions, communications, or agreements, whether written or oral. Any amendments to this Agreement must be in writing and signed by both Parties.</w:t>
      </w:r>
    </w:p>
    <w:p>
      <w:r>
        <w:t xml:space="preserve"/>
      </w:r>
    </w:p>
    <w:p>
      <w:pPr>
        <w:spacing w:after="200" w:before="240"/>
        <w:jc w:val="center"/>
      </w:pPr>
      <w:r>
        <w:rPr>
          <w:b/>
          <w:bCs/>
          <w:sz w:val="26"/>
          <w:szCs w:val="26"/>
        </w:rPr>
        <w:t xml:space="preserve">SIGNATURES</w:t>
      </w:r>
    </w:p>
    <w:p>
      <w:pPr>
        <w:spacing w:after="120"/>
      </w:pPr>
      <w:r>
        <w:rPr>
          <w:b/>
          <w:bCs/>
        </w:rPr>
        <w:t xml:space="preserve">For the Developer:</w:t>
      </w:r>
    </w:p>
    <w:p>
      <w:pPr>
        <w:spacing w:after="120"/>
      </w:pPr>
      <w:r>
        <w:t xml:space="preserve">Name: ______________________________</w:t>
      </w:r>
    </w:p>
    <w:p>
      <w:pPr>
        <w:spacing w:after="120"/>
      </w:pPr>
      <w:r>
        <w:t xml:space="preserve">Designation: Co-Founder, Gamma Developers</w:t>
      </w:r>
    </w:p>
    <w:p>
      <w:pPr>
        <w:spacing w:after="120"/>
      </w:pPr>
      <w:r>
        <w:t xml:space="preserve">Signature: __________________________</w:t>
      </w:r>
    </w:p>
    <w:p>
      <w:pPr>
        <w:spacing w:after="120"/>
      </w:pPr>
      <w:r>
        <w:t xml:space="preserve">Date: ______________________________</w:t>
      </w:r>
    </w:p>
    <w:p>
      <w:r>
        <w:t xml:space="preserve"/>
      </w:r>
    </w:p>
    <w:p>
      <w:pPr>
        <w:spacing w:after="120"/>
      </w:pPr>
      <w:r>
        <w:rPr>
          <w:b/>
          <w:bCs/>
        </w:rPr>
        <w:t xml:space="preserve">For the Client:</w:t>
      </w:r>
    </w:p>
    <w:p>
      <w:pPr>
        <w:spacing w:after="120"/>
      </w:pPr>
      <w:r>
        <w:t xml:space="preserve">Name: ______________________________</w:t>
      </w:r>
    </w:p>
    <w:p>
      <w:pPr>
        <w:spacing w:after="120"/>
      </w:pPr>
      <w:r>
        <w:t xml:space="preserve">Designation: _______________________</w:t>
      </w:r>
    </w:p>
    <w:p>
      <w:pPr>
        <w:spacing w:after="120"/>
      </w:pPr>
      <w:r>
        <w:t xml:space="preserve">Signature: __________________________</w:t>
      </w:r>
    </w:p>
    <w:p>
      <w:pPr>
        <w:spacing w:after="120"/>
      </w:pPr>
      <w:r>
        <w:t xml:space="preserve">Date: 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i/>
        <w:iCs/>
        <w:sz w:val="18"/>
        <w:szCs w:val="18"/>
      </w:rPr>
      <w:t xml:space="preserve">Gamma Developers — Software Development Agreement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2026-05-14T10:22:08.403Z</dcterms:created>
  <dcterms:modified xsi:type="dcterms:W3CDTF">2026-05-14T10:22:08.403Z</dcterms:modified>
</cp:coreProperties>
</file>

<file path=docProps/custom.xml><?xml version="1.0" encoding="utf-8"?>
<Properties xmlns="http://schemas.openxmlformats.org/officeDocument/2006/custom-properties" xmlns:vt="http://schemas.openxmlformats.org/officeDocument/2006/docPropsVTypes"/>
</file>