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Enfoque psicopedagógico para el desarrollo profesional</w:t>
      </w:r>
    </w:p>
    <w:p>
      <w:pPr>
        <w:spacing w:after="60"/>
        <w:jc w:val="center"/>
      </w:pPr>
      <w:r>
        <w:rPr>
          <w:b/>
          <w:bCs/>
          <w:color w:val="1F4E5F"/>
          <w:sz w:val="36"/>
          <w:szCs w:val="36"/>
        </w:rPr>
        <w:t xml:space="preserve">Pauta de corrección para el docente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Liderazgo directivo en la educación y desarrollo profesional docente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shd w:fill="E8F0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Uso:</w:t>
            </w:r>
            <w:r>
              <w:t xml:space="preserve"> respuestas esperadas y criterios de evaluación. No entregar a los estudiantes.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Texto base:</w:t>
            </w:r>
            <w:r>
              <w:t xml:space="preserve"> Gamarra Huamanttica, J. C. (2024). Liderazgo directivo en la educación: Una revisión literaria. Horizontes. Revista de Investigación en Ciencias de la Educación, 8(34), 1897–1912. https://doi.org/10.33996/revistahorizontes.v8i34.841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Sugerencia:</w:t>
            </w:r>
            <w:r>
              <w:t xml:space="preserve"> 90 minutos no alcanzan para leer las 16 páginas con detención. Conviene pedir la lectura del artículo antes de la clase; la guía remite a páginas específicas para facilitar la lectura focalizada.</w:t>
            </w:r>
          </w:p>
        </w:tc>
      </w:tr>
    </w:tbl>
    <w:p>
      <w:pPr>
        <w:pStyle w:val="Heading1"/>
      </w:pPr>
      <w:r>
        <w:t xml:space="preserve">Parte I · Comprensión del texto</w:t>
      </w: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b/>
          <w:bCs/>
        </w:rPr>
        <w:t xml:space="preserve">Pregunta central:</w:t>
      </w:r>
      <w:r>
        <w:t xml:space="preserve"> ¿De qué manera el liderazgo directivo influye en la educación? </w:t>
      </w:r>
      <w:r>
        <w:rPr>
          <w:b/>
          <w:bCs/>
        </w:rPr>
        <w:t xml:space="preserve">Objetivo:</w:t>
      </w:r>
      <w:r>
        <w:t xml:space="preserve"> analizar las características y enfoques del liderazgo directivo y su influencia en la calidad educativa y en la cohesión de la comunidad escolar; sintetizar su impacto en el rendimiento académico, el ambiente escolar y el desarrollo profesional docente.</w:t>
      </w: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b/>
          <w:bCs/>
        </w:rPr>
        <w:t xml:space="preserve">Características:</w:t>
      </w:r>
      <w:r>
        <w:t xml:space="preserve"> visión compartida; desarrollo de comunidades efectivas (miembros valorados, escuchados y respetados); gestión del cambio (vencer la resistencia, apoyar la adopción de nuevas prácticas); impulso al desarrollo profesional docente (capacitación, tutoría, colaboración entre pares); influencia en la cultura escolar y promoción de valores (integridad, respeto, equidad); participación de toda la comunidad.</w:t>
      </w: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b/>
          <w:bCs/>
        </w:rPr>
        <w:t xml:space="preserve">Tabla de enfoques: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cantSplit/>
          <w:tblHeader/>
        </w:trPr>
        <w:tc>
          <w:tcPr>
            <w:tcW w:type="dxa" w:w="190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FFFFFF"/>
              </w:rPr>
              <w:t xml:space="preserve">Enfoque</w:t>
            </w:r>
          </w:p>
        </w:tc>
        <w:tc>
          <w:tcPr>
            <w:tcW w:type="dxa" w:w="373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FFFFFF"/>
              </w:rPr>
              <w:t xml:space="preserve">Idea central y rol de quien dirige</w:t>
            </w:r>
          </w:p>
        </w:tc>
        <w:tc>
          <w:tcPr>
            <w:tcW w:type="dxa" w:w="373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FFFFFF"/>
              </w:rPr>
              <w:t xml:space="preserve">Efecto esperado en los docentes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Transformacional</w:t>
            </w:r>
          </w:p>
        </w:tc>
        <w:tc>
          <w:tcPr>
            <w:tcW w:type="dxa" w:w="373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Líder como agente de cambio; inspira mediante visión y carisma.</w:t>
            </w:r>
          </w:p>
        </w:tc>
        <w:tc>
          <w:tcPr>
            <w:tcW w:type="dxa" w:w="373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Motivación, colaboración, innovación y desarrollo personal y profesional.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Distribuido</w:t>
            </w:r>
          </w:p>
        </w:tc>
        <w:tc>
          <w:tcPr>
            <w:tcW w:type="dxa" w:w="373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El liderazgo no se limita al director; el poder y las decisiones se reparten.</w:t>
            </w:r>
          </w:p>
        </w:tc>
        <w:tc>
          <w:tcPr>
            <w:tcW w:type="dxa" w:w="373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Responsabilidad compartida; se valora la experiencia de cada miembro.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Basado en la instrucción</w:t>
            </w:r>
          </w:p>
        </w:tc>
        <w:tc>
          <w:tcPr>
            <w:tcW w:type="dxa" w:w="373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Foco en la calidad de la enseñanza; apoyo, recursos y metas claras.</w:t>
            </w:r>
          </w:p>
        </w:tc>
        <w:tc>
          <w:tcPr>
            <w:tcW w:type="dxa" w:w="373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Prácticas pedagógicas efectivas, currículo de calidad, evaluación continua.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Ético</w:t>
            </w:r>
          </w:p>
        </w:tc>
        <w:tc>
          <w:tcPr>
            <w:tcW w:type="dxa" w:w="373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Integridad, equidad y justicia; decisiones según el bienestar del alumnado.</w:t>
            </w:r>
          </w:p>
        </w:tc>
        <w:tc>
          <w:tcPr>
            <w:tcW w:type="dxa" w:w="373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Cultura de respeto, responsabilidad y transparencia.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/>
            </w:pPr>
            <w:r>
              <w:t xml:space="preserve">Diversidad e inclusión</w:t>
            </w:r>
          </w:p>
        </w:tc>
        <w:tc>
          <w:tcPr>
            <w:tcW w:type="dxa" w:w="373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/>
            </w:pPr>
            <w:r>
              <w:t xml:space="preserve">Abordar desigualdades y barreras; políticas inclusivas.</w:t>
            </w:r>
          </w:p>
        </w:tc>
        <w:tc>
          <w:tcPr>
            <w:tcW w:type="dxa" w:w="373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/>
            </w:pPr>
            <w:r>
              <w:t xml:space="preserve">Ambientes que respetan la diversidad cultural, étnica, lingüística y de género.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120"/>
      </w:pPr>
      <w:r>
        <w:rPr>
          <w:b/>
          <w:bCs/>
        </w:rPr>
        <w:t xml:space="preserve">Tensión en la innovación:</w:t>
      </w:r>
      <w:r>
        <w:t xml:space="preserve"> la dirección aporta visión, metas, recursos financieros y humanos, y una cultura que acepta el riesgo; pero si es demasiado controladora o burocrática puede sofocar la creatividad. La innovación también puede surgir “de abajo hacia arriba”. La clave es el equilibrio entre dirección y autonomía docente (Fretes, 2020; Castrejón y Peña, 2019).</w:t>
      </w:r>
    </w:p>
    <w:p>
      <w:pPr>
        <w:pStyle w:val="ListParagraph"/>
        <w:numPr>
          <w:ilvl w:val="0"/>
          <w:numId w:val="2"/>
        </w:numPr>
        <w:spacing w:after="80" w:before="120"/>
      </w:pPr>
      <w:r>
        <w:rPr>
          <w:b/>
          <w:bCs/>
        </w:rPr>
        <w:t xml:space="preserve">Acciones con familias:</w:t>
      </w:r>
      <w:r>
        <w:t xml:space="preserve"> consejos de padres o grupos asesores inclusivos; reuniones de padres con espacio para opinar; encuestas y entrevistas; comunicación regular y transparente (correo, boletines, plataformas); talleres de formación para familias; actuar sobre la retroalimentación recibida.</w:t>
      </w:r>
    </w:p>
    <w:p>
      <w:pPr>
        <w:pStyle w:val="Heading1"/>
      </w:pPr>
      <w:r>
        <w:t xml:space="preserve">Parte II · Análisis de caso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Problemas esperables</w:t>
      </w:r>
      <w:r>
        <w:t xml:space="preserve"> (al menos tres):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Plan impuesto sin consulta → ausencia de </w:t>
      </w:r>
      <w:r>
        <w:rPr>
          <w:b/>
          <w:bCs/>
        </w:rPr>
        <w:t xml:space="preserve">visión compartida</w:t>
      </w:r>
      <w:r>
        <w:t xml:space="preserve"> y de enfoque </w:t>
      </w:r>
      <w:r>
        <w:rPr>
          <w:b/>
          <w:bCs/>
        </w:rPr>
        <w:t xml:space="preserve">distribuido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Resistencia de los docentes con más años → deficiente </w:t>
      </w:r>
      <w:r>
        <w:rPr>
          <w:b/>
          <w:bCs/>
        </w:rPr>
        <w:t xml:space="preserve">gestión del cambio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Innovación sin capacitación → falta de </w:t>
      </w:r>
      <w:r>
        <w:rPr>
          <w:b/>
          <w:bCs/>
        </w:rPr>
        <w:t xml:space="preserve">desarrollo profesional</w:t>
      </w:r>
      <w:r>
        <w:t xml:space="preserve"> alineado con las necesidades reales.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Toda actividad nueva pasa por la dirección → </w:t>
      </w:r>
      <w:r>
        <w:rPr>
          <w:b/>
          <w:bCs/>
        </w:rPr>
        <w:t xml:space="preserve">control excesivo</w:t>
      </w:r>
      <w:r>
        <w:t xml:space="preserve"> que limita la innovación.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Equipo de apoyo aislado y con atención individual → falta de enfoque de </w:t>
      </w:r>
      <w:r>
        <w:rPr>
          <w:b/>
          <w:bCs/>
        </w:rPr>
        <w:t xml:space="preserve">diversidad e inclusión</w:t>
      </w:r>
      <w:r>
        <w:t xml:space="preserve"> a nivel institucional.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Comunicación con familias solo ante problemas → débil </w:t>
      </w:r>
      <w:r>
        <w:rPr>
          <w:b/>
          <w:bCs/>
        </w:rPr>
        <w:t xml:space="preserve">participación familiar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Enfoque recomendado:</w:t>
      </w:r>
      <w:r>
        <w:t xml:space="preserve"> se espera una combinación de </w:t>
      </w:r>
      <w:r>
        <w:rPr>
          <w:b/>
          <w:bCs/>
        </w:rPr>
        <w:t xml:space="preserve">transformacional</w:t>
      </w:r>
      <w:r>
        <w:t xml:space="preserve"> (construir visión compartida, motivar) y </w:t>
      </w:r>
      <w:r>
        <w:rPr>
          <w:b/>
          <w:bCs/>
        </w:rPr>
        <w:t xml:space="preserve">distribuido</w:t>
      </w:r>
      <w:r>
        <w:t xml:space="preserve"> (involucrar a los docentes en las decisiones). Debe vincularse con la gestión del cambio: identificar la necesidad de cambio, movilizar a la comunidad y apoyar la adopción de nuevas prácticas. Valorar si se menciona que el éxito depende también del apoyo institucional y los recursos (p. 1905).</w:t>
      </w:r>
    </w:p>
    <w:p>
      <w:pPr>
        <w:pStyle w:val="ListParagraph"/>
        <w:numPr>
          <w:ilvl w:val="0"/>
          <w:numId w:val="3"/>
        </w:numPr>
        <w:spacing w:after="80" w:before="120"/>
      </w:pPr>
      <w:r>
        <w:rPr>
          <w:b/>
          <w:bCs/>
        </w:rPr>
        <w:t xml:space="preserve">Acciones:</w:t>
      </w:r>
      <w:r>
        <w:t xml:space="preserve"> para familias, por ejemplo, un consejo de familias representativo o reuniones informativas sobre el plan de mejora. Para innovación, por ejemplo, definir metas comunes y dar autonomía dentro de ellas, o crear espacios de experimentación con recursos asignados.</w:t>
      </w:r>
    </w:p>
    <w:p>
      <w:pPr>
        <w:pStyle w:val="Heading1"/>
      </w:pPr>
      <w:r>
        <w:t xml:space="preserve">Parte III · Rol del psicopedagogo</w:t>
      </w:r>
    </w:p>
    <w:p>
      <w:pPr>
        <w:pStyle w:val="ListParagraph"/>
        <w:numPr>
          <w:ilvl w:val="0"/>
          <w:numId w:val="5"/>
        </w:numPr>
        <w:spacing w:after="80" w:before="120"/>
      </w:pPr>
      <w:r>
        <w:rPr>
          <w:b/>
          <w:bCs/>
        </w:rPr>
        <w:t xml:space="preserve">Detección de necesidades:</w:t>
      </w:r>
      <w:r>
        <w:t xml:space="preserve"> diagnóstico participativo, entrevistas o encuestas a docentes, observación de aula con retroalimentación, análisis de los resultados de aprendizaje y de las barreras para la inclusión.</w:t>
      </w:r>
    </w:p>
    <w:p>
      <w:pPr>
        <w:pStyle w:val="ListParagraph"/>
        <w:numPr>
          <w:ilvl w:val="0"/>
          <w:numId w:val="5"/>
        </w:numPr>
        <w:spacing w:after="80" w:before="120"/>
      </w:pPr>
      <w:r>
        <w:rPr>
          <w:b/>
          <w:bCs/>
        </w:rPr>
        <w:t xml:space="preserve">Funciones de liderazgo del equipo de apoyo:</w:t>
      </w:r>
      <w:r>
        <w:t xml:space="preserve"> liderar la formación docente en inclusión y diversificación de la enseñanza; codocencia y planificación conjunta con docentes de aula; coordinar la comunicación con las familias de estudiantes con NEE; participar en el diseño del plan de mejora. Se espera que el estudiante pase de un rol remedial e individual a uno colaborativo e institucional.</w:t>
      </w:r>
    </w:p>
    <w:p>
      <w:pPr>
        <w:pStyle w:val="ListParagraph"/>
        <w:numPr>
          <w:ilvl w:val="0"/>
          <w:numId w:val="5"/>
        </w:numPr>
        <w:spacing w:after="80" w:before="120"/>
      </w:pPr>
      <w:r>
        <w:rPr>
          <w:b/>
          <w:bCs/>
        </w:rPr>
        <w:t xml:space="preserve">Estrategia de acompañamiento:</w:t>
      </w:r>
      <w:r>
        <w:t xml:space="preserve"> valorar la coherencia entre objetivo, participantes, acciones y evaluación, y que responda a los problemas del caso (resistencia, falta de capacitación, aislamiento del equipo de apoyo).</w:t>
      </w:r>
    </w:p>
    <w:p>
      <w:pPr>
        <w:pStyle w:val="Heading1"/>
      </w:pPr>
      <w:r>
        <w:t xml:space="preserve">Parte IV · Lectura crítica</w:t>
      </w:r>
    </w:p>
    <w:p>
      <w:pPr>
        <w:pStyle w:val="ListParagraph"/>
        <w:numPr>
          <w:ilvl w:val="0"/>
          <w:numId w:val="6"/>
        </w:numPr>
        <w:spacing w:after="80" w:before="120"/>
      </w:pPr>
      <w:r>
        <w:rPr>
          <w:b/>
          <w:bCs/>
        </w:rPr>
        <w:t xml:space="preserve">Sí informa:</w:t>
      </w:r>
      <w:r>
        <w:t xml:space="preserve"> bases de datos (Scopus, “WES” —probablemente Web of Science— y Google Académico), técnica de análisis documental, criterios generales de inclusión y exclusión, total de 62 artículos y su distribución por eje (20, 16, 13 y 13). </w:t>
      </w:r>
      <w:r>
        <w:rPr>
          <w:b/>
          <w:bCs/>
        </w:rPr>
        <w:t xml:space="preserve">No informa o es poco claro:</w:t>
      </w:r>
      <w:r>
        <w:t xml:space="preserve"> ecuación de búsqueda, período de búsqueda (menciona “el período establecido” sin precisarlo), número de registros iniciales y descartados, diagrama de flujo (por ejemplo, PRISMA), evaluación de la calidad de los estudios.</w:t>
      </w:r>
    </w:p>
    <w:p>
      <w:pPr>
        <w:pStyle w:val="ListParagraph"/>
        <w:numPr>
          <w:ilvl w:val="0"/>
          <w:numId w:val="6"/>
        </w:numPr>
        <w:spacing w:after="80" w:before="120"/>
      </w:pPr>
      <w:r>
        <w:rPr>
          <w:b/>
          <w:bCs/>
        </w:rPr>
        <w:t xml:space="preserve">Referencias heterogéneas:</w:t>
      </w:r>
      <w:r>
        <w:t xml:space="preserve"> se espera que los estudiantes noten fuentes no científicas o ajenas a la educación, por ejemplo: un artículo de blog de Asana (2023), una tesis de grado (Álvarez, 2022), un estudio de enfermería en Sudáfrica (Masimula et al., 2023), un estudio sobre digitalización en empresas (Tagscherer y Carbon, 2023), uno sobre pymes (Suriyankietkaew et al., 2022) y un artículo sobre inclusión atribuido a una revista de odontología (Concha et al., 2022, *Braz Dent J.*), posiblemente un error de cita. Esto contradice el criterio de excluir estudios fuera del ámbito educativo.</w:t>
      </w:r>
    </w:p>
    <w:p>
      <w:pPr>
        <w:pStyle w:val="ListParagraph"/>
        <w:numPr>
          <w:ilvl w:val="0"/>
          <w:numId w:val="6"/>
        </w:numPr>
        <w:spacing w:after="80" w:before="120"/>
      </w:pPr>
      <w:r>
        <w:rPr>
          <w:b/>
          <w:bCs/>
        </w:rPr>
        <w:t xml:space="preserve">Generalización:</w:t>
      </w:r>
      <w:r>
        <w:t xml:space="preserve"> limitada. Por la falta de un protocolo explícito, el artículo se acerca más a una </w:t>
      </w:r>
      <w:r>
        <w:rPr>
          <w:b/>
          <w:bCs/>
        </w:rPr>
        <w:t xml:space="preserve">revisión narrativa</w:t>
      </w:r>
      <w:r>
        <w:t xml:space="preserve"> que a una revisión sistemática (el propio título dice “revisión literaria”, aunque el resumen habla de “revisión sistemática”). Sus conclusiones son útiles como marco conceptual y para la discusión, no como evidencia concluyente. Valorar que el estudiante reconozca también fortalezas: la discusión identifica tensiones y matices (visión compartida insuficiente, riesgos del control excesivo).</w:t>
      </w:r>
    </w:p>
    <w:p>
      <w:pPr>
        <w:pStyle w:val="Heading1"/>
      </w:pPr>
      <w:r>
        <w:t xml:space="preserve">Rúbrica de evaluación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2187"/>
        <w:gridCol w:w="2187"/>
        <w:gridCol w:w="2186"/>
      </w:tblGrid>
      <w:tr>
        <w:trPr>
          <w:cantSplit/>
          <w:tblHeader/>
        </w:trPr>
        <w:tc>
          <w:tcPr>
            <w:tcW w:type="dxa" w:w="190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FFFFFF"/>
              </w:rPr>
              <w:t xml:space="preserve">Criterio</w:t>
            </w:r>
          </w:p>
        </w:tc>
        <w:tc>
          <w:tcPr>
            <w:tcW w:type="dxa" w:w="90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FFFFFF"/>
              </w:rPr>
              <w:t xml:space="preserve">Peso</w:t>
            </w:r>
          </w:p>
        </w:tc>
        <w:tc>
          <w:tcPr>
            <w:tcW w:type="dxa" w:w="2187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FFFFFF"/>
              </w:rPr>
              <w:t xml:space="preserve">Logrado (3)</w:t>
            </w:r>
          </w:p>
        </w:tc>
        <w:tc>
          <w:tcPr>
            <w:tcW w:type="dxa" w:w="2187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FFFFFF"/>
              </w:rPr>
              <w:t xml:space="preserve">Medianamente logrado (2)</w:t>
            </w:r>
          </w:p>
        </w:tc>
        <w:tc>
          <w:tcPr>
            <w:tcW w:type="dxa" w:w="2186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shd w:fill="1F4E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rPr>
                <w:b/>
                <w:bCs/>
                <w:color w:val="FFFFFF"/>
              </w:rPr>
              <w:t xml:space="preserve">Por lograr (1)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Comprensión del texto (Parte I)</w:t>
            </w:r>
          </w:p>
        </w:tc>
        <w:tc>
          <w:tcPr>
            <w:tcW w:type="dxa" w:w="90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25%</w:t>
            </w:r>
          </w:p>
        </w:tc>
        <w:tc>
          <w:tcPr>
            <w:tcW w:type="dxa" w:w="2187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Identifica con precisión características, enfoques y tensiones, con referencias al texto.</w:t>
            </w:r>
          </w:p>
        </w:tc>
        <w:tc>
          <w:tcPr>
            <w:tcW w:type="dxa" w:w="2187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Identifica la mayoría de los elementos con algunas imprecisiones.</w:t>
            </w:r>
          </w:p>
        </w:tc>
        <w:tc>
          <w:tcPr>
            <w:tcW w:type="dxa" w:w="2186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Respuestas incompletas o que no se basan en el texto.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Análisis de caso (Parte II)</w:t>
            </w:r>
          </w:p>
        </w:tc>
        <w:tc>
          <w:tcPr>
            <w:tcW w:type="dxa" w:w="90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30%</w:t>
            </w:r>
          </w:p>
        </w:tc>
        <w:tc>
          <w:tcPr>
            <w:tcW w:type="dxa" w:w="2187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Relaciona los problemas con los enfoques y propone acciones fundamentadas y viables.</w:t>
            </w:r>
          </w:p>
        </w:tc>
        <w:tc>
          <w:tcPr>
            <w:tcW w:type="dxa" w:w="2187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Identifica problemas, pero la relación con el artículo o las propuestas son débiles.</w:t>
            </w:r>
          </w:p>
        </w:tc>
        <w:tc>
          <w:tcPr>
            <w:tcW w:type="dxa" w:w="2186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Describe el caso sin analizarlo ni vincularlo con el artículo.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Rol del psicopedagogo (Parte III)</w:t>
            </w:r>
          </w:p>
        </w:tc>
        <w:tc>
          <w:tcPr>
            <w:tcW w:type="dxa" w:w="90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25%</w:t>
            </w:r>
          </w:p>
        </w:tc>
        <w:tc>
          <w:tcPr>
            <w:tcW w:type="dxa" w:w="2187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Propone un rol colaborativo e institucional, con una estrategia coherente y evaluable.</w:t>
            </w:r>
          </w:p>
        </w:tc>
        <w:tc>
          <w:tcPr>
            <w:tcW w:type="dxa" w:w="2187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Propone un rol pertinente, pero la estrategia carece de algún elemento.</w:t>
            </w:r>
          </w:p>
        </w:tc>
        <w:tc>
          <w:tcPr>
            <w:tcW w:type="dxa" w:w="2186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40"/>
            </w:pPr>
            <w:r>
              <w:t xml:space="preserve">Reduce el rol a la atención individual o no propone estrategia.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/>
            </w:pPr>
            <w:r>
              <w:t xml:space="preserve">Lectura crítica (Parte IV)</w:t>
            </w:r>
          </w:p>
        </w:tc>
        <w:tc>
          <w:tcPr>
            <w:tcW w:type="dxa" w:w="900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/>
            </w:pPr>
            <w:r>
              <w:t xml:space="preserve">20%</w:t>
            </w:r>
          </w:p>
        </w:tc>
        <w:tc>
          <w:tcPr>
            <w:tcW w:type="dxa" w:w="2187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/>
            </w:pPr>
            <w:r>
              <w:t xml:space="preserve">Identifica vacíos metodológicos y fuentes heterogéneas, y juzga con fundamento el alcance de las conclusiones.</w:t>
            </w:r>
          </w:p>
        </w:tc>
        <w:tc>
          <w:tcPr>
            <w:tcW w:type="dxa" w:w="2187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/>
            </w:pPr>
            <w:r>
              <w:t xml:space="preserve">Detecta algunas limitaciones sin evaluar su efecto en las conclusiones.</w:t>
            </w:r>
          </w:p>
        </w:tc>
        <w:tc>
          <w:tcPr>
            <w:tcW w:type="dxa" w:w="2186"/>
            <w:tcBorders>
              <w:top w:val="single" w:color="9DB3BA" w:sz="4"/>
              <w:left w:val="single" w:color="9DB3BA" w:sz="4"/>
              <w:bottom w:val="single" w:color="9DB3BA" w:sz="4"/>
              <w:right w:val="single" w:color="9DB3B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40"/>
            </w:pPr>
            <w:r>
              <w:t xml:space="preserve">No identifica limitaciones o acepta las conclusiones sin cuestionarlas.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8"/>
        <w:szCs w:val="18"/>
      </w:rPr>
      <w:t xml:space="preserve">Pauta docente · Liderazgo directivo · 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4E5F" w:sz="6" w:space="4"/>
      </w:pBdr>
      <w:spacing w:after="120" w:before="280"/>
      <w:outlineLvl w:val="0"/>
    </w:pPr>
    <w:rPr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b/>
      <w:bCs/>
      <w:color w:val="1F4E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2026-10-24T03:14:42.104Z</dcterms:created>
  <dcterms:modified xsi:type="dcterms:W3CDTF">2026-10-24T03:14:42.104Z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