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page" w:horzAnchor="page" w:tblpXSpec="center" w:tblpY="1668"/>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1476"/>
        <w:gridCol w:w="1476"/>
        <w:gridCol w:w="1476"/>
        <w:gridCol w:w="1476"/>
        <w:gridCol w:w="1476"/>
      </w:tblGrid>
      <w:tr w:rsidR="004915B5" w:rsidRPr="003C4B41" w14:paraId="43C8F282" w14:textId="77777777" w:rsidTr="003F2363">
        <w:trPr>
          <w:trHeight w:val="369"/>
          <w:jc w:val="center"/>
        </w:trPr>
        <w:tc>
          <w:tcPr>
            <w:tcW w:w="1476" w:type="dxa"/>
          </w:tcPr>
          <w:p w14:paraId="71F700EB"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全称</w:t>
            </w:r>
          </w:p>
        </w:tc>
        <w:tc>
          <w:tcPr>
            <w:tcW w:w="1476" w:type="dxa"/>
          </w:tcPr>
          <w:p w14:paraId="2BEB3E78"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地理位置</w:t>
            </w:r>
          </w:p>
        </w:tc>
        <w:tc>
          <w:tcPr>
            <w:tcW w:w="1476" w:type="dxa"/>
          </w:tcPr>
          <w:p w14:paraId="7AC8483F"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简介</w:t>
            </w:r>
          </w:p>
        </w:tc>
        <w:tc>
          <w:tcPr>
            <w:tcW w:w="1476" w:type="dxa"/>
          </w:tcPr>
          <w:p w14:paraId="7088A41A" w14:textId="77777777" w:rsidR="004915B5" w:rsidRPr="006F79FD" w:rsidRDefault="00BB360E">
            <w:pPr>
              <w:jc w:val="center"/>
              <w:rPr>
                <w:rFonts w:asciiTheme="minorEastAsia" w:eastAsiaTheme="minorEastAsia" w:hAnsiTheme="minorEastAsia"/>
                <w:sz w:val="12"/>
                <w:szCs w:val="16"/>
              </w:rPr>
            </w:pPr>
            <w:r w:rsidRPr="006F79FD">
              <w:rPr>
                <w:rFonts w:asciiTheme="minorEastAsia" w:eastAsiaTheme="minorEastAsia" w:hAnsiTheme="minorEastAsia" w:hint="eastAsia"/>
                <w:sz w:val="12"/>
                <w:szCs w:val="16"/>
              </w:rPr>
              <w:t>详细介绍</w:t>
            </w:r>
          </w:p>
        </w:tc>
        <w:tc>
          <w:tcPr>
            <w:tcW w:w="1476" w:type="dxa"/>
          </w:tcPr>
          <w:p w14:paraId="450C662B" w14:textId="77777777" w:rsidR="004915B5" w:rsidRPr="003C4B41" w:rsidRDefault="00BB360E">
            <w:pPr>
              <w:jc w:val="center"/>
              <w:rPr>
                <w:rFonts w:asciiTheme="minorEastAsia" w:eastAsiaTheme="minorEastAsia" w:hAnsiTheme="minorEastAsia"/>
                <w:b/>
                <w:bCs/>
                <w:sz w:val="16"/>
                <w:szCs w:val="16"/>
              </w:rPr>
            </w:pPr>
            <w:r w:rsidRPr="003C4B41">
              <w:rPr>
                <w:rFonts w:asciiTheme="minorEastAsia" w:eastAsiaTheme="minorEastAsia" w:hAnsiTheme="minorEastAsia" w:hint="eastAsia"/>
                <w:b/>
                <w:bCs/>
                <w:sz w:val="16"/>
                <w:szCs w:val="16"/>
              </w:rPr>
              <w:t>图片代码</w:t>
            </w:r>
          </w:p>
        </w:tc>
        <w:tc>
          <w:tcPr>
            <w:tcW w:w="1476" w:type="dxa"/>
          </w:tcPr>
          <w:p w14:paraId="07B848AE"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备注</w:t>
            </w:r>
          </w:p>
        </w:tc>
      </w:tr>
      <w:tr w:rsidR="00F17AD6" w:rsidRPr="003C4B41" w14:paraId="6F90520C" w14:textId="77777777" w:rsidTr="003F2363">
        <w:trPr>
          <w:trHeight w:val="369"/>
          <w:jc w:val="center"/>
        </w:trPr>
        <w:tc>
          <w:tcPr>
            <w:tcW w:w="1476" w:type="dxa"/>
          </w:tcPr>
          <w:p w14:paraId="5F7F7A5C" w14:textId="244028C6" w:rsidR="00F17AD6" w:rsidRPr="003C4B41" w:rsidRDefault="007A0063">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东方明珠</w:t>
            </w:r>
          </w:p>
        </w:tc>
        <w:tc>
          <w:tcPr>
            <w:tcW w:w="1476" w:type="dxa"/>
          </w:tcPr>
          <w:p w14:paraId="3885FE2E" w14:textId="1495AFB4" w:rsidR="00F17AD6" w:rsidRPr="003C4B41" w:rsidRDefault="007F2D5E">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上海</w:t>
            </w:r>
          </w:p>
        </w:tc>
        <w:tc>
          <w:tcPr>
            <w:tcW w:w="1476" w:type="dxa"/>
          </w:tcPr>
          <w:p w14:paraId="0774EDA0" w14:textId="77777777" w:rsidR="00F17AD6" w:rsidRPr="003C4B41" w:rsidRDefault="00F17AD6">
            <w:pPr>
              <w:jc w:val="center"/>
              <w:rPr>
                <w:rFonts w:asciiTheme="minorEastAsia" w:eastAsiaTheme="minorEastAsia" w:hAnsiTheme="minorEastAsia"/>
                <w:sz w:val="16"/>
                <w:szCs w:val="16"/>
              </w:rPr>
            </w:pPr>
          </w:p>
        </w:tc>
        <w:tc>
          <w:tcPr>
            <w:tcW w:w="1476" w:type="dxa"/>
          </w:tcPr>
          <w:p w14:paraId="08858B83" w14:textId="77777777" w:rsidR="00E94036" w:rsidRPr="006F79FD" w:rsidRDefault="00E94036" w:rsidP="00E94036">
            <w:pPr>
              <w:autoSpaceDE w:val="0"/>
              <w:autoSpaceDN w:val="0"/>
              <w:adjustRightInd w:val="0"/>
              <w:ind w:firstLine="480"/>
              <w:rPr>
                <w:rFonts w:ascii="Tahoma" w:hAnsi="Tahoma" w:cs="Tahoma"/>
                <w:color w:val="535353"/>
                <w:sz w:val="12"/>
                <w:szCs w:val="16"/>
              </w:rPr>
            </w:pPr>
            <w:r w:rsidRPr="006F79FD">
              <w:rPr>
                <w:rFonts w:ascii="Tahoma" w:hAnsi="Tahoma" w:cs="Tahoma"/>
                <w:color w:val="535353"/>
                <w:sz w:val="12"/>
                <w:szCs w:val="16"/>
              </w:rPr>
              <w:t>东方明珠广播电视塔，又名东方明珠塔，坐落在中国上海浦东新区陆家嘴，毗邻黄浦江，与外滩隔江相望。高</w:t>
            </w:r>
            <w:r w:rsidRPr="006F79FD">
              <w:rPr>
                <w:rFonts w:ascii="Tahoma" w:hAnsi="Tahoma" w:cs="Tahoma"/>
                <w:color w:val="535353"/>
                <w:sz w:val="12"/>
                <w:szCs w:val="16"/>
              </w:rPr>
              <w:t>467.9</w:t>
            </w:r>
            <w:r w:rsidRPr="006F79FD">
              <w:rPr>
                <w:rFonts w:ascii="Tahoma" w:hAnsi="Tahoma" w:cs="Tahoma"/>
                <w:color w:val="535353"/>
                <w:sz w:val="12"/>
                <w:szCs w:val="16"/>
              </w:rPr>
              <w:t>米，亚洲第一，世界第三高塔，是上海的地标之一。</w:t>
            </w:r>
          </w:p>
          <w:p w14:paraId="0645D26C" w14:textId="77777777" w:rsidR="00E94036" w:rsidRPr="006F79FD" w:rsidRDefault="00E94036" w:rsidP="00E94036">
            <w:pPr>
              <w:autoSpaceDE w:val="0"/>
              <w:autoSpaceDN w:val="0"/>
              <w:adjustRightInd w:val="0"/>
              <w:ind w:firstLine="480"/>
              <w:rPr>
                <w:rFonts w:ascii="Tahoma" w:hAnsi="Tahoma" w:cs="Tahoma"/>
                <w:color w:val="535353"/>
                <w:sz w:val="12"/>
                <w:szCs w:val="16"/>
              </w:rPr>
            </w:pPr>
            <w:r w:rsidRPr="006F79FD">
              <w:rPr>
                <w:rFonts w:ascii="Tahoma" w:hAnsi="Tahoma" w:cs="Tahoma"/>
                <w:color w:val="535353"/>
                <w:sz w:val="12"/>
                <w:szCs w:val="16"/>
              </w:rPr>
              <w:t>在电视塔上可以纵览外滩全貌，远处即是上海浦东，脚下流淌着黄浦江。作为上海市的一处有些年头的建筑，东方明珠广播电视塔可谓见证了上海市改革开放发展以来的各种历史兴衰。</w:t>
            </w:r>
          </w:p>
          <w:p w14:paraId="2BCCCE78" w14:textId="3FA63032" w:rsidR="00F17AD6" w:rsidRPr="006F79FD" w:rsidRDefault="00E94036" w:rsidP="00E94036">
            <w:pPr>
              <w:jc w:val="center"/>
              <w:rPr>
                <w:rFonts w:asciiTheme="minorEastAsia" w:eastAsiaTheme="minorEastAsia" w:hAnsiTheme="minorEastAsia"/>
                <w:sz w:val="12"/>
                <w:szCs w:val="16"/>
              </w:rPr>
            </w:pPr>
            <w:r w:rsidRPr="006F79FD">
              <w:rPr>
                <w:rFonts w:ascii="Tahoma" w:hAnsi="Tahoma" w:cs="Tahoma"/>
                <w:color w:val="535353"/>
                <w:sz w:val="12"/>
                <w:szCs w:val="16"/>
              </w:rPr>
              <w:t>东方明珠的旋转餐厅是亚洲最高的旋转餐厅，白天夜晚风情各异，尤其入夜时分，黄浦江两岸的灯光次第亮起，流光溢彩令人沉醉。</w:t>
            </w:r>
          </w:p>
        </w:tc>
        <w:tc>
          <w:tcPr>
            <w:tcW w:w="1476" w:type="dxa"/>
          </w:tcPr>
          <w:p w14:paraId="6B19A609" w14:textId="79F07CC6" w:rsidR="00F17AD6" w:rsidRPr="003C4B41" w:rsidRDefault="00A67C62">
            <w:pPr>
              <w:jc w:val="center"/>
              <w:rPr>
                <w:rFonts w:asciiTheme="minorEastAsia" w:eastAsiaTheme="minorEastAsia" w:hAnsiTheme="minorEastAsia"/>
                <w:b/>
                <w:bCs/>
                <w:sz w:val="16"/>
                <w:szCs w:val="16"/>
              </w:rPr>
            </w:pPr>
            <w:r>
              <w:rPr>
                <w:rFonts w:asciiTheme="minorEastAsia" w:eastAsiaTheme="minorEastAsia" w:hAnsiTheme="minorEastAsia" w:hint="eastAsia"/>
                <w:b/>
                <w:bCs/>
                <w:sz w:val="16"/>
                <w:szCs w:val="16"/>
              </w:rPr>
              <w:t>SH_DFZZ_0,1</w:t>
            </w:r>
          </w:p>
        </w:tc>
        <w:tc>
          <w:tcPr>
            <w:tcW w:w="1476" w:type="dxa"/>
          </w:tcPr>
          <w:p w14:paraId="52039C4F" w14:textId="77777777" w:rsidR="00F17AD6" w:rsidRPr="003C4B41" w:rsidRDefault="00F17AD6">
            <w:pPr>
              <w:jc w:val="center"/>
              <w:rPr>
                <w:rFonts w:asciiTheme="minorEastAsia" w:eastAsiaTheme="minorEastAsia" w:hAnsiTheme="minorEastAsia"/>
                <w:sz w:val="16"/>
                <w:szCs w:val="16"/>
              </w:rPr>
            </w:pPr>
          </w:p>
        </w:tc>
      </w:tr>
      <w:tr w:rsidR="00F17AD6" w:rsidRPr="003C4B41" w14:paraId="40201EDC" w14:textId="77777777" w:rsidTr="003F2363">
        <w:trPr>
          <w:trHeight w:val="369"/>
          <w:jc w:val="center"/>
        </w:trPr>
        <w:tc>
          <w:tcPr>
            <w:tcW w:w="1476" w:type="dxa"/>
          </w:tcPr>
          <w:p w14:paraId="7728EFB5" w14:textId="3FECAF50" w:rsidR="00F17AD6" w:rsidRPr="003C4B41" w:rsidRDefault="00906BC3">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外滩</w:t>
            </w:r>
          </w:p>
        </w:tc>
        <w:tc>
          <w:tcPr>
            <w:tcW w:w="1476" w:type="dxa"/>
          </w:tcPr>
          <w:p w14:paraId="7880EA90" w14:textId="250E25E2" w:rsidR="00F17AD6" w:rsidRPr="006F79FD" w:rsidRDefault="00C20947">
            <w:pPr>
              <w:jc w:val="center"/>
              <w:rPr>
                <w:rFonts w:asciiTheme="minorEastAsia" w:eastAsiaTheme="minorEastAsia" w:hAnsiTheme="minorEastAsia"/>
                <w:sz w:val="18"/>
                <w:szCs w:val="16"/>
              </w:rPr>
            </w:pPr>
            <w:r>
              <w:rPr>
                <w:rFonts w:asciiTheme="minorEastAsia" w:eastAsiaTheme="minorEastAsia" w:hAnsiTheme="minorEastAsia" w:hint="eastAsia"/>
                <w:sz w:val="16"/>
                <w:szCs w:val="16"/>
              </w:rPr>
              <w:t>上海</w:t>
            </w:r>
          </w:p>
        </w:tc>
        <w:tc>
          <w:tcPr>
            <w:tcW w:w="1476" w:type="dxa"/>
          </w:tcPr>
          <w:p w14:paraId="04B3982B" w14:textId="77777777" w:rsidR="00F17AD6" w:rsidRPr="003C4B41" w:rsidRDefault="00F17AD6">
            <w:pPr>
              <w:jc w:val="center"/>
              <w:rPr>
                <w:rFonts w:asciiTheme="minorEastAsia" w:eastAsiaTheme="minorEastAsia" w:hAnsiTheme="minorEastAsia"/>
                <w:sz w:val="16"/>
                <w:szCs w:val="16"/>
              </w:rPr>
            </w:pPr>
          </w:p>
        </w:tc>
        <w:tc>
          <w:tcPr>
            <w:tcW w:w="1476" w:type="dxa"/>
          </w:tcPr>
          <w:p w14:paraId="60B387CB" w14:textId="77777777" w:rsidR="00906BC3"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外滩位于上海市中心区的黄浦江畔，它是上海的风景线。</w:t>
            </w:r>
          </w:p>
          <w:p w14:paraId="626D53F5" w14:textId="77777777" w:rsidR="00906BC3"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上海外滩又名中山东一路，全长约1.5公里。东临黄浦江，西面为哥特式、罗马式、巴洛克式、中西合壁式等52幢风格各异的大楼，被称为“万国建筑博览群”。这些古典主义与现代主义并存的建筑，已成为了上海的象征。</w:t>
            </w:r>
          </w:p>
          <w:p w14:paraId="173AB659" w14:textId="77777777" w:rsidR="00906BC3"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外滩周围还有位于黄浦江对岸浦东的东方明珠、金茂大厦等地标景观，是上海观光的游客必到之地。</w:t>
            </w:r>
          </w:p>
          <w:p w14:paraId="78E154DA" w14:textId="42722DBA" w:rsidR="00F17AD6"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上海外滩的江面、长堤、绿化带及美轮美奂的建筑群所构成的街景，是最具有特征的上海景观。每当华灯初上之时，外滩各栋建筑物上灯光辉煌，令海内外游客赞叹不已。</w:t>
            </w:r>
          </w:p>
        </w:tc>
        <w:tc>
          <w:tcPr>
            <w:tcW w:w="1476" w:type="dxa"/>
          </w:tcPr>
          <w:p w14:paraId="778127FA" w14:textId="71329843" w:rsidR="00F17AD6" w:rsidRPr="003C4B41" w:rsidRDefault="001D58B4">
            <w:pPr>
              <w:jc w:val="center"/>
              <w:rPr>
                <w:rFonts w:asciiTheme="minorEastAsia" w:eastAsiaTheme="minorEastAsia" w:hAnsiTheme="minorEastAsia"/>
                <w:b/>
                <w:bCs/>
                <w:sz w:val="16"/>
                <w:szCs w:val="16"/>
              </w:rPr>
            </w:pPr>
            <w:r>
              <w:rPr>
                <w:rFonts w:asciiTheme="minorEastAsia" w:eastAsiaTheme="minorEastAsia" w:hAnsiTheme="minorEastAsia" w:hint="eastAsia"/>
                <w:b/>
                <w:bCs/>
                <w:sz w:val="16"/>
                <w:szCs w:val="16"/>
              </w:rPr>
              <w:t>SH_WT_0,1</w:t>
            </w:r>
          </w:p>
        </w:tc>
        <w:tc>
          <w:tcPr>
            <w:tcW w:w="1476" w:type="dxa"/>
          </w:tcPr>
          <w:p w14:paraId="30E79A88" w14:textId="77777777" w:rsidR="00F17AD6" w:rsidRPr="003C4B41" w:rsidRDefault="00F17AD6">
            <w:pPr>
              <w:jc w:val="center"/>
              <w:rPr>
                <w:rFonts w:asciiTheme="minorEastAsia" w:eastAsiaTheme="minorEastAsia" w:hAnsiTheme="minorEastAsia"/>
                <w:sz w:val="16"/>
                <w:szCs w:val="16"/>
              </w:rPr>
            </w:pPr>
          </w:p>
        </w:tc>
      </w:tr>
      <w:tr w:rsidR="00562A88" w:rsidRPr="003C4B41" w14:paraId="11B3C977" w14:textId="77777777" w:rsidTr="008B361F">
        <w:trPr>
          <w:trHeight w:val="369"/>
          <w:jc w:val="center"/>
        </w:trPr>
        <w:tc>
          <w:tcPr>
            <w:tcW w:w="1476" w:type="dxa"/>
          </w:tcPr>
          <w:p w14:paraId="0343BDEC" w14:textId="1D94F727" w:rsidR="00562A88" w:rsidRPr="00562A88" w:rsidRDefault="00CE521A" w:rsidP="00906BC3">
            <w:pPr>
              <w:rPr>
                <w:rFonts w:ascii="宋体" w:hAnsi="宋体"/>
                <w:sz w:val="16"/>
                <w:szCs w:val="16"/>
              </w:rPr>
            </w:pPr>
            <w:r>
              <w:rPr>
                <w:rFonts w:ascii="宋体" w:hAnsi="宋体" w:hint="eastAsia"/>
                <w:sz w:val="16"/>
                <w:szCs w:val="16"/>
              </w:rPr>
              <w:t>中国馆</w:t>
            </w:r>
          </w:p>
        </w:tc>
        <w:tc>
          <w:tcPr>
            <w:tcW w:w="1476" w:type="dxa"/>
          </w:tcPr>
          <w:p w14:paraId="58D9B93C" w14:textId="76DA56C0" w:rsidR="00562A88" w:rsidRPr="00562A88" w:rsidRDefault="00CE521A" w:rsidP="008B361F">
            <w:pPr>
              <w:jc w:val="center"/>
              <w:rPr>
                <w:rFonts w:ascii="宋体" w:hAnsi="宋体"/>
                <w:sz w:val="16"/>
                <w:szCs w:val="16"/>
              </w:rPr>
            </w:pPr>
            <w:r>
              <w:rPr>
                <w:rFonts w:ascii="宋体" w:hAnsi="宋体" w:hint="eastAsia"/>
                <w:sz w:val="16"/>
                <w:szCs w:val="16"/>
              </w:rPr>
              <w:t>上海</w:t>
            </w:r>
          </w:p>
        </w:tc>
        <w:tc>
          <w:tcPr>
            <w:tcW w:w="1476" w:type="dxa"/>
          </w:tcPr>
          <w:p w14:paraId="33A41CF9" w14:textId="77777777" w:rsidR="00562A88" w:rsidRPr="00562A88" w:rsidRDefault="00562A88" w:rsidP="008B361F">
            <w:pPr>
              <w:jc w:val="center"/>
              <w:rPr>
                <w:rFonts w:ascii="宋体" w:hAnsi="宋体"/>
                <w:sz w:val="16"/>
                <w:szCs w:val="16"/>
              </w:rPr>
            </w:pPr>
          </w:p>
        </w:tc>
        <w:tc>
          <w:tcPr>
            <w:tcW w:w="1476" w:type="dxa"/>
          </w:tcPr>
          <w:p w14:paraId="39F855B3" w14:textId="188579AA" w:rsidR="00562A88" w:rsidRPr="006F79FD" w:rsidRDefault="00356143" w:rsidP="008B361F">
            <w:pPr>
              <w:jc w:val="center"/>
              <w:rPr>
                <w:rFonts w:ascii="宋体" w:hAnsi="宋体"/>
                <w:sz w:val="12"/>
                <w:szCs w:val="16"/>
              </w:rPr>
            </w:pPr>
            <w:r w:rsidRPr="006F79FD">
              <w:rPr>
                <w:rFonts w:ascii="Arial" w:hAnsi="Arial" w:cs="Arial"/>
                <w:color w:val="262626"/>
                <w:sz w:val="12"/>
                <w:szCs w:val="16"/>
              </w:rPr>
              <w:t>2010</w:t>
            </w:r>
            <w:r w:rsidRPr="006F79FD">
              <w:rPr>
                <w:rFonts w:ascii="Arial" w:hAnsi="Arial" w:cs="Arial"/>
                <w:color w:val="262626"/>
                <w:sz w:val="12"/>
                <w:szCs w:val="16"/>
              </w:rPr>
              <w:t>年上海</w:t>
            </w:r>
            <w:hyperlink r:id="rId6" w:history="1">
              <w:r w:rsidRPr="006F79FD">
                <w:rPr>
                  <w:rFonts w:ascii="Arial" w:hAnsi="Arial" w:cs="Arial"/>
                  <w:color w:val="1357B5"/>
                  <w:sz w:val="12"/>
                  <w:szCs w:val="16"/>
                </w:rPr>
                <w:t>世博会</w:t>
              </w:r>
            </w:hyperlink>
            <w:r w:rsidRPr="006F79FD">
              <w:rPr>
                <w:rFonts w:ascii="Arial" w:hAnsi="Arial" w:cs="Arial"/>
                <w:color w:val="262626"/>
                <w:sz w:val="12"/>
                <w:szCs w:val="16"/>
              </w:rPr>
              <w:t>中国国家馆，以城市发展中的中华智慧为主题，表现出了</w:t>
            </w:r>
            <w:r w:rsidRPr="006F79FD">
              <w:rPr>
                <w:rFonts w:ascii="Arial" w:hAnsi="Arial" w:cs="Arial"/>
                <w:color w:val="262626"/>
                <w:sz w:val="12"/>
                <w:szCs w:val="16"/>
              </w:rPr>
              <w:t>“</w:t>
            </w:r>
            <w:r w:rsidRPr="006F79FD">
              <w:rPr>
                <w:rFonts w:ascii="Arial" w:hAnsi="Arial" w:cs="Arial"/>
                <w:color w:val="262626"/>
                <w:sz w:val="12"/>
                <w:szCs w:val="16"/>
              </w:rPr>
              <w:t>东方之冠，鼎盛中华，天下粮仓，富庶百姓</w:t>
            </w:r>
            <w:r w:rsidRPr="006F79FD">
              <w:rPr>
                <w:rFonts w:ascii="Arial" w:hAnsi="Arial" w:cs="Arial"/>
                <w:color w:val="262626"/>
                <w:sz w:val="12"/>
                <w:szCs w:val="16"/>
              </w:rPr>
              <w:t>”</w:t>
            </w:r>
            <w:r w:rsidRPr="006F79FD">
              <w:rPr>
                <w:rFonts w:ascii="Arial" w:hAnsi="Arial" w:cs="Arial"/>
                <w:color w:val="262626"/>
                <w:sz w:val="12"/>
                <w:szCs w:val="16"/>
              </w:rPr>
              <w:t>的中国文化精神与气质。</w:t>
            </w:r>
            <w:r w:rsidRPr="006F79FD">
              <w:rPr>
                <w:rFonts w:ascii="Arial" w:hAnsi="Arial" w:cs="Arial"/>
                <w:color w:val="262626"/>
                <w:sz w:val="12"/>
                <w:szCs w:val="16"/>
              </w:rPr>
              <w:t xml:space="preserve"> </w:t>
            </w:r>
            <w:r w:rsidRPr="006F79FD">
              <w:rPr>
                <w:rFonts w:ascii="Arial" w:hAnsi="Arial" w:cs="Arial"/>
                <w:color w:val="262626"/>
                <w:sz w:val="12"/>
                <w:szCs w:val="16"/>
              </w:rPr>
              <w:t>展馆的展示以</w:t>
            </w:r>
            <w:r w:rsidRPr="006F79FD">
              <w:rPr>
                <w:rFonts w:ascii="Arial" w:hAnsi="Arial" w:cs="Arial"/>
                <w:color w:val="262626"/>
                <w:sz w:val="12"/>
                <w:szCs w:val="16"/>
              </w:rPr>
              <w:t>“</w:t>
            </w:r>
            <w:hyperlink r:id="rId7" w:history="1">
              <w:r w:rsidRPr="006F79FD">
                <w:rPr>
                  <w:rFonts w:ascii="Arial" w:hAnsi="Arial" w:cs="Arial"/>
                  <w:color w:val="1357B5"/>
                  <w:sz w:val="12"/>
                  <w:szCs w:val="16"/>
                </w:rPr>
                <w:t>寻觅</w:t>
              </w:r>
            </w:hyperlink>
            <w:r w:rsidRPr="006F79FD">
              <w:rPr>
                <w:rFonts w:ascii="Arial" w:hAnsi="Arial" w:cs="Arial"/>
                <w:color w:val="262626"/>
                <w:sz w:val="12"/>
                <w:szCs w:val="16"/>
              </w:rPr>
              <w:t>”</w:t>
            </w:r>
            <w:r w:rsidRPr="006F79FD">
              <w:rPr>
                <w:rFonts w:ascii="Arial" w:hAnsi="Arial" w:cs="Arial"/>
                <w:color w:val="262626"/>
                <w:sz w:val="12"/>
                <w:szCs w:val="16"/>
              </w:rPr>
              <w:t>为主线，带领参观者行走在</w:t>
            </w:r>
            <w:r w:rsidRPr="006F79FD">
              <w:rPr>
                <w:rFonts w:ascii="Arial" w:hAnsi="Arial" w:cs="Arial"/>
                <w:color w:val="262626"/>
                <w:sz w:val="12"/>
                <w:szCs w:val="16"/>
              </w:rPr>
              <w:t>“</w:t>
            </w:r>
            <w:r w:rsidRPr="006F79FD">
              <w:rPr>
                <w:rFonts w:ascii="Arial" w:hAnsi="Arial" w:cs="Arial"/>
                <w:color w:val="262626"/>
                <w:sz w:val="12"/>
                <w:szCs w:val="16"/>
              </w:rPr>
              <w:t>东方足迹</w:t>
            </w:r>
            <w:r w:rsidRPr="006F79FD">
              <w:rPr>
                <w:rFonts w:ascii="Arial" w:hAnsi="Arial" w:cs="Arial"/>
                <w:color w:val="262626"/>
                <w:sz w:val="12"/>
                <w:szCs w:val="16"/>
              </w:rPr>
              <w:t>”</w:t>
            </w:r>
            <w:r w:rsidRPr="006F79FD">
              <w:rPr>
                <w:rFonts w:ascii="Arial" w:hAnsi="Arial" w:cs="Arial"/>
                <w:color w:val="262626"/>
                <w:sz w:val="12"/>
                <w:szCs w:val="16"/>
              </w:rPr>
              <w:t>、</w:t>
            </w:r>
            <w:r w:rsidRPr="006F79FD">
              <w:rPr>
                <w:rFonts w:ascii="Arial" w:hAnsi="Arial" w:cs="Arial"/>
                <w:color w:val="262626"/>
                <w:sz w:val="12"/>
                <w:szCs w:val="16"/>
              </w:rPr>
              <w:t>“</w:t>
            </w:r>
            <w:r w:rsidRPr="006F79FD">
              <w:rPr>
                <w:rFonts w:ascii="Arial" w:hAnsi="Arial" w:cs="Arial"/>
                <w:color w:val="262626"/>
                <w:sz w:val="12"/>
                <w:szCs w:val="16"/>
              </w:rPr>
              <w:t>寻觅之旅</w:t>
            </w:r>
            <w:r w:rsidRPr="006F79FD">
              <w:rPr>
                <w:rFonts w:ascii="Arial" w:hAnsi="Arial" w:cs="Arial"/>
                <w:color w:val="262626"/>
                <w:sz w:val="12"/>
                <w:szCs w:val="16"/>
              </w:rPr>
              <w:t>”</w:t>
            </w:r>
            <w:r w:rsidRPr="006F79FD">
              <w:rPr>
                <w:rFonts w:ascii="Arial" w:hAnsi="Arial" w:cs="Arial"/>
                <w:color w:val="262626"/>
                <w:sz w:val="12"/>
                <w:szCs w:val="16"/>
              </w:rPr>
              <w:t>、</w:t>
            </w:r>
            <w:r w:rsidRPr="006F79FD">
              <w:rPr>
                <w:rFonts w:ascii="Arial" w:hAnsi="Arial" w:cs="Arial"/>
                <w:color w:val="262626"/>
                <w:sz w:val="12"/>
                <w:szCs w:val="16"/>
              </w:rPr>
              <w:t>“</w:t>
            </w:r>
            <w:hyperlink r:id="rId8" w:history="1">
              <w:r w:rsidRPr="006F79FD">
                <w:rPr>
                  <w:rFonts w:ascii="Arial" w:hAnsi="Arial" w:cs="Arial"/>
                  <w:color w:val="1357B5"/>
                  <w:sz w:val="12"/>
                  <w:szCs w:val="16"/>
                </w:rPr>
                <w:t>低碳行动</w:t>
              </w:r>
            </w:hyperlink>
            <w:r w:rsidRPr="006F79FD">
              <w:rPr>
                <w:rFonts w:ascii="Arial" w:hAnsi="Arial" w:cs="Arial"/>
                <w:color w:val="262626"/>
                <w:sz w:val="12"/>
                <w:szCs w:val="16"/>
              </w:rPr>
              <w:t>”</w:t>
            </w:r>
            <w:r w:rsidRPr="006F79FD">
              <w:rPr>
                <w:rFonts w:ascii="Arial" w:hAnsi="Arial" w:cs="Arial"/>
                <w:color w:val="262626"/>
                <w:sz w:val="12"/>
                <w:szCs w:val="16"/>
              </w:rPr>
              <w:t>三个展区，在</w:t>
            </w:r>
            <w:r w:rsidRPr="006F79FD">
              <w:rPr>
                <w:rFonts w:ascii="Arial" w:hAnsi="Arial" w:cs="Arial"/>
                <w:color w:val="262626"/>
                <w:sz w:val="12"/>
                <w:szCs w:val="16"/>
              </w:rPr>
              <w:t>“</w:t>
            </w:r>
            <w:r w:rsidRPr="006F79FD">
              <w:rPr>
                <w:rFonts w:ascii="Arial" w:hAnsi="Arial" w:cs="Arial"/>
                <w:color w:val="262626"/>
                <w:sz w:val="12"/>
                <w:szCs w:val="16"/>
              </w:rPr>
              <w:t>寻觅</w:t>
            </w:r>
            <w:r w:rsidRPr="006F79FD">
              <w:rPr>
                <w:rFonts w:ascii="Arial" w:hAnsi="Arial" w:cs="Arial"/>
                <w:color w:val="262626"/>
                <w:sz w:val="12"/>
                <w:szCs w:val="16"/>
              </w:rPr>
              <w:t>”</w:t>
            </w:r>
            <w:r w:rsidRPr="006F79FD">
              <w:rPr>
                <w:rFonts w:ascii="Arial" w:hAnsi="Arial" w:cs="Arial"/>
                <w:color w:val="262626"/>
                <w:sz w:val="12"/>
                <w:szCs w:val="16"/>
              </w:rPr>
              <w:t>中发现并感悟城市发展中的中华智慧。</w:t>
            </w:r>
          </w:p>
        </w:tc>
        <w:tc>
          <w:tcPr>
            <w:tcW w:w="1476" w:type="dxa"/>
          </w:tcPr>
          <w:p w14:paraId="06FC7452" w14:textId="24D32526" w:rsidR="00562A88" w:rsidRPr="00562A88" w:rsidRDefault="00B9196F" w:rsidP="008B361F">
            <w:pPr>
              <w:jc w:val="center"/>
              <w:rPr>
                <w:rFonts w:ascii="宋体" w:hAnsi="宋体"/>
                <w:b/>
                <w:bCs/>
                <w:sz w:val="16"/>
                <w:szCs w:val="16"/>
              </w:rPr>
            </w:pPr>
            <w:r>
              <w:rPr>
                <w:rFonts w:ascii="宋体" w:hAnsi="宋体" w:hint="eastAsia"/>
                <w:b/>
                <w:bCs/>
                <w:sz w:val="16"/>
                <w:szCs w:val="16"/>
              </w:rPr>
              <w:t>SH_</w:t>
            </w:r>
            <w:r w:rsidR="009402D4">
              <w:rPr>
                <w:rFonts w:ascii="宋体" w:hAnsi="宋体" w:hint="eastAsia"/>
                <w:b/>
                <w:bCs/>
                <w:sz w:val="16"/>
                <w:szCs w:val="16"/>
              </w:rPr>
              <w:t>SBHZGG</w:t>
            </w:r>
            <w:r>
              <w:rPr>
                <w:rFonts w:ascii="宋体" w:hAnsi="宋体" w:hint="eastAsia"/>
                <w:b/>
                <w:bCs/>
                <w:sz w:val="16"/>
                <w:szCs w:val="16"/>
              </w:rPr>
              <w:t>_0,1</w:t>
            </w:r>
          </w:p>
        </w:tc>
        <w:tc>
          <w:tcPr>
            <w:tcW w:w="1476" w:type="dxa"/>
          </w:tcPr>
          <w:p w14:paraId="1E071B6C" w14:textId="77777777" w:rsidR="00562A88" w:rsidRPr="00562A88" w:rsidRDefault="00562A88" w:rsidP="008B361F">
            <w:pPr>
              <w:jc w:val="center"/>
              <w:rPr>
                <w:rFonts w:ascii="宋体" w:hAnsi="宋体"/>
                <w:sz w:val="16"/>
                <w:szCs w:val="16"/>
              </w:rPr>
            </w:pPr>
          </w:p>
        </w:tc>
      </w:tr>
      <w:tr w:rsidR="00CE521A" w:rsidRPr="003C4B41" w14:paraId="02E8009E" w14:textId="77777777" w:rsidTr="008B361F">
        <w:trPr>
          <w:trHeight w:val="369"/>
          <w:jc w:val="center"/>
        </w:trPr>
        <w:tc>
          <w:tcPr>
            <w:tcW w:w="1476" w:type="dxa"/>
          </w:tcPr>
          <w:p w14:paraId="721E0C59" w14:textId="1FA3B228" w:rsidR="00CE521A" w:rsidRPr="00562A88" w:rsidRDefault="00883A52" w:rsidP="00906BC3">
            <w:pPr>
              <w:rPr>
                <w:rFonts w:ascii="宋体" w:hAnsi="宋体"/>
                <w:sz w:val="16"/>
                <w:szCs w:val="16"/>
              </w:rPr>
            </w:pPr>
            <w:r>
              <w:rPr>
                <w:rFonts w:ascii="宋体" w:hAnsi="宋体" w:hint="eastAsia"/>
                <w:sz w:val="16"/>
                <w:szCs w:val="16"/>
              </w:rPr>
              <w:t>金茂大厦</w:t>
            </w:r>
          </w:p>
        </w:tc>
        <w:tc>
          <w:tcPr>
            <w:tcW w:w="1476" w:type="dxa"/>
          </w:tcPr>
          <w:p w14:paraId="05CC9CE2" w14:textId="58D5B0DD" w:rsidR="00CE521A" w:rsidRPr="00562A88" w:rsidRDefault="00C277C6" w:rsidP="008B361F">
            <w:pPr>
              <w:jc w:val="center"/>
              <w:rPr>
                <w:rFonts w:ascii="宋体" w:hAnsi="宋体"/>
                <w:sz w:val="16"/>
                <w:szCs w:val="16"/>
              </w:rPr>
            </w:pPr>
            <w:r>
              <w:rPr>
                <w:rFonts w:ascii="宋体" w:hAnsi="宋体" w:hint="eastAsia"/>
                <w:sz w:val="16"/>
                <w:szCs w:val="16"/>
              </w:rPr>
              <w:t>上海</w:t>
            </w:r>
          </w:p>
        </w:tc>
        <w:tc>
          <w:tcPr>
            <w:tcW w:w="1476" w:type="dxa"/>
          </w:tcPr>
          <w:p w14:paraId="15AB48F8" w14:textId="77777777" w:rsidR="00CE521A" w:rsidRPr="00562A88" w:rsidRDefault="00CE521A" w:rsidP="008B361F">
            <w:pPr>
              <w:jc w:val="center"/>
              <w:rPr>
                <w:rFonts w:ascii="宋体" w:hAnsi="宋体"/>
                <w:sz w:val="16"/>
                <w:szCs w:val="16"/>
              </w:rPr>
            </w:pPr>
          </w:p>
        </w:tc>
        <w:tc>
          <w:tcPr>
            <w:tcW w:w="1476" w:type="dxa"/>
          </w:tcPr>
          <w:p w14:paraId="0D8B783D" w14:textId="77777777" w:rsidR="0043432F" w:rsidRPr="0043432F" w:rsidRDefault="0043432F" w:rsidP="0043432F">
            <w:pPr>
              <w:jc w:val="center"/>
              <w:rPr>
                <w:rFonts w:ascii="宋体" w:hAnsi="宋体"/>
                <w:sz w:val="12"/>
                <w:szCs w:val="16"/>
              </w:rPr>
            </w:pPr>
            <w:r w:rsidRPr="0043432F">
              <w:rPr>
                <w:rFonts w:ascii="宋体" w:hAnsi="宋体"/>
                <w:sz w:val="12"/>
                <w:szCs w:val="16"/>
              </w:rPr>
              <w:t>金茂大厦位于上海浦东新区陆家嘴金融贸易区黄金地段，与著名的外滩风景区隔江相望，共88层，高420.5米，是目前世界第四、中国第三高楼，堪称上海的一座标志性建筑。</w:t>
            </w:r>
          </w:p>
          <w:p w14:paraId="3A907FBF" w14:textId="77777777" w:rsidR="0043432F" w:rsidRPr="0043432F" w:rsidRDefault="0043432F" w:rsidP="0043432F">
            <w:pPr>
              <w:jc w:val="center"/>
              <w:rPr>
                <w:rFonts w:ascii="宋体" w:hAnsi="宋体"/>
                <w:sz w:val="12"/>
                <w:szCs w:val="16"/>
              </w:rPr>
            </w:pPr>
            <w:r w:rsidRPr="0043432F">
              <w:rPr>
                <w:rFonts w:ascii="宋体" w:hAnsi="宋体"/>
                <w:sz w:val="12"/>
                <w:szCs w:val="16"/>
              </w:rPr>
              <w:t>金茂大厦第88层观光厅，高度为340.1米，面积为1520平方米，是目前国内最高、最大的观光厅，被记录入上海大世界吉尼斯纪录。厅内玻璃幕墙视野开阔，凭栏远眺，黄浦江两岸的都市风光以及长江口的壮丽景色尽收眼底。</w:t>
            </w:r>
          </w:p>
          <w:p w14:paraId="671B14C7" w14:textId="54819615" w:rsidR="00CE521A" w:rsidRPr="006F79FD" w:rsidRDefault="0043432F" w:rsidP="0043432F">
            <w:pPr>
              <w:jc w:val="center"/>
              <w:rPr>
                <w:rFonts w:ascii="宋体" w:hAnsi="宋体"/>
                <w:sz w:val="12"/>
                <w:szCs w:val="16"/>
              </w:rPr>
            </w:pPr>
            <w:r w:rsidRPr="0043432F">
              <w:rPr>
                <w:rFonts w:ascii="宋体" w:hAnsi="宋体"/>
                <w:sz w:val="12"/>
                <w:szCs w:val="16"/>
              </w:rPr>
              <w:t>另外，金茂大厦两台每秒运行9.1米的直达电梯堪称为“时光穿梭机”，</w:t>
            </w:r>
            <w:r w:rsidRPr="0043432F">
              <w:rPr>
                <w:rFonts w:ascii="宋体" w:hAnsi="宋体"/>
                <w:sz w:val="12"/>
                <w:szCs w:val="16"/>
              </w:rPr>
              <w:lastRenderedPageBreak/>
              <w:t>是直升机爬升速度2倍，只需45秒就可以将游客从地下一层送到88层观光厅。</w:t>
            </w:r>
          </w:p>
        </w:tc>
        <w:tc>
          <w:tcPr>
            <w:tcW w:w="1476" w:type="dxa"/>
          </w:tcPr>
          <w:p w14:paraId="14F90976" w14:textId="0DEABC92" w:rsidR="00CE521A" w:rsidRPr="00562A88" w:rsidRDefault="00B6445B" w:rsidP="008B361F">
            <w:pPr>
              <w:jc w:val="center"/>
              <w:rPr>
                <w:rFonts w:ascii="宋体" w:hAnsi="宋体"/>
                <w:b/>
                <w:bCs/>
                <w:sz w:val="16"/>
                <w:szCs w:val="16"/>
              </w:rPr>
            </w:pPr>
            <w:r>
              <w:rPr>
                <w:rFonts w:ascii="宋体" w:hAnsi="宋体" w:hint="eastAsia"/>
                <w:b/>
                <w:bCs/>
                <w:sz w:val="16"/>
                <w:szCs w:val="16"/>
              </w:rPr>
              <w:lastRenderedPageBreak/>
              <w:t>SH_JMDS_0,1</w:t>
            </w:r>
            <w:r w:rsidR="00000C42">
              <w:rPr>
                <w:rFonts w:ascii="宋体" w:hAnsi="宋体" w:hint="eastAsia"/>
                <w:b/>
                <w:bCs/>
                <w:sz w:val="16"/>
                <w:szCs w:val="16"/>
              </w:rPr>
              <w:t>,2</w:t>
            </w:r>
          </w:p>
        </w:tc>
        <w:tc>
          <w:tcPr>
            <w:tcW w:w="1476" w:type="dxa"/>
          </w:tcPr>
          <w:p w14:paraId="30ECAE50" w14:textId="77777777" w:rsidR="00CE521A" w:rsidRPr="00562A88" w:rsidRDefault="00CE521A" w:rsidP="008B361F">
            <w:pPr>
              <w:jc w:val="center"/>
              <w:rPr>
                <w:rFonts w:ascii="宋体" w:hAnsi="宋体"/>
                <w:sz w:val="16"/>
                <w:szCs w:val="16"/>
              </w:rPr>
            </w:pPr>
          </w:p>
        </w:tc>
      </w:tr>
      <w:tr w:rsidR="00CE521A" w:rsidRPr="003C4B41" w14:paraId="05985474" w14:textId="77777777" w:rsidTr="008B361F">
        <w:trPr>
          <w:trHeight w:val="369"/>
          <w:jc w:val="center"/>
        </w:trPr>
        <w:tc>
          <w:tcPr>
            <w:tcW w:w="1476" w:type="dxa"/>
          </w:tcPr>
          <w:p w14:paraId="196C60CD" w14:textId="70090182" w:rsidR="00CE521A" w:rsidRPr="00562A88" w:rsidRDefault="00EF4C4C" w:rsidP="00906BC3">
            <w:pPr>
              <w:rPr>
                <w:rFonts w:ascii="宋体" w:hAnsi="宋体" w:hint="eastAsia"/>
                <w:sz w:val="16"/>
                <w:szCs w:val="16"/>
              </w:rPr>
            </w:pPr>
            <w:r>
              <w:rPr>
                <w:rFonts w:ascii="宋体" w:hAnsi="宋体" w:hint="eastAsia"/>
                <w:sz w:val="16"/>
                <w:szCs w:val="16"/>
              </w:rPr>
              <w:lastRenderedPageBreak/>
              <w:t>环球金融中心</w:t>
            </w:r>
          </w:p>
        </w:tc>
        <w:tc>
          <w:tcPr>
            <w:tcW w:w="1476" w:type="dxa"/>
          </w:tcPr>
          <w:p w14:paraId="6DCA632D" w14:textId="6922A0A4" w:rsidR="00CE521A" w:rsidRPr="00562A88" w:rsidRDefault="00056235" w:rsidP="008B361F">
            <w:pPr>
              <w:jc w:val="center"/>
              <w:rPr>
                <w:rFonts w:ascii="宋体" w:hAnsi="宋体" w:hint="eastAsia"/>
                <w:sz w:val="16"/>
                <w:szCs w:val="16"/>
              </w:rPr>
            </w:pPr>
            <w:r>
              <w:rPr>
                <w:rFonts w:ascii="宋体" w:hAnsi="宋体" w:hint="eastAsia"/>
                <w:sz w:val="16"/>
                <w:szCs w:val="16"/>
              </w:rPr>
              <w:t>上海</w:t>
            </w:r>
          </w:p>
        </w:tc>
        <w:tc>
          <w:tcPr>
            <w:tcW w:w="1476" w:type="dxa"/>
          </w:tcPr>
          <w:p w14:paraId="084BA9DD" w14:textId="77777777" w:rsidR="00CE521A" w:rsidRPr="00562A88" w:rsidRDefault="00CE521A" w:rsidP="008B361F">
            <w:pPr>
              <w:jc w:val="center"/>
              <w:rPr>
                <w:rFonts w:ascii="宋体" w:hAnsi="宋体"/>
                <w:sz w:val="16"/>
                <w:szCs w:val="16"/>
              </w:rPr>
            </w:pPr>
          </w:p>
        </w:tc>
        <w:tc>
          <w:tcPr>
            <w:tcW w:w="1476" w:type="dxa"/>
          </w:tcPr>
          <w:p w14:paraId="30883A5F" w14:textId="77777777" w:rsidR="00151727" w:rsidRPr="00151727" w:rsidRDefault="00151727" w:rsidP="00151727">
            <w:pPr>
              <w:jc w:val="center"/>
              <w:rPr>
                <w:rFonts w:ascii="宋体" w:hAnsi="宋体"/>
                <w:sz w:val="12"/>
                <w:szCs w:val="16"/>
              </w:rPr>
            </w:pPr>
            <w:r w:rsidRPr="00151727">
              <w:rPr>
                <w:rFonts w:ascii="宋体" w:hAnsi="宋体"/>
                <w:sz w:val="12"/>
                <w:szCs w:val="16"/>
              </w:rPr>
              <w:t>上海环球金融中心是位于中国上海陆家嘴的一栋摩天大楼，是一幢以办公为主，集商贸、宾馆、观光、会议等设施于一体的综合型大厦，是中国目前第一高楼、世界第三高楼，楼高492米。</w:t>
            </w:r>
          </w:p>
          <w:p w14:paraId="59C04825" w14:textId="75342B0C" w:rsidR="00CE521A" w:rsidRPr="006F79FD" w:rsidRDefault="00151727" w:rsidP="00151727">
            <w:pPr>
              <w:jc w:val="center"/>
              <w:rPr>
                <w:rFonts w:ascii="宋体" w:hAnsi="宋体"/>
                <w:sz w:val="12"/>
                <w:szCs w:val="16"/>
              </w:rPr>
            </w:pPr>
            <w:r w:rsidRPr="00151727">
              <w:rPr>
                <w:rFonts w:ascii="宋体" w:hAnsi="宋体"/>
                <w:sz w:val="12"/>
                <w:szCs w:val="16"/>
              </w:rPr>
              <w:t>上海环球金融中心共100层，其中94-100层都为观光层。其中倒梯形底部为97层观光天桥，而倒梯形顶部为100层则设置了长约55米的贵宾观光天阁，高474米的观光天阁将是世界上最高的观景平台，将超过目前被称为“世界最高观光厅”的加拿大CN电视塔（高度为447米），让贵宾在宽阔的观光空间感受上海的城市魅力。</w:t>
            </w:r>
          </w:p>
        </w:tc>
        <w:tc>
          <w:tcPr>
            <w:tcW w:w="1476" w:type="dxa"/>
          </w:tcPr>
          <w:p w14:paraId="409C8A82" w14:textId="0074602B" w:rsidR="00CE521A" w:rsidRPr="00562A88" w:rsidRDefault="00AA12E4" w:rsidP="008B361F">
            <w:pPr>
              <w:jc w:val="center"/>
              <w:rPr>
                <w:rFonts w:ascii="宋体" w:hAnsi="宋体" w:hint="eastAsia"/>
                <w:b/>
                <w:bCs/>
                <w:sz w:val="16"/>
                <w:szCs w:val="16"/>
              </w:rPr>
            </w:pPr>
            <w:r>
              <w:rPr>
                <w:rFonts w:ascii="宋体" w:hAnsi="宋体" w:hint="eastAsia"/>
                <w:b/>
                <w:bCs/>
                <w:sz w:val="16"/>
                <w:szCs w:val="16"/>
              </w:rPr>
              <w:t>SH_HQJRZX_0,1</w:t>
            </w:r>
            <w:r w:rsidR="00373878">
              <w:rPr>
                <w:rFonts w:ascii="宋体" w:hAnsi="宋体" w:hint="eastAsia"/>
                <w:b/>
                <w:bCs/>
                <w:sz w:val="16"/>
                <w:szCs w:val="16"/>
              </w:rPr>
              <w:t>,2</w:t>
            </w:r>
            <w:bookmarkStart w:id="0" w:name="_GoBack"/>
            <w:bookmarkEnd w:id="0"/>
          </w:p>
        </w:tc>
        <w:tc>
          <w:tcPr>
            <w:tcW w:w="1476" w:type="dxa"/>
          </w:tcPr>
          <w:p w14:paraId="507A799D" w14:textId="77777777" w:rsidR="00CE521A" w:rsidRPr="00562A88" w:rsidRDefault="00CE521A" w:rsidP="008B361F">
            <w:pPr>
              <w:jc w:val="center"/>
              <w:rPr>
                <w:rFonts w:ascii="宋体" w:hAnsi="宋体"/>
                <w:sz w:val="16"/>
                <w:szCs w:val="16"/>
              </w:rPr>
            </w:pPr>
          </w:p>
        </w:tc>
      </w:tr>
      <w:tr w:rsidR="00CE521A" w:rsidRPr="003C4B41" w14:paraId="01583D57" w14:textId="77777777" w:rsidTr="008B361F">
        <w:trPr>
          <w:trHeight w:val="369"/>
          <w:jc w:val="center"/>
        </w:trPr>
        <w:tc>
          <w:tcPr>
            <w:tcW w:w="1476" w:type="dxa"/>
          </w:tcPr>
          <w:p w14:paraId="3FECA681" w14:textId="77777777" w:rsidR="00CE521A" w:rsidRPr="00562A88" w:rsidRDefault="00CE521A" w:rsidP="00906BC3">
            <w:pPr>
              <w:rPr>
                <w:rFonts w:ascii="宋体" w:hAnsi="宋体"/>
                <w:sz w:val="16"/>
                <w:szCs w:val="16"/>
              </w:rPr>
            </w:pPr>
          </w:p>
        </w:tc>
        <w:tc>
          <w:tcPr>
            <w:tcW w:w="1476" w:type="dxa"/>
          </w:tcPr>
          <w:p w14:paraId="74BC7DD3" w14:textId="77777777" w:rsidR="00CE521A" w:rsidRPr="00562A88" w:rsidRDefault="00CE521A" w:rsidP="008B361F">
            <w:pPr>
              <w:jc w:val="center"/>
              <w:rPr>
                <w:rFonts w:ascii="宋体" w:hAnsi="宋体"/>
                <w:sz w:val="16"/>
                <w:szCs w:val="16"/>
              </w:rPr>
            </w:pPr>
          </w:p>
        </w:tc>
        <w:tc>
          <w:tcPr>
            <w:tcW w:w="1476" w:type="dxa"/>
          </w:tcPr>
          <w:p w14:paraId="7E33F51E" w14:textId="77777777" w:rsidR="00CE521A" w:rsidRPr="00562A88" w:rsidRDefault="00CE521A" w:rsidP="008B361F">
            <w:pPr>
              <w:jc w:val="center"/>
              <w:rPr>
                <w:rFonts w:ascii="宋体" w:hAnsi="宋体"/>
                <w:sz w:val="16"/>
                <w:szCs w:val="16"/>
              </w:rPr>
            </w:pPr>
          </w:p>
        </w:tc>
        <w:tc>
          <w:tcPr>
            <w:tcW w:w="1476" w:type="dxa"/>
          </w:tcPr>
          <w:p w14:paraId="2A4F8EA3" w14:textId="77777777" w:rsidR="00CE521A" w:rsidRPr="006F79FD" w:rsidRDefault="00CE521A" w:rsidP="008B361F">
            <w:pPr>
              <w:jc w:val="center"/>
              <w:rPr>
                <w:rFonts w:ascii="宋体" w:hAnsi="宋体"/>
                <w:sz w:val="12"/>
                <w:szCs w:val="16"/>
              </w:rPr>
            </w:pPr>
          </w:p>
        </w:tc>
        <w:tc>
          <w:tcPr>
            <w:tcW w:w="1476" w:type="dxa"/>
          </w:tcPr>
          <w:p w14:paraId="491FDE1A" w14:textId="77777777" w:rsidR="00CE521A" w:rsidRPr="00562A88" w:rsidRDefault="00CE521A" w:rsidP="008B361F">
            <w:pPr>
              <w:jc w:val="center"/>
              <w:rPr>
                <w:rFonts w:ascii="宋体" w:hAnsi="宋体"/>
                <w:b/>
                <w:bCs/>
                <w:sz w:val="16"/>
                <w:szCs w:val="16"/>
              </w:rPr>
            </w:pPr>
          </w:p>
        </w:tc>
        <w:tc>
          <w:tcPr>
            <w:tcW w:w="1476" w:type="dxa"/>
          </w:tcPr>
          <w:p w14:paraId="669871F2" w14:textId="77777777" w:rsidR="00CE521A" w:rsidRPr="00562A88" w:rsidRDefault="00CE521A" w:rsidP="008B361F">
            <w:pPr>
              <w:jc w:val="center"/>
              <w:rPr>
                <w:rFonts w:ascii="宋体" w:hAnsi="宋体"/>
                <w:sz w:val="16"/>
                <w:szCs w:val="16"/>
              </w:rPr>
            </w:pPr>
          </w:p>
        </w:tc>
      </w:tr>
      <w:tr w:rsidR="00CE521A" w:rsidRPr="003C4B41" w14:paraId="6729CE26" w14:textId="77777777" w:rsidTr="008B361F">
        <w:trPr>
          <w:trHeight w:val="369"/>
          <w:jc w:val="center"/>
        </w:trPr>
        <w:tc>
          <w:tcPr>
            <w:tcW w:w="1476" w:type="dxa"/>
          </w:tcPr>
          <w:p w14:paraId="3135DFB7" w14:textId="77777777" w:rsidR="00CE521A" w:rsidRPr="00562A88" w:rsidRDefault="00CE521A" w:rsidP="00906BC3">
            <w:pPr>
              <w:rPr>
                <w:rFonts w:ascii="宋体" w:hAnsi="宋体"/>
                <w:sz w:val="16"/>
                <w:szCs w:val="16"/>
              </w:rPr>
            </w:pPr>
          </w:p>
        </w:tc>
        <w:tc>
          <w:tcPr>
            <w:tcW w:w="1476" w:type="dxa"/>
          </w:tcPr>
          <w:p w14:paraId="7AD4304B" w14:textId="77777777" w:rsidR="00CE521A" w:rsidRPr="00562A88" w:rsidRDefault="00CE521A" w:rsidP="008B361F">
            <w:pPr>
              <w:jc w:val="center"/>
              <w:rPr>
                <w:rFonts w:ascii="宋体" w:hAnsi="宋体"/>
                <w:sz w:val="16"/>
                <w:szCs w:val="16"/>
              </w:rPr>
            </w:pPr>
          </w:p>
        </w:tc>
        <w:tc>
          <w:tcPr>
            <w:tcW w:w="1476" w:type="dxa"/>
          </w:tcPr>
          <w:p w14:paraId="394D9728" w14:textId="77777777" w:rsidR="00CE521A" w:rsidRPr="00562A88" w:rsidRDefault="00CE521A" w:rsidP="008B361F">
            <w:pPr>
              <w:jc w:val="center"/>
              <w:rPr>
                <w:rFonts w:ascii="宋体" w:hAnsi="宋体"/>
                <w:sz w:val="16"/>
                <w:szCs w:val="16"/>
              </w:rPr>
            </w:pPr>
          </w:p>
        </w:tc>
        <w:tc>
          <w:tcPr>
            <w:tcW w:w="1476" w:type="dxa"/>
          </w:tcPr>
          <w:p w14:paraId="70ACBCF5" w14:textId="77777777" w:rsidR="00CE521A" w:rsidRPr="006F79FD" w:rsidRDefault="00CE521A" w:rsidP="008B361F">
            <w:pPr>
              <w:jc w:val="center"/>
              <w:rPr>
                <w:rFonts w:ascii="宋体" w:hAnsi="宋体"/>
                <w:sz w:val="12"/>
                <w:szCs w:val="16"/>
              </w:rPr>
            </w:pPr>
          </w:p>
        </w:tc>
        <w:tc>
          <w:tcPr>
            <w:tcW w:w="1476" w:type="dxa"/>
          </w:tcPr>
          <w:p w14:paraId="2DDA04A2" w14:textId="77777777" w:rsidR="00CE521A" w:rsidRPr="00562A88" w:rsidRDefault="00CE521A" w:rsidP="008B361F">
            <w:pPr>
              <w:jc w:val="center"/>
              <w:rPr>
                <w:rFonts w:ascii="宋体" w:hAnsi="宋体"/>
                <w:b/>
                <w:bCs/>
                <w:sz w:val="16"/>
                <w:szCs w:val="16"/>
              </w:rPr>
            </w:pPr>
          </w:p>
        </w:tc>
        <w:tc>
          <w:tcPr>
            <w:tcW w:w="1476" w:type="dxa"/>
          </w:tcPr>
          <w:p w14:paraId="1FF0779F" w14:textId="77777777" w:rsidR="00CE521A" w:rsidRPr="00562A88" w:rsidRDefault="00CE521A" w:rsidP="008B361F">
            <w:pPr>
              <w:jc w:val="center"/>
              <w:rPr>
                <w:rFonts w:ascii="宋体" w:hAnsi="宋体"/>
                <w:sz w:val="16"/>
                <w:szCs w:val="16"/>
              </w:rPr>
            </w:pPr>
          </w:p>
        </w:tc>
      </w:tr>
      <w:tr w:rsidR="00CE521A" w:rsidRPr="003C4B41" w14:paraId="6C460590" w14:textId="77777777" w:rsidTr="008B361F">
        <w:trPr>
          <w:trHeight w:val="369"/>
          <w:jc w:val="center"/>
        </w:trPr>
        <w:tc>
          <w:tcPr>
            <w:tcW w:w="1476" w:type="dxa"/>
          </w:tcPr>
          <w:p w14:paraId="121729F8" w14:textId="77777777" w:rsidR="00CE521A" w:rsidRPr="00562A88" w:rsidRDefault="00CE521A" w:rsidP="00906BC3">
            <w:pPr>
              <w:rPr>
                <w:rFonts w:ascii="宋体" w:hAnsi="宋体"/>
                <w:sz w:val="16"/>
                <w:szCs w:val="16"/>
              </w:rPr>
            </w:pPr>
          </w:p>
        </w:tc>
        <w:tc>
          <w:tcPr>
            <w:tcW w:w="1476" w:type="dxa"/>
          </w:tcPr>
          <w:p w14:paraId="1DB1BF0D" w14:textId="77777777" w:rsidR="00CE521A" w:rsidRPr="00562A88" w:rsidRDefault="00CE521A" w:rsidP="008B361F">
            <w:pPr>
              <w:jc w:val="center"/>
              <w:rPr>
                <w:rFonts w:ascii="宋体" w:hAnsi="宋体"/>
                <w:sz w:val="16"/>
                <w:szCs w:val="16"/>
              </w:rPr>
            </w:pPr>
          </w:p>
        </w:tc>
        <w:tc>
          <w:tcPr>
            <w:tcW w:w="1476" w:type="dxa"/>
          </w:tcPr>
          <w:p w14:paraId="46FB12CA" w14:textId="77777777" w:rsidR="00CE521A" w:rsidRPr="00562A88" w:rsidRDefault="00CE521A" w:rsidP="008B361F">
            <w:pPr>
              <w:jc w:val="center"/>
              <w:rPr>
                <w:rFonts w:ascii="宋体" w:hAnsi="宋体"/>
                <w:sz w:val="16"/>
                <w:szCs w:val="16"/>
              </w:rPr>
            </w:pPr>
          </w:p>
        </w:tc>
        <w:tc>
          <w:tcPr>
            <w:tcW w:w="1476" w:type="dxa"/>
          </w:tcPr>
          <w:p w14:paraId="290CAAA6" w14:textId="77777777" w:rsidR="00CE521A" w:rsidRPr="006F79FD" w:rsidRDefault="00CE521A" w:rsidP="008B361F">
            <w:pPr>
              <w:jc w:val="center"/>
              <w:rPr>
                <w:rFonts w:ascii="宋体" w:hAnsi="宋体"/>
                <w:sz w:val="12"/>
                <w:szCs w:val="16"/>
              </w:rPr>
            </w:pPr>
          </w:p>
        </w:tc>
        <w:tc>
          <w:tcPr>
            <w:tcW w:w="1476" w:type="dxa"/>
          </w:tcPr>
          <w:p w14:paraId="65FB5EEB" w14:textId="77777777" w:rsidR="00CE521A" w:rsidRPr="00562A88" w:rsidRDefault="00CE521A" w:rsidP="008B361F">
            <w:pPr>
              <w:jc w:val="center"/>
              <w:rPr>
                <w:rFonts w:ascii="宋体" w:hAnsi="宋体"/>
                <w:b/>
                <w:bCs/>
                <w:sz w:val="16"/>
                <w:szCs w:val="16"/>
              </w:rPr>
            </w:pPr>
          </w:p>
        </w:tc>
        <w:tc>
          <w:tcPr>
            <w:tcW w:w="1476" w:type="dxa"/>
          </w:tcPr>
          <w:p w14:paraId="77755B8C" w14:textId="77777777" w:rsidR="00CE521A" w:rsidRPr="00562A88" w:rsidRDefault="00CE521A" w:rsidP="008B361F">
            <w:pPr>
              <w:jc w:val="center"/>
              <w:rPr>
                <w:rFonts w:ascii="宋体" w:hAnsi="宋体"/>
                <w:sz w:val="16"/>
                <w:szCs w:val="16"/>
              </w:rPr>
            </w:pPr>
          </w:p>
        </w:tc>
      </w:tr>
      <w:tr w:rsidR="00CE521A" w:rsidRPr="003C4B41" w14:paraId="1C986C66" w14:textId="77777777" w:rsidTr="008B361F">
        <w:trPr>
          <w:trHeight w:val="369"/>
          <w:jc w:val="center"/>
        </w:trPr>
        <w:tc>
          <w:tcPr>
            <w:tcW w:w="1476" w:type="dxa"/>
          </w:tcPr>
          <w:p w14:paraId="55506151" w14:textId="77777777" w:rsidR="00CE521A" w:rsidRPr="00562A88" w:rsidRDefault="00CE521A" w:rsidP="00906BC3">
            <w:pPr>
              <w:rPr>
                <w:rFonts w:ascii="宋体" w:hAnsi="宋体"/>
                <w:sz w:val="16"/>
                <w:szCs w:val="16"/>
              </w:rPr>
            </w:pPr>
          </w:p>
        </w:tc>
        <w:tc>
          <w:tcPr>
            <w:tcW w:w="1476" w:type="dxa"/>
          </w:tcPr>
          <w:p w14:paraId="07B251F2" w14:textId="77777777" w:rsidR="00CE521A" w:rsidRPr="00562A88" w:rsidRDefault="00CE521A" w:rsidP="008B361F">
            <w:pPr>
              <w:jc w:val="center"/>
              <w:rPr>
                <w:rFonts w:ascii="宋体" w:hAnsi="宋体"/>
                <w:sz w:val="16"/>
                <w:szCs w:val="16"/>
              </w:rPr>
            </w:pPr>
          </w:p>
        </w:tc>
        <w:tc>
          <w:tcPr>
            <w:tcW w:w="1476" w:type="dxa"/>
          </w:tcPr>
          <w:p w14:paraId="5EFE6B82" w14:textId="77777777" w:rsidR="00CE521A" w:rsidRPr="00562A88" w:rsidRDefault="00CE521A" w:rsidP="008B361F">
            <w:pPr>
              <w:jc w:val="center"/>
              <w:rPr>
                <w:rFonts w:ascii="宋体" w:hAnsi="宋体"/>
                <w:sz w:val="16"/>
                <w:szCs w:val="16"/>
              </w:rPr>
            </w:pPr>
          </w:p>
        </w:tc>
        <w:tc>
          <w:tcPr>
            <w:tcW w:w="1476" w:type="dxa"/>
          </w:tcPr>
          <w:p w14:paraId="616F35B6" w14:textId="77777777" w:rsidR="00CE521A" w:rsidRPr="006F79FD" w:rsidRDefault="00CE521A" w:rsidP="008B361F">
            <w:pPr>
              <w:jc w:val="center"/>
              <w:rPr>
                <w:rFonts w:ascii="宋体" w:hAnsi="宋体"/>
                <w:sz w:val="12"/>
                <w:szCs w:val="16"/>
              </w:rPr>
            </w:pPr>
          </w:p>
        </w:tc>
        <w:tc>
          <w:tcPr>
            <w:tcW w:w="1476" w:type="dxa"/>
          </w:tcPr>
          <w:p w14:paraId="026C7F02" w14:textId="77777777" w:rsidR="00CE521A" w:rsidRPr="00562A88" w:rsidRDefault="00CE521A" w:rsidP="008B361F">
            <w:pPr>
              <w:jc w:val="center"/>
              <w:rPr>
                <w:rFonts w:ascii="宋体" w:hAnsi="宋体"/>
                <w:b/>
                <w:bCs/>
                <w:sz w:val="16"/>
                <w:szCs w:val="16"/>
              </w:rPr>
            </w:pPr>
          </w:p>
        </w:tc>
        <w:tc>
          <w:tcPr>
            <w:tcW w:w="1476" w:type="dxa"/>
          </w:tcPr>
          <w:p w14:paraId="175114D2" w14:textId="77777777" w:rsidR="00CE521A" w:rsidRPr="00562A88" w:rsidRDefault="00CE521A" w:rsidP="008B361F">
            <w:pPr>
              <w:jc w:val="center"/>
              <w:rPr>
                <w:rFonts w:ascii="宋体" w:hAnsi="宋体"/>
                <w:sz w:val="16"/>
                <w:szCs w:val="16"/>
              </w:rPr>
            </w:pPr>
          </w:p>
        </w:tc>
      </w:tr>
      <w:tr w:rsidR="00CE521A" w:rsidRPr="003C4B41" w14:paraId="59564841" w14:textId="77777777" w:rsidTr="008B361F">
        <w:trPr>
          <w:trHeight w:val="369"/>
          <w:jc w:val="center"/>
        </w:trPr>
        <w:tc>
          <w:tcPr>
            <w:tcW w:w="1476" w:type="dxa"/>
          </w:tcPr>
          <w:p w14:paraId="1E8340B3" w14:textId="77777777" w:rsidR="00CE521A" w:rsidRPr="00562A88" w:rsidRDefault="00CE521A" w:rsidP="00906BC3">
            <w:pPr>
              <w:rPr>
                <w:rFonts w:ascii="宋体" w:hAnsi="宋体"/>
                <w:sz w:val="16"/>
                <w:szCs w:val="16"/>
              </w:rPr>
            </w:pPr>
          </w:p>
        </w:tc>
        <w:tc>
          <w:tcPr>
            <w:tcW w:w="1476" w:type="dxa"/>
          </w:tcPr>
          <w:p w14:paraId="2C55DCFC" w14:textId="77777777" w:rsidR="00CE521A" w:rsidRPr="00562A88" w:rsidRDefault="00CE521A" w:rsidP="008B361F">
            <w:pPr>
              <w:jc w:val="center"/>
              <w:rPr>
                <w:rFonts w:ascii="宋体" w:hAnsi="宋体"/>
                <w:sz w:val="16"/>
                <w:szCs w:val="16"/>
              </w:rPr>
            </w:pPr>
          </w:p>
        </w:tc>
        <w:tc>
          <w:tcPr>
            <w:tcW w:w="1476" w:type="dxa"/>
          </w:tcPr>
          <w:p w14:paraId="750B6DBC" w14:textId="77777777" w:rsidR="00CE521A" w:rsidRPr="00562A88" w:rsidRDefault="00CE521A" w:rsidP="008B361F">
            <w:pPr>
              <w:jc w:val="center"/>
              <w:rPr>
                <w:rFonts w:ascii="宋体" w:hAnsi="宋体"/>
                <w:sz w:val="16"/>
                <w:szCs w:val="16"/>
              </w:rPr>
            </w:pPr>
          </w:p>
        </w:tc>
        <w:tc>
          <w:tcPr>
            <w:tcW w:w="1476" w:type="dxa"/>
          </w:tcPr>
          <w:p w14:paraId="527DBC5B" w14:textId="77777777" w:rsidR="00CE521A" w:rsidRPr="006F79FD" w:rsidRDefault="00CE521A" w:rsidP="008B361F">
            <w:pPr>
              <w:jc w:val="center"/>
              <w:rPr>
                <w:rFonts w:ascii="宋体" w:hAnsi="宋体"/>
                <w:sz w:val="12"/>
                <w:szCs w:val="16"/>
              </w:rPr>
            </w:pPr>
          </w:p>
        </w:tc>
        <w:tc>
          <w:tcPr>
            <w:tcW w:w="1476" w:type="dxa"/>
          </w:tcPr>
          <w:p w14:paraId="3CAFE106" w14:textId="77777777" w:rsidR="00CE521A" w:rsidRPr="00562A88" w:rsidRDefault="00CE521A" w:rsidP="008B361F">
            <w:pPr>
              <w:jc w:val="center"/>
              <w:rPr>
                <w:rFonts w:ascii="宋体" w:hAnsi="宋体"/>
                <w:b/>
                <w:bCs/>
                <w:sz w:val="16"/>
                <w:szCs w:val="16"/>
              </w:rPr>
            </w:pPr>
          </w:p>
        </w:tc>
        <w:tc>
          <w:tcPr>
            <w:tcW w:w="1476" w:type="dxa"/>
          </w:tcPr>
          <w:p w14:paraId="42588795" w14:textId="77777777" w:rsidR="00CE521A" w:rsidRPr="00562A88" w:rsidRDefault="00CE521A" w:rsidP="008B361F">
            <w:pPr>
              <w:jc w:val="center"/>
              <w:rPr>
                <w:rFonts w:ascii="宋体" w:hAnsi="宋体"/>
                <w:sz w:val="16"/>
                <w:szCs w:val="16"/>
              </w:rPr>
            </w:pPr>
          </w:p>
        </w:tc>
      </w:tr>
      <w:tr w:rsidR="00CE521A" w:rsidRPr="003C4B41" w14:paraId="4E152E10" w14:textId="77777777" w:rsidTr="008B361F">
        <w:trPr>
          <w:trHeight w:val="369"/>
          <w:jc w:val="center"/>
        </w:trPr>
        <w:tc>
          <w:tcPr>
            <w:tcW w:w="1476" w:type="dxa"/>
          </w:tcPr>
          <w:p w14:paraId="5E1EB962" w14:textId="77777777" w:rsidR="00CE521A" w:rsidRPr="00562A88" w:rsidRDefault="00CE521A" w:rsidP="00906BC3">
            <w:pPr>
              <w:rPr>
                <w:rFonts w:ascii="宋体" w:hAnsi="宋体"/>
                <w:sz w:val="16"/>
                <w:szCs w:val="16"/>
              </w:rPr>
            </w:pPr>
          </w:p>
        </w:tc>
        <w:tc>
          <w:tcPr>
            <w:tcW w:w="1476" w:type="dxa"/>
          </w:tcPr>
          <w:p w14:paraId="5BBAC149" w14:textId="77777777" w:rsidR="00CE521A" w:rsidRPr="00562A88" w:rsidRDefault="00CE521A" w:rsidP="008B361F">
            <w:pPr>
              <w:jc w:val="center"/>
              <w:rPr>
                <w:rFonts w:ascii="宋体" w:hAnsi="宋体"/>
                <w:sz w:val="16"/>
                <w:szCs w:val="16"/>
              </w:rPr>
            </w:pPr>
          </w:p>
        </w:tc>
        <w:tc>
          <w:tcPr>
            <w:tcW w:w="1476" w:type="dxa"/>
          </w:tcPr>
          <w:p w14:paraId="269601CF" w14:textId="77777777" w:rsidR="00CE521A" w:rsidRPr="00562A88" w:rsidRDefault="00CE521A" w:rsidP="008B361F">
            <w:pPr>
              <w:jc w:val="center"/>
              <w:rPr>
                <w:rFonts w:ascii="宋体" w:hAnsi="宋体"/>
                <w:sz w:val="16"/>
                <w:szCs w:val="16"/>
              </w:rPr>
            </w:pPr>
          </w:p>
        </w:tc>
        <w:tc>
          <w:tcPr>
            <w:tcW w:w="1476" w:type="dxa"/>
          </w:tcPr>
          <w:p w14:paraId="63D03871" w14:textId="77777777" w:rsidR="00CE521A" w:rsidRPr="006F79FD" w:rsidRDefault="00CE521A" w:rsidP="008B361F">
            <w:pPr>
              <w:jc w:val="center"/>
              <w:rPr>
                <w:rFonts w:ascii="宋体" w:hAnsi="宋体"/>
                <w:sz w:val="12"/>
                <w:szCs w:val="16"/>
              </w:rPr>
            </w:pPr>
          </w:p>
        </w:tc>
        <w:tc>
          <w:tcPr>
            <w:tcW w:w="1476" w:type="dxa"/>
          </w:tcPr>
          <w:p w14:paraId="46122383" w14:textId="77777777" w:rsidR="00CE521A" w:rsidRPr="00562A88" w:rsidRDefault="00CE521A" w:rsidP="008B361F">
            <w:pPr>
              <w:jc w:val="center"/>
              <w:rPr>
                <w:rFonts w:ascii="宋体" w:hAnsi="宋体"/>
                <w:b/>
                <w:bCs/>
                <w:sz w:val="16"/>
                <w:szCs w:val="16"/>
              </w:rPr>
            </w:pPr>
          </w:p>
        </w:tc>
        <w:tc>
          <w:tcPr>
            <w:tcW w:w="1476" w:type="dxa"/>
          </w:tcPr>
          <w:p w14:paraId="40E937F9" w14:textId="77777777" w:rsidR="00CE521A" w:rsidRPr="00562A88" w:rsidRDefault="00CE521A" w:rsidP="008B361F">
            <w:pPr>
              <w:jc w:val="center"/>
              <w:rPr>
                <w:rFonts w:ascii="宋体" w:hAnsi="宋体"/>
                <w:sz w:val="16"/>
                <w:szCs w:val="16"/>
              </w:rPr>
            </w:pPr>
          </w:p>
        </w:tc>
      </w:tr>
    </w:tbl>
    <w:p w14:paraId="39449BCB" w14:textId="77777777" w:rsidR="00562A88" w:rsidRDefault="00562A88" w:rsidP="00562A88"/>
    <w:p w14:paraId="3E7F28CD" w14:textId="77777777" w:rsidR="004915B5" w:rsidRDefault="004915B5"/>
    <w:sectPr w:rsidR="004915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15B5"/>
    <w:rsid w:val="00000C42"/>
    <w:rsid w:val="00003BEE"/>
    <w:rsid w:val="00020378"/>
    <w:rsid w:val="00056235"/>
    <w:rsid w:val="000655A2"/>
    <w:rsid w:val="00066414"/>
    <w:rsid w:val="000667F8"/>
    <w:rsid w:val="00092022"/>
    <w:rsid w:val="000A2A10"/>
    <w:rsid w:val="000B250A"/>
    <w:rsid w:val="000C7676"/>
    <w:rsid w:val="000E2790"/>
    <w:rsid w:val="00122336"/>
    <w:rsid w:val="00126160"/>
    <w:rsid w:val="0012681C"/>
    <w:rsid w:val="00130502"/>
    <w:rsid w:val="00132C4B"/>
    <w:rsid w:val="00151727"/>
    <w:rsid w:val="0017570D"/>
    <w:rsid w:val="00195A7B"/>
    <w:rsid w:val="00197CC8"/>
    <w:rsid w:val="001C03C1"/>
    <w:rsid w:val="001D58B4"/>
    <w:rsid w:val="001F0278"/>
    <w:rsid w:val="001F250B"/>
    <w:rsid w:val="002079BF"/>
    <w:rsid w:val="00217585"/>
    <w:rsid w:val="00225B27"/>
    <w:rsid w:val="002265A4"/>
    <w:rsid w:val="002726D5"/>
    <w:rsid w:val="0029081B"/>
    <w:rsid w:val="00291B76"/>
    <w:rsid w:val="00294CEB"/>
    <w:rsid w:val="002B1666"/>
    <w:rsid w:val="002D70F6"/>
    <w:rsid w:val="00304E8E"/>
    <w:rsid w:val="00310B2E"/>
    <w:rsid w:val="00327D2D"/>
    <w:rsid w:val="00330599"/>
    <w:rsid w:val="003331F5"/>
    <w:rsid w:val="00337EDB"/>
    <w:rsid w:val="00356143"/>
    <w:rsid w:val="00357196"/>
    <w:rsid w:val="00373878"/>
    <w:rsid w:val="0037419A"/>
    <w:rsid w:val="00390162"/>
    <w:rsid w:val="00390C7B"/>
    <w:rsid w:val="00391573"/>
    <w:rsid w:val="00391704"/>
    <w:rsid w:val="00393D31"/>
    <w:rsid w:val="003A4C3C"/>
    <w:rsid w:val="003C4B41"/>
    <w:rsid w:val="003F2363"/>
    <w:rsid w:val="00400ABE"/>
    <w:rsid w:val="004115CB"/>
    <w:rsid w:val="004125CA"/>
    <w:rsid w:val="0043432F"/>
    <w:rsid w:val="00447FF8"/>
    <w:rsid w:val="00490B91"/>
    <w:rsid w:val="004915B5"/>
    <w:rsid w:val="004A32A1"/>
    <w:rsid w:val="004B2338"/>
    <w:rsid w:val="004F0759"/>
    <w:rsid w:val="004F1E8D"/>
    <w:rsid w:val="005065C8"/>
    <w:rsid w:val="005218AD"/>
    <w:rsid w:val="0052499F"/>
    <w:rsid w:val="00551B48"/>
    <w:rsid w:val="00562475"/>
    <w:rsid w:val="00562A88"/>
    <w:rsid w:val="005635EF"/>
    <w:rsid w:val="00580AB0"/>
    <w:rsid w:val="00581190"/>
    <w:rsid w:val="00587A18"/>
    <w:rsid w:val="00587EBE"/>
    <w:rsid w:val="005C64ED"/>
    <w:rsid w:val="005D0B89"/>
    <w:rsid w:val="005D5A13"/>
    <w:rsid w:val="005E0BA3"/>
    <w:rsid w:val="00607B5D"/>
    <w:rsid w:val="006151CB"/>
    <w:rsid w:val="00625015"/>
    <w:rsid w:val="0064362F"/>
    <w:rsid w:val="006670B1"/>
    <w:rsid w:val="00680E28"/>
    <w:rsid w:val="00686017"/>
    <w:rsid w:val="006F2A1C"/>
    <w:rsid w:val="006F79FD"/>
    <w:rsid w:val="00707B63"/>
    <w:rsid w:val="00707D36"/>
    <w:rsid w:val="0073289B"/>
    <w:rsid w:val="00743E48"/>
    <w:rsid w:val="00751759"/>
    <w:rsid w:val="0078399D"/>
    <w:rsid w:val="007A0063"/>
    <w:rsid w:val="007E4B20"/>
    <w:rsid w:val="007F2D5E"/>
    <w:rsid w:val="007F2E91"/>
    <w:rsid w:val="00821FB8"/>
    <w:rsid w:val="0084001C"/>
    <w:rsid w:val="008747AA"/>
    <w:rsid w:val="00883A52"/>
    <w:rsid w:val="008859BC"/>
    <w:rsid w:val="00892565"/>
    <w:rsid w:val="008B0FA4"/>
    <w:rsid w:val="008C1044"/>
    <w:rsid w:val="008D486F"/>
    <w:rsid w:val="00906BC3"/>
    <w:rsid w:val="00906BC8"/>
    <w:rsid w:val="00911EBC"/>
    <w:rsid w:val="009279CB"/>
    <w:rsid w:val="00936CC9"/>
    <w:rsid w:val="009402D4"/>
    <w:rsid w:val="00943F56"/>
    <w:rsid w:val="009442B4"/>
    <w:rsid w:val="00950803"/>
    <w:rsid w:val="00997CEC"/>
    <w:rsid w:val="009A6437"/>
    <w:rsid w:val="009F70CF"/>
    <w:rsid w:val="00A365E5"/>
    <w:rsid w:val="00A57492"/>
    <w:rsid w:val="00A64DE3"/>
    <w:rsid w:val="00A67C62"/>
    <w:rsid w:val="00A724D9"/>
    <w:rsid w:val="00AA12E4"/>
    <w:rsid w:val="00AC03FC"/>
    <w:rsid w:val="00AC2990"/>
    <w:rsid w:val="00AD09CD"/>
    <w:rsid w:val="00AF74A5"/>
    <w:rsid w:val="00B12B31"/>
    <w:rsid w:val="00B3335B"/>
    <w:rsid w:val="00B55903"/>
    <w:rsid w:val="00B61566"/>
    <w:rsid w:val="00B6445B"/>
    <w:rsid w:val="00B7446C"/>
    <w:rsid w:val="00B917A0"/>
    <w:rsid w:val="00B9196F"/>
    <w:rsid w:val="00BA228C"/>
    <w:rsid w:val="00BA6015"/>
    <w:rsid w:val="00BB360E"/>
    <w:rsid w:val="00BB502F"/>
    <w:rsid w:val="00BB5FCE"/>
    <w:rsid w:val="00BD0ECD"/>
    <w:rsid w:val="00BE6CE9"/>
    <w:rsid w:val="00BF5489"/>
    <w:rsid w:val="00C16444"/>
    <w:rsid w:val="00C20947"/>
    <w:rsid w:val="00C254BE"/>
    <w:rsid w:val="00C277C6"/>
    <w:rsid w:val="00C36082"/>
    <w:rsid w:val="00C37A6D"/>
    <w:rsid w:val="00C81FBF"/>
    <w:rsid w:val="00C82472"/>
    <w:rsid w:val="00C93229"/>
    <w:rsid w:val="00CA6C50"/>
    <w:rsid w:val="00CB3F25"/>
    <w:rsid w:val="00CC7500"/>
    <w:rsid w:val="00CE521A"/>
    <w:rsid w:val="00CF4900"/>
    <w:rsid w:val="00D022CE"/>
    <w:rsid w:val="00D2142E"/>
    <w:rsid w:val="00D422A5"/>
    <w:rsid w:val="00D469C9"/>
    <w:rsid w:val="00D7114A"/>
    <w:rsid w:val="00D86AAB"/>
    <w:rsid w:val="00DA02E2"/>
    <w:rsid w:val="00DB0D23"/>
    <w:rsid w:val="00DD425E"/>
    <w:rsid w:val="00E003BC"/>
    <w:rsid w:val="00E05EAC"/>
    <w:rsid w:val="00E17A62"/>
    <w:rsid w:val="00E22428"/>
    <w:rsid w:val="00E706B3"/>
    <w:rsid w:val="00E9274F"/>
    <w:rsid w:val="00E94036"/>
    <w:rsid w:val="00EA601B"/>
    <w:rsid w:val="00EA7F43"/>
    <w:rsid w:val="00EF4C4C"/>
    <w:rsid w:val="00F17AD6"/>
    <w:rsid w:val="00F2720E"/>
    <w:rsid w:val="00F33EB6"/>
    <w:rsid w:val="00F713F7"/>
    <w:rsid w:val="00F8566F"/>
    <w:rsid w:val="00FA671C"/>
    <w:rsid w:val="00FC2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5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view/5159.htm" TargetMode="External"/><Relationship Id="rId7" Type="http://schemas.openxmlformats.org/officeDocument/2006/relationships/hyperlink" Target="http://baike.baidu.com/view/288207.htm" TargetMode="External"/><Relationship Id="rId8" Type="http://schemas.openxmlformats.org/officeDocument/2006/relationships/hyperlink" Target="http://baike.baidu.com/view/3097889.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216</Words>
  <Characters>1236</Characters>
  <Application>Microsoft Macintosh Word</Application>
  <DocSecurity>0</DocSecurity>
  <Lines>10</Lines>
  <Paragraphs>2</Paragraphs>
  <ScaleCrop>false</ScaleCrop>
  <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守勇 向</cp:lastModifiedBy>
  <cp:revision>223</cp:revision>
  <dcterms:created xsi:type="dcterms:W3CDTF">2013-10-08T23:08:00Z</dcterms:created>
  <dcterms:modified xsi:type="dcterms:W3CDTF">2013-12-16T05:13:00Z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