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1ED" w:rsidRPr="00473055" w:rsidRDefault="00473055" w:rsidP="00473055">
      <w:pPr>
        <w:jc w:val="center"/>
        <w:rPr>
          <w:rFonts w:ascii="Times New Roman" w:hAnsi="Times New Roman" w:cs="Times New Roman"/>
          <w:sz w:val="24"/>
          <w:szCs w:val="24"/>
        </w:rPr>
      </w:pPr>
      <w:r w:rsidRPr="00473055">
        <w:rPr>
          <w:rFonts w:ascii="Times New Roman" w:hAnsi="Times New Roman" w:cs="Times New Roman"/>
          <w:sz w:val="24"/>
          <w:szCs w:val="24"/>
        </w:rPr>
        <w:t>Figure 3: Frequency distribution of respondents by TE and seed recycling</w:t>
      </w:r>
    </w:p>
    <w:p w:rsidR="00473055" w:rsidRDefault="00473055"/>
    <w:p w:rsidR="00473055" w:rsidRDefault="00473055">
      <w:bookmarkStart w:id="0" w:name="_GoBack"/>
      <w:r w:rsidRPr="00473055">
        <w:rPr>
          <w:noProof/>
        </w:rPr>
        <w:drawing>
          <wp:inline distT="0" distB="0" distL="0" distR="0">
            <wp:extent cx="6296025" cy="4304665"/>
            <wp:effectExtent l="0" t="0" r="952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92" cy="431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73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55"/>
    <w:rsid w:val="004721ED"/>
    <w:rsid w:val="00473055"/>
    <w:rsid w:val="00AA1C94"/>
    <w:rsid w:val="00C767DA"/>
    <w:rsid w:val="00EC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ABB6"/>
  <w15:chartTrackingRefBased/>
  <w15:docId w15:val="{F74A1EF4-A3AF-4D59-94E6-5ED279D58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Eshete</cp:lastModifiedBy>
  <cp:revision>1</cp:revision>
  <dcterms:created xsi:type="dcterms:W3CDTF">2023-02-12T12:21:00Z</dcterms:created>
  <dcterms:modified xsi:type="dcterms:W3CDTF">2023-02-12T12:24:00Z</dcterms:modified>
</cp:coreProperties>
</file>