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AA0E" w14:textId="77777777" w:rsidR="00F23117" w:rsidRDefault="00F23117">
      <w:pPr>
        <w:pStyle w:val="Heading2"/>
        <w:rPr>
          <w:rFonts w:ascii="Segoe UI" w:eastAsia="Times New Roman" w:hAnsi="Segoe UI" w:cs="Segoe UI"/>
        </w:rPr>
      </w:pPr>
      <w:r>
        <w:t>MODEL ANSWERS AND MARKING RUBRIC (TOTAL: 25 POINTS)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523"/>
        <w:gridCol w:w="4865"/>
        <w:gridCol w:w="1081"/>
      </w:tblGrid>
      <w:tr w:rsidR="00EF2FEC" w14:paraId="374C8C0E" w14:textId="77777777">
        <w:trPr>
          <w:tblHeader/>
        </w:trPr>
        <w:tc>
          <w:tcPr>
            <w:tcW w:w="3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65B826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14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565436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Question Focus</w:t>
            </w:r>
          </w:p>
        </w:tc>
        <w:tc>
          <w:tcPr>
            <w:tcW w:w="27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E95D41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Model Answer &amp; Mandatory Technical Criteria</w:t>
            </w:r>
          </w:p>
        </w:tc>
        <w:tc>
          <w:tcPr>
            <w:tcW w:w="6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B64F2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EF2FEC" w14:paraId="490EBCFE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Method Selection &amp; Principle</w:t>
              <w:br/>
              <w:t>(AS015IW Cl. 1, ISO 589 Cl. 4 &amp; 7.5)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Two methods: Single-Stage and Two-Stage thermal drying (1 pt).</w:t>
              <w:br/>
              <w:t>• Criteria for Two-Stage: Required when coal is visibly wet / excessively moist, where free water separates in the container (air-dried with container per ISO 13909-4 / ISO 589 Cl. 7.5), or when particle size/mass makes single-stage crushing prone to moisture loss or equipment choking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6CC3B4F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Sample Mass &amp; Top-Size</w:t>
              <w:br/>
              <w:t>(AS015IW Cl. 2.1, ISO 13909-4 Tab. 1,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Minimum bulk sample mass for 50 mm top-size after division: 35 kg per ISO 13909-4:2025 Table 1 (1 pt).</w:t>
              <w:br/>
              <w:t>• Maximum nominal top-size accepted by laboratory: Shall not be &gt; 50 mm per AS001IW Clause 4.1 (1 pt).</w:t>
              <w:br/>
              <w:t>(Note: 35 kg is the minimum divided bulk sample mass, not the individual drying pan charge).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61CC5F3C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Cone &amp; Quartering</w:t>
              <w:br/>
              <w:t>(AS015IW Cl. 2.1, ISO 13909-4)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Procedure: Form coal into cone, flatten top uniformly, divide into 4 equal quarters, select one quarter (1 pt).</w:t>
              <w:br/>
              <w:t>• Action if selected quarter &lt; 35 kg: Analyst must combine two opposite quarters to ensure statistical representativeness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625AAF1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4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Stage 1 Air-Drying Conditions &amp; Rationale</w:t>
              <w:br/>
              <w:t>(AS015IW Cl. 2.2, ISO 589 Cl. 6.1.1 &amp; 8.1.1)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Conditions: Air dry at ambient temperature or in fan-forced oven not exceeding 40 °C (layer loading ≤ 1 g/cm²), and re-equilibrate to ambient before weighing if heated (1 pt).</w:t>
              <w:br/>
              <w:t>• Chemical Rationale: Temperatures &gt; 40 °C promote rapid coal oxidation (especially in lower-rank coals), causing chemical oxygen chemisorption, mass gain, and severe negative analytical bias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3B0675D2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*5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CRITICAL: Procedural Flow &amp; Crushing</w:t>
              <w:br/>
              <w:t>(AS015IW Cl. 2.2, 3.1, 3.2 — ZERO TOLERANCE)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Mandatory 5 sequential steps (1 pt each — ALL must be correct in order):</w:t>
              <w:br/>
              <w:t>1. Spread 35 kg sample thinly on clean drying pans until 'visibly dry' (≤ 40 °C; loading ≤ 1 g/cm²).</w:t>
              <w:br/>
              <w:t>2. Stage 1 stability check on LIMS: air drying complete when mass loss &lt; 0.1 g (ISO constant-mass: change ≤ 0.2% absolute).</w:t>
              <w:br/>
              <w:t>3. Primary crush through 25 mm jaw crusher and reduce mass using clean Riffle Splitter.</w:t>
              <w:br/>
              <w:t>4. Secondary crush: crush to -10 mm for Single-Stage, or -3 mm for Two-Stage (AzureSky validated macro-pan method).</w:t>
              <w:br/>
              <w:t>5. Final riffle division to 1 kg per side, tare pans on balance, transfer into duplicate Pan A and Pan B, and capture initial mass m3.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*5 pts</w:t>
              <w:br/>
              <w:t>(Critical Gate 1)</w:t>
            </w:r>
          </w:p>
        </w:tc>
      </w:tr>
      <w:tr w:rsidR="00EF2FEC" w14:paraId="29DD4B8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*6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CRITICAL: Oven Temperature &amp; Stability</w:t>
              <w:br/>
              <w:t>(AS015IW Cl. 4.1, ISO 589 Cl. 4 — ZERO TOLERANCE)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Operating Temperature: 105 °C to 110 °C (nominal setpoint ≤ 107 °C) (1 pt).</w:t>
              <w:br/>
              <w:t>• Drying Sequence &amp; Stability: Initial dry for 3 hours; intermediate weighing on LIMS, return to oven for 30 minutes. Stable when mass loss between consecutive 30-min intervals is ≤ 0.1 g (1 pt).</w:t>
              <w:br/>
              <w:t>(Note: ISO constant mass is ≤ 0.2% absolute over ≥ 25% duration; ≤ 0.1 g represents AzureSky operational LIMS threshold).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*2 pts</w:t>
              <w:br/>
              <w:t>(Critical Gate 2)</w:t>
            </w:r>
          </w:p>
        </w:tc>
      </w:tr>
      <w:tr w:rsidR="00EF2FEC" w14:paraId="499B379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7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Oven Failure Threshold &amp; Mandatory Action</w:t>
              <w:br/>
              <w:t>(AS015IW Cl. 4.1.5)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Failure Limit: If sample does not stabilize within 5.0 hours of total oven drying time (0.5 pt).</w:t>
              <w:br/>
              <w:t>• Mandatory Action: Test marked as 'Failed' in LIMS, test portion invalidated, and determination must be completely repeated using a backup split from -3 mm retained sample (0.5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 pt</w:t>
            </w:r>
          </w:p>
        </w:tc>
      </w:tr>
      <w:tr w:rsidR="00EF2FEC" w14:paraId="127ED35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8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Single-Stage vs Two-Stage Oven Drying</w:t>
              <w:br/>
              <w:t>(AS015IW Cl. 4.2, ISO 589 Method B2)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Continuous Drying: In Single-Stage (-10 mm), duplicate test portions (≥ 600 g, routine ~1000 g) remain in oven for the full 5-hour continuous duration without the 3-hour lapse check, dried at 105–110 °C (0.5 pt).</w:t>
              <w:br/>
              <w:t>• Hot Weighing: Trays removed and weighed hot within 5 minutes per ISO 589 Clause 8.2.1 to prevent moisture re-adsorption from ambient air during cooling (0.5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 pt</w:t>
            </w:r>
          </w:p>
        </w:tc>
      </w:tr>
      <w:tr w:rsidR="00EF2FEC" w14:paraId="4227F72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9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Equipment Metrology &amp; Verification Schedules</w:t>
              <w:br/>
              <w:t>(AS023TF,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Moisture Oven Verification (AS023TF): Calibrated thermocouple reading (average of 3 readings + correction factor), evaluated against set point within tolerance 105 °C to 110 °C (setpoint ≤ 107 °C) daily before use (1 pt).</w:t>
              <w:br/>
              <w:t>• Crusher Sieve Efficiencies (AS001IW Cl. 4.1): 25 mm &amp; 10 mm crushers verified every Monday at start of shift; 3 mm &amp; 4.75 mm crushers verified on day of use before use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13B67819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10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Surface Moisture Formula &amp; Calculation</w:t>
              <w:br/>
              <w:t>(AS015IW Cl. 5.1, ISO 589 Eq. 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Formula &amp; Variables: Mar = [(m1 − m2) / m1] × 100, where m1 is initial as-received bulk mass (kg) and m2 is air-dried bulk mass (kg) (1 pt).</w:t>
              <w:br/>
              <w:t>• Worked Calculation: Given m1 = 35.00 kg, m2 = 32.55 kg:</w:t>
              <w:br/>
              <w:t xml:space="preserve">  Mar = [(35.00 − 32.55) / 35.00] × 100 = (2.45 / 35.00) × 100 = 7.00%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6D33A48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Repeatability Compliance &amp; LIMS Decision Rule</w:t>
              <w:br/>
              <w:t>(AS015IW Cl. 6, ISO 589 Tab. 1, AS010IW)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Repeatability Evaluation: |4.58% − 4.20%| = 0.38%. Since 0.38% &gt; 0.30% (ISO 589 second-stage repeatability limit), the duplicate pair DOES NOT comply (1 pt).</w:t>
              <w:br/>
              <w:t>• LIMS Alert &amp; Corrective Action: Under AzureSky decision rules, LIMS triggers an automated 'REPEAT ALERT'; results are locked, invalidated, and a repeat test from retained sample must be performed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  <w:tr w:rsidR="00EF2FEC" w14:paraId="7EE2E82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12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LIMS vs ISO 589 Calculation Alignment</w:t>
              <w:br/>
              <w:t>(AS015IW Cl. 5.3 &amp; 6)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• Calculation Flow Difference: LIMS averages duplicate residual moistures first (Mres,avg) and inserts directly into TM formula: TM = Mar + [(100 − Mar) × Mres,avg]/100. ISO 589 calculates TM of Pan A and Pan B individually and averages them at the end (1 pt).</w:t>
              <w:br/>
              <w:t>• Equivalence &amp; QMS Approval: Because the formula is mathematically linear, both methods yield identical numerical results, and both are formally approved under AzureSky QMS (1 pt).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>
            <w:r>
              <w:t>2 pts</w:t>
            </w:r>
          </w:p>
        </w:tc>
      </w:tr>
    </w:tbl>
    <w:p w14:paraId="61F13F2A" w14:textId="77777777" w:rsidR="00F23117" w:rsidRDefault="00F23117">
      <w:pPr>
        <w:shd w:val="clear" w:color="auto" w:fill="EDF2F7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t>ASSESSMENT DECISION RULES:</w:t>
      </w:r>
    </w:p>
    <w:p w14:paraId="7F11192D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t>• Qualifying Score: Candidate must achieve ≥ 80% (minimum 20 / 25 points) AND 100% on both Critical Questions (*5 and *6) → COMPETENT.</w:t>
      </w:r>
    </w:p>
    <w:p w14:paraId="4DFFDB44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t>• Zero-Tolerance Failure: If Question *5 OR Question *6 is incorrect (even if total score ≥ 20) → NOT YET COMPETENT (Immediate assessment stoppage).</w:t>
      </w:r>
    </w:p>
    <w:p w14:paraId="6B8BACB9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t>• Insufficient Score: If Candidate Score &lt; 20 points → NOT YET COMPETENT.</w:t>
      </w:r>
    </w:p>
    <w:sectPr w:rsidR="00F231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0825" w14:textId="77777777" w:rsidR="002E0654" w:rsidRDefault="002E0654" w:rsidP="00E7710D">
      <w:r>
        <w:separator/>
      </w:r>
    </w:p>
  </w:endnote>
  <w:endnote w:type="continuationSeparator" w:id="0">
    <w:p w14:paraId="6457C46B" w14:textId="77777777" w:rsidR="002E0654" w:rsidRDefault="002E0654" w:rsidP="00E7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D387" w14:textId="77777777" w:rsidR="002E0654" w:rsidRDefault="002E0654" w:rsidP="00E7710D">
      <w:r>
        <w:separator/>
      </w:r>
    </w:p>
  </w:footnote>
  <w:footnote w:type="continuationSeparator" w:id="0">
    <w:p w14:paraId="7DBDBCE7" w14:textId="77777777" w:rsidR="002E0654" w:rsidRDefault="002E0654" w:rsidP="00E7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1" w:type="dxa"/>
      <w:tblInd w:w="-45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6"/>
      <w:gridCol w:w="5390"/>
      <w:gridCol w:w="1715"/>
      <w:gridCol w:w="1480"/>
    </w:tblGrid>
    <w:tr w:rsidR="00E7710D" w:rsidRPr="00871A8E" w14:paraId="17AE1829" w14:textId="77777777" w:rsidTr="00056B59">
      <w:trPr>
        <w:trHeight w:val="703"/>
      </w:trPr>
      <w:tc>
        <w:tcPr>
          <w:tcW w:w="1041" w:type="dxa"/>
        </w:tcPr>
        <w:p w14:paraId="731886E3" w14:textId="7FEE6C10" w:rsidR="00E7710D" w:rsidRPr="00871A8E" w:rsidRDefault="00E7710D" w:rsidP="00E7710D">
          <w:pPr>
            <w:tabs>
              <w:tab w:val="left" w:pos="1770"/>
              <w:tab w:val="center" w:pos="3578"/>
            </w:tabs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  <w:noProof/>
            </w:rPr>
            <w:drawing>
              <wp:inline distT="0" distB="0" distL="0" distR="0" wp14:anchorId="65185F9A" wp14:editId="14363DD2">
                <wp:extent cx="762000" cy="548640"/>
                <wp:effectExtent l="0" t="0" r="0" b="3810"/>
                <wp:docPr id="10627421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0EFB9A8B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65648582" w14:textId="77777777" w:rsidR="00E7710D" w:rsidRPr="00871A8E" w:rsidRDefault="00E7710D" w:rsidP="00E7710D">
          <w:pPr>
            <w:tabs>
              <w:tab w:val="left" w:pos="1770"/>
              <w:tab w:val="center" w:pos="3578"/>
            </w:tabs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AZURESKY PTY LTD</w:t>
          </w:r>
        </w:p>
        <w:p w14:paraId="5C62C336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</w:tc>
      <w:tc>
        <w:tcPr>
          <w:tcW w:w="1755" w:type="dxa"/>
        </w:tcPr>
        <w:p w14:paraId="53E7D98A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Document #</w:t>
          </w:r>
        </w:p>
        <w:p w14:paraId="009164B2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64D0A0CE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  <w:b/>
            </w:rPr>
            <w:t>AZCA-015</w:t>
          </w:r>
        </w:p>
      </w:tc>
      <w:tc>
        <w:tcPr>
          <w:tcW w:w="1505" w:type="dxa"/>
        </w:tcPr>
        <w:p w14:paraId="32B5FC1E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Revision#</w:t>
          </w:r>
        </w:p>
        <w:p w14:paraId="0A95E4D1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3377D834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</w:rPr>
            <w:t>0</w:t>
          </w:r>
        </w:p>
      </w:tc>
    </w:tr>
    <w:tr w:rsidR="00E7710D" w:rsidRPr="00871A8E" w14:paraId="1066BCE8" w14:textId="77777777" w:rsidTr="00056B59">
      <w:trPr>
        <w:trHeight w:val="525"/>
      </w:trPr>
      <w:tc>
        <w:tcPr>
          <w:tcW w:w="1041" w:type="dxa"/>
        </w:tcPr>
        <w:p w14:paraId="0CE1AB7F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487CEF5E" w14:textId="77777777" w:rsidR="00E7710D" w:rsidRPr="00871A8E" w:rsidRDefault="00E7710D" w:rsidP="00E7710D">
          <w:pPr>
            <w:rPr>
              <w:rFonts w:ascii="Arial Narrow" w:hAnsi="Arial Narrow"/>
              <w:b/>
            </w:rPr>
          </w:pPr>
          <w:r w:rsidRPr="00871A8E">
            <w:rPr>
              <w:rFonts w:ascii="Arial Narrow" w:hAnsi="Arial Narrow"/>
              <w:b/>
            </w:rPr>
            <w:t>Subject</w:t>
          </w:r>
        </w:p>
      </w:tc>
      <w:tc>
        <w:tcPr>
          <w:tcW w:w="8960" w:type="dxa"/>
          <w:gridSpan w:val="3"/>
        </w:tcPr>
        <w:p w14:paraId="7BF7C6E1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</w:rPr>
          </w:pPr>
        </w:p>
        <w:p w14:paraId="6B95AEDB" w14:textId="3CE62BA5" w:rsidR="00E7710D" w:rsidRPr="00871A8E" w:rsidRDefault="00E7710D" w:rsidP="00E7710D">
          <w:pPr>
            <w:pStyle w:val="Header"/>
            <w:suppressAutoHyphens/>
            <w:ind w:right="-274"/>
            <w:jc w:val="center"/>
            <w:rPr>
              <w:rFonts w:ascii="Arial Narrow" w:hAnsi="Arial Narrow"/>
              <w:b/>
            </w:rPr>
          </w:pPr>
          <w:r w:rsidRPr="00E7710D">
            <w:rPr>
              <w:rFonts w:ascii="Arial Narrow" w:hAnsi="Arial Narrow"/>
              <w:b/>
              <w:bCs/>
            </w:rPr>
            <w:t>ASSESSOR GUIDE &amp; MARKING MEMORANDUM</w:t>
          </w:r>
          <w:r w:rsidRPr="00E7710D">
            <w:rPr>
              <w:rFonts w:ascii="Arial Narrow" w:hAnsi="Arial Narrow"/>
              <w:b/>
              <w:bCs/>
            </w:rPr>
            <w:br/>
            <w:t>DETERMINATION OF TOTAL MOISTURE</w:t>
          </w:r>
        </w:p>
        <w:p w14:paraId="6861F0FB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  <w:b/>
            </w:rPr>
          </w:pPr>
        </w:p>
      </w:tc>
    </w:tr>
  </w:tbl>
  <w:p w14:paraId="76BA479C" w14:textId="77777777" w:rsidR="00E7710D" w:rsidRDefault="00E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133D"/>
    <w:multiLevelType w:val="multilevel"/>
    <w:tmpl w:val="6A7C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1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A4"/>
    <w:rsid w:val="002E0654"/>
    <w:rsid w:val="00501675"/>
    <w:rsid w:val="0074624E"/>
    <w:rsid w:val="008654A4"/>
    <w:rsid w:val="00E7710D"/>
    <w:rsid w:val="00EF2FEC"/>
    <w:rsid w:val="00F2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446ECD19"/>
  <w15:chartTrackingRefBased/>
  <w15:docId w15:val="{79A16A42-8A71-48DE-B02B-489A6E2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75" w:after="75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A365D"/>
      </w:pBdr>
      <w:spacing w:before="180" w:after="75"/>
      <w:outlineLvl w:val="1"/>
    </w:pPr>
    <w:rPr>
      <w:b/>
      <w:bCs/>
      <w:color w:val="1A365D"/>
      <w:sz w:val="23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75" w:after="75"/>
      <w:outlineLvl w:val="2"/>
    </w:pPr>
    <w:rPr>
      <w:b/>
      <w:bCs/>
      <w:color w:val="1A365D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ogo-box">
    <w:name w:val="logo-box"/>
    <w:basedOn w:val="Normal"/>
    <w:pPr>
      <w:spacing w:before="100" w:beforeAutospacing="1" w:after="100" w:afterAutospacing="1"/>
      <w:jc w:val="center"/>
    </w:pPr>
    <w:rPr>
      <w:b/>
      <w:bCs/>
      <w:color w:val="2B6CB0"/>
      <w:sz w:val="32"/>
      <w:szCs w:val="32"/>
    </w:rPr>
  </w:style>
  <w:style w:type="paragraph" w:customStyle="1" w:styleId="logo-sub">
    <w:name w:val="logo-sub"/>
    <w:basedOn w:val="Normal"/>
    <w:pPr>
      <w:spacing w:before="100" w:beforeAutospacing="1" w:after="100" w:afterAutospacing="1"/>
    </w:pPr>
    <w:rPr>
      <w:i/>
      <w:iCs/>
      <w:color w:val="718096"/>
      <w:sz w:val="15"/>
      <w:szCs w:val="15"/>
    </w:rPr>
  </w:style>
  <w:style w:type="paragraph" w:customStyle="1" w:styleId="title-box">
    <w:name w:val="title-box"/>
    <w:basedOn w:val="Normal"/>
    <w:pPr>
      <w:spacing w:before="100" w:beforeAutospacing="1" w:after="100" w:afterAutospacing="1"/>
      <w:jc w:val="center"/>
    </w:pPr>
    <w:rPr>
      <w:b/>
      <w:bCs/>
      <w:color w:val="1A365D"/>
      <w:sz w:val="23"/>
      <w:szCs w:val="23"/>
    </w:rPr>
  </w:style>
  <w:style w:type="paragraph" w:customStyle="1" w:styleId="meta-box">
    <w:name w:val="meta-box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crit-badge">
    <w:name w:val="crit-badge"/>
    <w:basedOn w:val="Normal"/>
    <w:pPr>
      <w:shd w:val="clear" w:color="auto" w:fill="C53030"/>
      <w:spacing w:before="100" w:beforeAutospacing="1" w:after="100" w:afterAutospacing="1"/>
    </w:pPr>
    <w:rPr>
      <w:b/>
      <w:bCs/>
      <w:color w:val="FFFFFF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rit-badge1">
    <w:name w:val="crit-badge1"/>
    <w:basedOn w:val="DefaultParagraphFont"/>
    <w:rPr>
      <w:b/>
      <w:bCs/>
      <w:color w:val="FFFFFF"/>
      <w:sz w:val="16"/>
      <w:szCs w:val="16"/>
      <w:shd w:val="clear" w:color="auto" w:fill="C5303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nhideWhenUsed/>
    <w:rsid w:val="00E771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710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71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10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06014">
      <w:marLeft w:val="0"/>
      <w:marRight w:val="0"/>
      <w:marTop w:val="225"/>
      <w:marBottom w:val="0"/>
      <w:divBdr>
        <w:top w:val="single" w:sz="6" w:space="6" w:color="CBD5E0"/>
        <w:left w:val="single" w:sz="6" w:space="9" w:color="CBD5E0"/>
        <w:bottom w:val="single" w:sz="6" w:space="6" w:color="CBD5E0"/>
        <w:right w:val="single" w:sz="6" w:space="9" w:color="CBD5E0"/>
      </w:divBdr>
    </w:div>
    <w:div w:id="157747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AZCA-015 Assessor Guide and Marking Memo</dc:title>
  <dc:subject/>
  <dc:creator>Tshepo Maponya</dc:creator>
  <cp:keywords/>
  <dc:description/>
  <cp:lastModifiedBy>Tshepo Maponya</cp:lastModifiedBy>
  <cp:revision>3</cp:revision>
  <dcterms:created xsi:type="dcterms:W3CDTF">2026-10-09T09:55:00Z</dcterms:created>
  <dcterms:modified xsi:type="dcterms:W3CDTF">2026-10-09T10:46:00Z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40650c34da69492818d648e30856f52a779fcc89939413c32da843fd0a47f022</vt:lpwstr>
  </property>
</Properties>
</file>