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01D9" w14:textId="5896B00C" w:rsidR="008C699B" w:rsidRDefault="008C699B" w:rsidP="00996BB1"/>
    <w:p w14:paraId="35918E58" w14:textId="0A5757C3" w:rsidR="008C699B" w:rsidRPr="00230391" w:rsidRDefault="003947C8" w:rsidP="00230391">
      <w:pPr>
        <w:jc w:val="center"/>
        <w:rPr>
          <w:u w:val="single"/>
        </w:rPr>
      </w:pPr>
      <w:r w:rsidRPr="00996BB1">
        <w:rPr>
          <w:b/>
          <w:u w:val="single"/>
        </w:rPr>
        <w:t>INTERNAL MEMORANDUM</w:t>
      </w:r>
    </w:p>
    <w:p w14:paraId="2C0E8E0D" w14:textId="77777777" w:rsidR="008C699B" w:rsidRDefault="003947C8">
      <w:r>
        <w:t>To: All Laboratory Personnel</w:t>
      </w:r>
    </w:p>
    <w:p w14:paraId="456C5885" w14:textId="77777777" w:rsidR="008C699B" w:rsidRDefault="003947C8">
      <w:r>
        <w:t>From: Sifiso Nyambi</w:t>
      </w:r>
    </w:p>
    <w:p w14:paraId="688CD150" w14:textId="77777777" w:rsidR="008C699B" w:rsidRDefault="003947C8">
      <w:r>
        <w:t>Compiler: Sifiso Nyambi</w:t>
      </w:r>
    </w:p>
    <w:p w14:paraId="7D46D296" w14:textId="77777777" w:rsidR="008C699B" w:rsidRDefault="003947C8">
      <w:r>
        <w:t>Approved by: Nonhlanhla Msibi</w:t>
      </w:r>
    </w:p>
    <w:p w14:paraId="2109AD3F" w14:textId="20F03068" w:rsidR="008C699B" w:rsidRDefault="003947C8">
      <w:r>
        <w:t xml:space="preserve">Date: </w:t>
      </w:r>
      <w:r w:rsidR="00633BE9" w:rsidRPr="00996BB1">
        <w:rPr>
          <w:u w:val="single"/>
        </w:rPr>
        <w:t>13/04/2026</w:t>
      </w:r>
    </w:p>
    <w:p w14:paraId="0B47FAF8" w14:textId="77777777" w:rsidR="008C699B" w:rsidRPr="00996BB1" w:rsidRDefault="003947C8">
      <w:pPr>
        <w:rPr>
          <w:b/>
          <w:bCs/>
        </w:rPr>
      </w:pPr>
      <w:r w:rsidRPr="00996BB1">
        <w:rPr>
          <w:b/>
          <w:bCs/>
        </w:rPr>
        <w:t>Subject: Control of Equipment Movement and Balance Stability (ISO/IEC 17025 Clauses 6.4 &amp; 7.4)</w:t>
      </w:r>
    </w:p>
    <w:p w14:paraId="6373AE98" w14:textId="77777777" w:rsidR="008C699B" w:rsidRDefault="008C699B"/>
    <w:p w14:paraId="67FDE764" w14:textId="77777777" w:rsidR="008C699B" w:rsidRDefault="003947C8" w:rsidP="00996BB1">
      <w:pPr>
        <w:pStyle w:val="Heading2"/>
        <w:jc w:val="both"/>
      </w:pPr>
      <w:r>
        <w:t>1. Purpose</w:t>
      </w:r>
    </w:p>
    <w:p w14:paraId="12A2CFEE" w14:textId="77777777" w:rsidR="008C699B" w:rsidRDefault="003947C8" w:rsidP="00996BB1">
      <w:pPr>
        <w:jc w:val="both"/>
      </w:pPr>
      <w:r>
        <w:t>The purpose of this memorandum is to address the improper movement of the platform scale during sample preparation processes, which poses a significant risk to measurement accuracy and data integrity. This memo establishes strict controls in line with ISO/IEC 17025 requirements.</w:t>
      </w:r>
    </w:p>
    <w:p w14:paraId="0B0FA6D2" w14:textId="77777777" w:rsidR="008C699B" w:rsidRDefault="003947C8" w:rsidP="00996BB1">
      <w:pPr>
        <w:pStyle w:val="Heading2"/>
        <w:jc w:val="both"/>
      </w:pPr>
      <w:r>
        <w:t>2. Scope</w:t>
      </w:r>
    </w:p>
    <w:p w14:paraId="727F7318" w14:textId="77777777" w:rsidR="008C699B" w:rsidRDefault="003947C8" w:rsidP="00996BB1">
      <w:pPr>
        <w:jc w:val="both"/>
      </w:pPr>
      <w:r>
        <w:t>This instruction applies to all laboratory personnel involved in weighing, sample preparation, and handling of measuring equipment.</w:t>
      </w:r>
    </w:p>
    <w:p w14:paraId="1E6F5163" w14:textId="77777777" w:rsidR="008C699B" w:rsidRDefault="003947C8" w:rsidP="00996BB1">
      <w:pPr>
        <w:pStyle w:val="Heading2"/>
        <w:jc w:val="both"/>
      </w:pPr>
      <w:r>
        <w:t>3. Requirement</w:t>
      </w:r>
    </w:p>
    <w:p w14:paraId="51A8EE1A" w14:textId="18690E67" w:rsidR="00633BE9" w:rsidRDefault="003947C8" w:rsidP="00CA3372">
      <w:pPr>
        <w:jc w:val="both"/>
      </w:pPr>
      <w:r>
        <w:t>In accordance with ISO/IEC 17025 Clause 6.4 (Equipment) and Clause 7.4 (Handling of Test Items), all weighing equipment, including balances and platform scales, shall remain in a fixed, controlled position during operation. No equipment shall be moved without prior authorization from laboratory management.</w:t>
      </w:r>
    </w:p>
    <w:p w14:paraId="10D2BA42" w14:textId="6834EE5A" w:rsidR="008C699B" w:rsidRDefault="003947C8" w:rsidP="00996BB1">
      <w:pPr>
        <w:pStyle w:val="Heading2"/>
        <w:jc w:val="both"/>
      </w:pPr>
      <w:r>
        <w:t>4</w:t>
      </w:r>
      <w:r>
        <w:t>. Instruction</w:t>
      </w:r>
    </w:p>
    <w:p w14:paraId="535F5F8A" w14:textId="7603B1DF" w:rsidR="00996BB1" w:rsidRDefault="003947C8" w:rsidP="00996BB1">
      <w:r>
        <w:t>Effective</w:t>
      </w:r>
      <w:r w:rsidR="00996BB1">
        <w:t xml:space="preserve"> </w:t>
      </w:r>
      <w:r>
        <w:t>immediately</w:t>
      </w:r>
      <w:r w:rsidR="00996BB1">
        <w:t xml:space="preserve"> (13-04-2025)</w:t>
      </w:r>
      <w:r>
        <w:br/>
      </w:r>
    </w:p>
    <w:p w14:paraId="2F04946D" w14:textId="1FEE727E" w:rsidR="00996BB1" w:rsidRDefault="003947C8" w:rsidP="00996BB1">
      <w:pPr>
        <w:pStyle w:val="ListParagraph"/>
        <w:numPr>
          <w:ilvl w:val="0"/>
          <w:numId w:val="10"/>
        </w:numPr>
      </w:pPr>
      <w:r>
        <w:t>No balance or platform scale is to be moved once calibrated and verified for use.</w:t>
      </w:r>
    </w:p>
    <w:p w14:paraId="51E0B6F8" w14:textId="77777777" w:rsidR="00996BB1" w:rsidRDefault="003947C8" w:rsidP="00996BB1">
      <w:pPr>
        <w:pStyle w:val="ListParagraph"/>
        <w:numPr>
          <w:ilvl w:val="0"/>
          <w:numId w:val="10"/>
        </w:numPr>
      </w:pPr>
      <w:r>
        <w:lastRenderedPageBreak/>
        <w:t>Any requirement to relocate equipment must be approved by laboratory management.</w:t>
      </w:r>
    </w:p>
    <w:p w14:paraId="17025BF2" w14:textId="77777777" w:rsidR="00996BB1" w:rsidRDefault="003947C8" w:rsidP="00996BB1">
      <w:pPr>
        <w:pStyle w:val="ListParagraph"/>
        <w:numPr>
          <w:ilvl w:val="0"/>
          <w:numId w:val="10"/>
        </w:numPr>
      </w:pPr>
      <w:r>
        <w:t>Upon relocation, the equipment must undergo re-verification, leveling, and, where applicable, recalibration before use.</w:t>
      </w:r>
    </w:p>
    <w:p w14:paraId="7F401DC3" w14:textId="4EB4DB2E" w:rsidR="008C699B" w:rsidRDefault="003947C8" w:rsidP="00996BB1">
      <w:pPr>
        <w:pStyle w:val="ListParagraph"/>
        <w:numPr>
          <w:ilvl w:val="0"/>
          <w:numId w:val="10"/>
        </w:numPr>
      </w:pPr>
      <w:r>
        <w:t xml:space="preserve">Unauthorized movement of equipment will be treated as </w:t>
      </w:r>
      <w:r w:rsidR="00996BB1">
        <w:t>non</w:t>
      </w:r>
      <w:r>
        <w:t>-conformance.</w:t>
      </w:r>
    </w:p>
    <w:p w14:paraId="59C2ACFC" w14:textId="77777777" w:rsidR="008C699B" w:rsidRDefault="003947C8" w:rsidP="00996BB1">
      <w:pPr>
        <w:pStyle w:val="Heading2"/>
        <w:jc w:val="both"/>
      </w:pPr>
      <w:r>
        <w:t>5. Factors Affecting Balance Stability</w:t>
      </w:r>
    </w:p>
    <w:p w14:paraId="1C733629" w14:textId="77777777" w:rsidR="008C699B" w:rsidRDefault="003947C8" w:rsidP="00996BB1">
      <w:pPr>
        <w:jc w:val="both"/>
      </w:pPr>
      <w:r>
        <w:t>The following environmental and operational factors significantly influence balance performance and measurement reliability:</w:t>
      </w:r>
    </w:p>
    <w:p w14:paraId="0AF18AFB" w14:textId="63D972C7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 xml:space="preserve">Air currents and drafts </w:t>
      </w:r>
      <w:r w:rsidR="00230391">
        <w:t>cause</w:t>
      </w:r>
      <w:r>
        <w:t xml:space="preserve"> drift in readings.</w:t>
      </w:r>
    </w:p>
    <w:p w14:paraId="6F6D689E" w14:textId="50B351D6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 xml:space="preserve">Temperature fluctuations </w:t>
      </w:r>
      <w:r w:rsidR="00230391">
        <w:t>affect</w:t>
      </w:r>
      <w:r>
        <w:t xml:space="preserve"> internal components.</w:t>
      </w:r>
    </w:p>
    <w:p w14:paraId="53536065" w14:textId="48D910A1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>Vibration from nearby equipment or foot traffic.</w:t>
      </w:r>
    </w:p>
    <w:p w14:paraId="40A5EB37" w14:textId="611D7119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>Unstable or uneven surfaces affecting leveling.</w:t>
      </w:r>
    </w:p>
    <w:p w14:paraId="383D85BB" w14:textId="779AEB6C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 xml:space="preserve">Electrostatic charges </w:t>
      </w:r>
      <w:r w:rsidR="00230391">
        <w:t>influence</w:t>
      </w:r>
      <w:r>
        <w:t xml:space="preserve"> mass readings.</w:t>
      </w:r>
    </w:p>
    <w:p w14:paraId="2B402E3A" w14:textId="47FB990E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>Magnetic fields interfering with electronic balances.</w:t>
      </w:r>
    </w:p>
    <w:p w14:paraId="583A31FF" w14:textId="0124E18B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>Improper leveling of the balance.</w:t>
      </w:r>
    </w:p>
    <w:p w14:paraId="4B9CF60D" w14:textId="1A20AA4F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>Humidity variations affecting sample mass.</w:t>
      </w:r>
    </w:p>
    <w:p w14:paraId="5F983892" w14:textId="366696C5" w:rsidR="008C699B" w:rsidRDefault="003947C8" w:rsidP="00230391">
      <w:pPr>
        <w:pStyle w:val="ListParagraph"/>
        <w:numPr>
          <w:ilvl w:val="0"/>
          <w:numId w:val="14"/>
        </w:numPr>
        <w:jc w:val="both"/>
      </w:pPr>
      <w:r>
        <w:t xml:space="preserve">Operator </w:t>
      </w:r>
      <w:r w:rsidR="00230391">
        <w:t>managing</w:t>
      </w:r>
      <w:r>
        <w:t xml:space="preserve"> and inconsistent weighing techniques.</w:t>
      </w:r>
    </w:p>
    <w:p w14:paraId="6DBF2FCC" w14:textId="77777777" w:rsidR="008C699B" w:rsidRDefault="003947C8" w:rsidP="00996BB1">
      <w:pPr>
        <w:pStyle w:val="Heading2"/>
        <w:jc w:val="both"/>
      </w:pPr>
      <w:r>
        <w:t>6. Compliance</w:t>
      </w:r>
    </w:p>
    <w:p w14:paraId="5A99A17D" w14:textId="77777777" w:rsidR="008C699B" w:rsidRDefault="003947C8" w:rsidP="00996BB1">
      <w:pPr>
        <w:jc w:val="both"/>
      </w:pPr>
      <w:r>
        <w:t>Failure to comply with this instruction may result in invalid test results and compromise the laboratory’s accreditation status. All personnel are required to adhere strictly to this directive.</w:t>
      </w:r>
    </w:p>
    <w:p w14:paraId="52D52654" w14:textId="77777777" w:rsidR="008C699B" w:rsidRDefault="003947C8" w:rsidP="00996BB1">
      <w:pPr>
        <w:pStyle w:val="Heading2"/>
        <w:jc w:val="both"/>
      </w:pPr>
      <w:r>
        <w:t>7. Records</w:t>
      </w:r>
    </w:p>
    <w:p w14:paraId="562C5043" w14:textId="77777777" w:rsidR="008C699B" w:rsidRDefault="003947C8" w:rsidP="00996BB1">
      <w:pPr>
        <w:jc w:val="both"/>
      </w:pPr>
      <w:r>
        <w:t>All equipment movement, maintenance, and verification activities must be documented in the equipment logbook in accordance with quality system procedures.</w:t>
      </w:r>
    </w:p>
    <w:p w14:paraId="17647E0F" w14:textId="77777777" w:rsidR="00996BB1" w:rsidRDefault="00996BB1" w:rsidP="00996BB1">
      <w:pPr>
        <w:jc w:val="both"/>
      </w:pPr>
    </w:p>
    <w:p w14:paraId="7D0FFBD1" w14:textId="77777777" w:rsidR="008C699B" w:rsidRDefault="003947C8" w:rsidP="00996BB1">
      <w:pPr>
        <w:pStyle w:val="Heading2"/>
        <w:jc w:val="both"/>
      </w:pPr>
      <w:r>
        <w:t>8. Revision History</w:t>
      </w:r>
    </w:p>
    <w:p w14:paraId="0D8D95D3" w14:textId="77777777" w:rsidR="00230391" w:rsidRPr="00230391" w:rsidRDefault="00230391" w:rsidP="00230391"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28"/>
        <w:gridCol w:w="2120"/>
        <w:gridCol w:w="2137"/>
        <w:gridCol w:w="2137"/>
      </w:tblGrid>
      <w:tr w:rsidR="008C699B" w14:paraId="5A75741F" w14:textId="77777777" w:rsidTr="00996BB1">
        <w:tc>
          <w:tcPr>
            <w:tcW w:w="2160" w:type="dxa"/>
          </w:tcPr>
          <w:p w14:paraId="693C8D30" w14:textId="77777777" w:rsidR="008C699B" w:rsidRDefault="003947C8" w:rsidP="00996BB1">
            <w:pPr>
              <w:jc w:val="both"/>
            </w:pPr>
            <w:r>
              <w:t>Revision</w:t>
            </w:r>
          </w:p>
        </w:tc>
        <w:tc>
          <w:tcPr>
            <w:tcW w:w="2160" w:type="dxa"/>
          </w:tcPr>
          <w:p w14:paraId="53016BD6" w14:textId="77777777" w:rsidR="008C699B" w:rsidRDefault="003947C8" w:rsidP="00996BB1">
            <w:pPr>
              <w:jc w:val="both"/>
            </w:pPr>
            <w:r>
              <w:t>Date</w:t>
            </w:r>
          </w:p>
        </w:tc>
        <w:tc>
          <w:tcPr>
            <w:tcW w:w="2160" w:type="dxa"/>
          </w:tcPr>
          <w:p w14:paraId="7892E52D" w14:textId="77777777" w:rsidR="008C699B" w:rsidRDefault="003947C8" w:rsidP="00996BB1">
            <w:pPr>
              <w:jc w:val="both"/>
            </w:pPr>
            <w:r>
              <w:t>Description</w:t>
            </w:r>
          </w:p>
        </w:tc>
        <w:tc>
          <w:tcPr>
            <w:tcW w:w="2160" w:type="dxa"/>
          </w:tcPr>
          <w:p w14:paraId="366EF9E4" w14:textId="77777777" w:rsidR="008C699B" w:rsidRDefault="003947C8" w:rsidP="00996BB1">
            <w:pPr>
              <w:jc w:val="both"/>
            </w:pPr>
            <w:r>
              <w:t>Approved By</w:t>
            </w:r>
          </w:p>
        </w:tc>
      </w:tr>
      <w:tr w:rsidR="008C699B" w14:paraId="1121D53D" w14:textId="77777777" w:rsidTr="00996BB1">
        <w:tc>
          <w:tcPr>
            <w:tcW w:w="2160" w:type="dxa"/>
          </w:tcPr>
          <w:p w14:paraId="66F4B05C" w14:textId="77777777" w:rsidR="008C699B" w:rsidRDefault="003947C8" w:rsidP="00996BB1">
            <w:pPr>
              <w:jc w:val="both"/>
            </w:pPr>
            <w:r>
              <w:t>00</w:t>
            </w:r>
          </w:p>
        </w:tc>
        <w:tc>
          <w:tcPr>
            <w:tcW w:w="2160" w:type="dxa"/>
          </w:tcPr>
          <w:p w14:paraId="541EB73A" w14:textId="7E9839D2" w:rsidR="008C699B" w:rsidRDefault="00996BB1" w:rsidP="00996BB1">
            <w:pPr>
              <w:jc w:val="both"/>
            </w:pPr>
            <w:r>
              <w:t>13-04-2025</w:t>
            </w:r>
          </w:p>
        </w:tc>
        <w:tc>
          <w:tcPr>
            <w:tcW w:w="2160" w:type="dxa"/>
          </w:tcPr>
          <w:p w14:paraId="396804F0" w14:textId="130041F3" w:rsidR="008C699B" w:rsidRDefault="00996BB1" w:rsidP="00996BB1">
            <w:pPr>
              <w:jc w:val="both"/>
            </w:pPr>
            <w:r>
              <w:t>Initial issue</w:t>
            </w:r>
          </w:p>
        </w:tc>
        <w:tc>
          <w:tcPr>
            <w:tcW w:w="2160" w:type="dxa"/>
          </w:tcPr>
          <w:p w14:paraId="66922EFF" w14:textId="77777777" w:rsidR="008C699B" w:rsidRDefault="003947C8" w:rsidP="00996BB1">
            <w:pPr>
              <w:jc w:val="both"/>
            </w:pPr>
            <w:r>
              <w:t>Nonhlanhla Msibi</w:t>
            </w:r>
          </w:p>
        </w:tc>
      </w:tr>
    </w:tbl>
    <w:p w14:paraId="59FE4E84" w14:textId="77777777" w:rsidR="00140684" w:rsidRDefault="00140684" w:rsidP="00996BB1">
      <w:pPr>
        <w:jc w:val="both"/>
      </w:pPr>
    </w:p>
    <w:sectPr w:rsidR="00140684" w:rsidSect="00CA3372">
      <w:headerReference w:type="default" r:id="rId8"/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CC7C1" w14:textId="77777777" w:rsidR="003947C8" w:rsidRDefault="003947C8" w:rsidP="00230391">
      <w:pPr>
        <w:spacing w:after="0" w:line="240" w:lineRule="auto"/>
      </w:pPr>
      <w:r>
        <w:separator/>
      </w:r>
    </w:p>
  </w:endnote>
  <w:endnote w:type="continuationSeparator" w:id="0">
    <w:p w14:paraId="6CCE24BF" w14:textId="77777777" w:rsidR="003947C8" w:rsidRDefault="003947C8" w:rsidP="00230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840"/>
      <w:gridCol w:w="2841"/>
      <w:gridCol w:w="2841"/>
    </w:tblGrid>
    <w:tr w:rsidR="00CA3372" w14:paraId="7618EFF0" w14:textId="77777777" w:rsidTr="00CA3372">
      <w:tc>
        <w:tcPr>
          <w:tcW w:w="2952" w:type="dxa"/>
        </w:tcPr>
        <w:p w14:paraId="7392AE4A" w14:textId="43F387EB" w:rsidR="00CA3372" w:rsidRDefault="00CA3372">
          <w:pPr>
            <w:pStyle w:val="Footer"/>
          </w:pPr>
          <w:r>
            <w:t>Revision</w:t>
          </w:r>
        </w:p>
      </w:tc>
      <w:tc>
        <w:tcPr>
          <w:tcW w:w="2952" w:type="dxa"/>
        </w:tcPr>
        <w:p w14:paraId="5D353269" w14:textId="559D7AA1" w:rsidR="00CA3372" w:rsidRDefault="00CA3372">
          <w:pPr>
            <w:pStyle w:val="Footer"/>
          </w:pPr>
          <w:r>
            <w:t>Initial Date</w:t>
          </w:r>
        </w:p>
      </w:tc>
      <w:tc>
        <w:tcPr>
          <w:tcW w:w="2952" w:type="dxa"/>
        </w:tcPr>
        <w:p w14:paraId="5CDBC4C7" w14:textId="45FB7828" w:rsidR="00CA3372" w:rsidRDefault="00CA3372">
          <w:pPr>
            <w:pStyle w:val="Footer"/>
          </w:pPr>
          <w:r>
            <w:t>Next Rev Date</w:t>
          </w:r>
        </w:p>
      </w:tc>
    </w:tr>
    <w:tr w:rsidR="00CA3372" w14:paraId="36E8E535" w14:textId="77777777" w:rsidTr="00CA3372">
      <w:tc>
        <w:tcPr>
          <w:tcW w:w="2952" w:type="dxa"/>
        </w:tcPr>
        <w:p w14:paraId="35B9CEBD" w14:textId="7D7DC370" w:rsidR="00CA3372" w:rsidRDefault="00CA3372">
          <w:pPr>
            <w:pStyle w:val="Footer"/>
          </w:pPr>
          <w:r>
            <w:t>00</w:t>
          </w:r>
        </w:p>
      </w:tc>
      <w:tc>
        <w:tcPr>
          <w:tcW w:w="2952" w:type="dxa"/>
        </w:tcPr>
        <w:p w14:paraId="343CE893" w14:textId="5684A1F7" w:rsidR="00CA3372" w:rsidRDefault="00CA3372">
          <w:pPr>
            <w:pStyle w:val="Footer"/>
          </w:pPr>
          <w:r>
            <w:t>04/2026</w:t>
          </w:r>
        </w:p>
      </w:tc>
      <w:tc>
        <w:tcPr>
          <w:tcW w:w="2952" w:type="dxa"/>
        </w:tcPr>
        <w:p w14:paraId="1FB326EC" w14:textId="38E5B593" w:rsidR="00CA3372" w:rsidRDefault="00CA3372">
          <w:pPr>
            <w:pStyle w:val="Footer"/>
          </w:pPr>
          <w:r>
            <w:t>04/2029</w:t>
          </w:r>
        </w:p>
      </w:tc>
    </w:tr>
  </w:tbl>
  <w:p w14:paraId="5AB9382E" w14:textId="77777777" w:rsidR="00230391" w:rsidRDefault="002303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02321" w14:textId="77777777" w:rsidR="003947C8" w:rsidRDefault="003947C8" w:rsidP="00230391">
      <w:pPr>
        <w:spacing w:after="0" w:line="240" w:lineRule="auto"/>
      </w:pPr>
      <w:r>
        <w:separator/>
      </w:r>
    </w:p>
  </w:footnote>
  <w:footnote w:type="continuationSeparator" w:id="0">
    <w:p w14:paraId="7E64E669" w14:textId="77777777" w:rsidR="003947C8" w:rsidRDefault="003947C8" w:rsidP="00230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290240"/>
      <w:docPartObj>
        <w:docPartGallery w:val="Watermarks"/>
        <w:docPartUnique/>
      </w:docPartObj>
    </w:sdtPr>
    <w:sdtEndPr/>
    <w:sdtContent>
      <w:p w14:paraId="3BD1E29D" w14:textId="77777777" w:rsidR="005D2E69" w:rsidRDefault="003947C8">
        <w:pPr>
          <w:pStyle w:val="Header"/>
        </w:pPr>
        <w:r>
          <w:rPr>
            <w:noProof/>
          </w:rPr>
          <w:pict w14:anchorId="5AF3ACE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margin-left:0;margin-top:0;width:525.95pt;height:83.0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TROLLED DOCUMENT"/>
              <w10:wrap anchorx="margin" anchory="margin"/>
            </v:shape>
          </w:pict>
        </w:r>
      </w:p>
    </w:sdtContent>
  </w:sdt>
  <w:tbl>
    <w:tblPr>
      <w:tblW w:w="10320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08"/>
      <w:gridCol w:w="7412"/>
    </w:tblGrid>
    <w:tr w:rsidR="005D2E69" w:rsidRPr="0055466D" w14:paraId="11AE0180" w14:textId="77777777" w:rsidTr="00CA3372">
      <w:trPr>
        <w:trHeight w:val="517"/>
        <w:jc w:val="center"/>
      </w:trPr>
      <w:tc>
        <w:tcPr>
          <w:tcW w:w="2908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DEF630B" w14:textId="77777777" w:rsidR="005D2E69" w:rsidRPr="0055466D" w:rsidRDefault="005D2E69" w:rsidP="005D2E69">
          <w:pPr>
            <w:pStyle w:val="Header"/>
          </w:pPr>
          <w:r w:rsidRPr="0055466D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62BDB485" wp14:editId="22C33C1E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94112475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3B79E2C" w14:textId="77777777" w:rsidR="005D2E69" w:rsidRPr="0055466D" w:rsidRDefault="005D2E69" w:rsidP="005D2E69">
          <w:pPr>
            <w:pStyle w:val="Header"/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63BDD85" w14:textId="77777777" w:rsidR="005D2E69" w:rsidRPr="0055466D" w:rsidRDefault="005D2E69" w:rsidP="005D2E69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Equipment Management</w:t>
          </w:r>
        </w:p>
      </w:tc>
    </w:tr>
    <w:tr w:rsidR="005D2E69" w:rsidRPr="0055466D" w14:paraId="2807943C" w14:textId="77777777" w:rsidTr="00CA3372">
      <w:trPr>
        <w:trHeight w:val="258"/>
        <w:jc w:val="center"/>
      </w:trPr>
      <w:tc>
        <w:tcPr>
          <w:tcW w:w="2908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B7C383B" w14:textId="77777777" w:rsidR="005D2E69" w:rsidRPr="0055466D" w:rsidRDefault="005D2E69" w:rsidP="005D2E69">
          <w:pPr>
            <w:pStyle w:val="Header"/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7861A22" w14:textId="77777777" w:rsidR="005D2E69" w:rsidRPr="0055466D" w:rsidRDefault="005D2E69" w:rsidP="005D2E69">
          <w:pPr>
            <w:pStyle w:val="Header"/>
            <w:jc w:val="center"/>
            <w:rPr>
              <w:b/>
              <w:bCs/>
            </w:rPr>
          </w:pPr>
          <w:r w:rsidRPr="0055466D">
            <w:rPr>
              <w:b/>
              <w:bCs/>
            </w:rPr>
            <w:t>Document no:</w:t>
          </w:r>
        </w:p>
        <w:p w14:paraId="7EA55700" w14:textId="4330F2B1" w:rsidR="005D2E69" w:rsidRPr="0055466D" w:rsidRDefault="005D2E69" w:rsidP="005D2E69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</w:rPr>
            <w:t>7.4</w:t>
          </w:r>
          <w:r>
            <w:rPr>
              <w:b/>
              <w:bCs/>
            </w:rPr>
            <w:t xml:space="preserve"> </w:t>
          </w:r>
          <w:r>
            <w:rPr>
              <w:b/>
              <w:bCs/>
            </w:rPr>
            <w:t>Memo</w:t>
          </w:r>
        </w:p>
      </w:tc>
    </w:tr>
    <w:tr w:rsidR="005D2E69" w:rsidRPr="0055466D" w14:paraId="20B88B1E" w14:textId="77777777" w:rsidTr="00CA3372">
      <w:trPr>
        <w:trHeight w:val="1415"/>
        <w:jc w:val="center"/>
      </w:trPr>
      <w:tc>
        <w:tcPr>
          <w:tcW w:w="2908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45CE97BD" w14:textId="77777777" w:rsidR="005D2E69" w:rsidRPr="0055466D" w:rsidRDefault="005D2E69" w:rsidP="005D2E69">
          <w:pPr>
            <w:pStyle w:val="Header"/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D2E69" w:rsidRPr="0055466D" w14:paraId="73D43495" w14:textId="77777777" w:rsidTr="002F003D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1A0149D" w14:textId="77777777" w:rsidR="005D2E69" w:rsidRPr="0055466D" w:rsidRDefault="005D2E69" w:rsidP="005D2E6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55466D">
                  <w:rPr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543948B" w14:textId="77777777" w:rsidR="005D2E69" w:rsidRPr="0055466D" w:rsidRDefault="005D2E69" w:rsidP="005D2E69">
                <w:pPr>
                  <w:pStyle w:val="Header"/>
                  <w:rPr>
                    <w:b/>
                    <w:bCs/>
                  </w:rPr>
                </w:pPr>
                <w:r w:rsidRPr="0055466D">
                  <w:rPr>
                    <w:noProof/>
                  </w:rPr>
                  <w:drawing>
                    <wp:anchor distT="0" distB="0" distL="114300" distR="114300" simplePos="0" relativeHeight="251658240" behindDoc="0" locked="0" layoutInCell="1" allowOverlap="1" wp14:anchorId="36E610A8" wp14:editId="301F6B8E">
                      <wp:simplePos x="0" y="0"/>
                      <wp:positionH relativeFrom="column">
                        <wp:posOffset>2158035</wp:posOffset>
                      </wp:positionH>
                      <wp:positionV relativeFrom="paragraph">
                        <wp:posOffset>383043</wp:posOffset>
                      </wp:positionV>
                      <wp:extent cx="405516" cy="258322"/>
                      <wp:effectExtent l="0" t="0" r="0" b="8890"/>
                      <wp:wrapNone/>
                      <wp:docPr id="131544511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12704" cy="262901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b/>
                    <w:bCs/>
                  </w:rPr>
                  <w:t xml:space="preserve">Tshepo Maponya </w:t>
                </w:r>
                <w:r w:rsidRPr="0055466D">
                  <w:rPr>
                    <w:b/>
                    <w:bCs/>
                  </w:rPr>
                  <w:t xml:space="preserve">- Laboratory </w:t>
                </w:r>
                <w:r>
                  <w:rPr>
                    <w:b/>
                    <w:bCs/>
                  </w:rPr>
                  <w:t>Supervisor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CA6533D" w14:textId="77777777" w:rsidR="005D2E69" w:rsidRPr="0055466D" w:rsidRDefault="005D2E69" w:rsidP="005D2E69">
                <w:pPr>
                  <w:pStyle w:val="Header"/>
                  <w:rPr>
                    <w:b/>
                    <w:bCs/>
                  </w:rPr>
                </w:pPr>
                <w:r>
                  <w:rPr>
                    <w:b/>
                    <w:bCs/>
                    <w:noProof/>
                  </w:rPr>
                  <w:drawing>
                    <wp:anchor distT="0" distB="0" distL="114300" distR="114300" simplePos="0" relativeHeight="251660288" behindDoc="0" locked="0" layoutInCell="1" allowOverlap="1" wp14:anchorId="01F31393" wp14:editId="7CBE6C3B">
                      <wp:simplePos x="0" y="0"/>
                      <wp:positionH relativeFrom="column">
                        <wp:posOffset>110159</wp:posOffset>
                      </wp:positionH>
                      <wp:positionV relativeFrom="paragraph">
                        <wp:posOffset>17283</wp:posOffset>
                      </wp:positionV>
                      <wp:extent cx="349857" cy="228139"/>
                      <wp:effectExtent l="0" t="0" r="0" b="0"/>
                      <wp:wrapNone/>
                      <wp:docPr id="754394633" name="Pictur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4394633" name="Picture 754394633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3991" cy="2308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5D2E69" w:rsidRPr="0055466D" w14:paraId="6AA5543A" w14:textId="77777777" w:rsidTr="002F003D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EF227C6" w14:textId="77777777" w:rsidR="005D2E69" w:rsidRPr="0055466D" w:rsidRDefault="005D2E69" w:rsidP="005D2E6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55466D">
                  <w:rPr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AECA349" w14:textId="77777777" w:rsidR="005D2E69" w:rsidRPr="0055466D" w:rsidRDefault="005D2E69" w:rsidP="005D2E69">
                <w:pPr>
                  <w:pStyle w:val="Header"/>
                  <w:rPr>
                    <w:b/>
                    <w:bCs/>
                  </w:rPr>
                </w:pPr>
                <w:r w:rsidRPr="0055466D">
                  <w:rPr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40DE85" w14:textId="77777777" w:rsidR="005D2E69" w:rsidRPr="0055466D" w:rsidRDefault="005D2E69" w:rsidP="005D2E69">
                <w:pPr>
                  <w:pStyle w:val="Header"/>
                  <w:rPr>
                    <w:b/>
                    <w:bCs/>
                  </w:rPr>
                </w:pPr>
              </w:p>
            </w:tc>
          </w:tr>
        </w:tbl>
        <w:p w14:paraId="639D32F3" w14:textId="77777777" w:rsidR="005D2E69" w:rsidRPr="0055466D" w:rsidRDefault="005D2E69" w:rsidP="005D2E69">
          <w:pPr>
            <w:pStyle w:val="Header"/>
            <w:rPr>
              <w:b/>
              <w:bCs/>
            </w:rPr>
          </w:pPr>
        </w:p>
      </w:tc>
    </w:tr>
  </w:tbl>
  <w:p w14:paraId="50A9A0BA" w14:textId="27ECA064" w:rsidR="00230391" w:rsidRDefault="002303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6F5D06"/>
    <w:multiLevelType w:val="hybridMultilevel"/>
    <w:tmpl w:val="DB9455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83B7C"/>
    <w:multiLevelType w:val="hybridMultilevel"/>
    <w:tmpl w:val="6A76BF94"/>
    <w:lvl w:ilvl="0" w:tplc="39B069DC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DB4894"/>
    <w:multiLevelType w:val="hybridMultilevel"/>
    <w:tmpl w:val="8668AC28"/>
    <w:lvl w:ilvl="0" w:tplc="39B069D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818DC"/>
    <w:multiLevelType w:val="hybridMultilevel"/>
    <w:tmpl w:val="C448B7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FA095F"/>
    <w:multiLevelType w:val="hybridMultilevel"/>
    <w:tmpl w:val="5A76EE5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3666335">
    <w:abstractNumId w:val="8"/>
  </w:num>
  <w:num w:numId="2" w16cid:durableId="1053963364">
    <w:abstractNumId w:val="6"/>
  </w:num>
  <w:num w:numId="3" w16cid:durableId="685013604">
    <w:abstractNumId w:val="5"/>
  </w:num>
  <w:num w:numId="4" w16cid:durableId="768626353">
    <w:abstractNumId w:val="4"/>
  </w:num>
  <w:num w:numId="5" w16cid:durableId="2121947568">
    <w:abstractNumId w:val="7"/>
  </w:num>
  <w:num w:numId="6" w16cid:durableId="1744449094">
    <w:abstractNumId w:val="3"/>
  </w:num>
  <w:num w:numId="7" w16cid:durableId="1387949281">
    <w:abstractNumId w:val="2"/>
  </w:num>
  <w:num w:numId="8" w16cid:durableId="1920212531">
    <w:abstractNumId w:val="1"/>
  </w:num>
  <w:num w:numId="9" w16cid:durableId="1826817361">
    <w:abstractNumId w:val="0"/>
  </w:num>
  <w:num w:numId="10" w16cid:durableId="1478062084">
    <w:abstractNumId w:val="9"/>
  </w:num>
  <w:num w:numId="11" w16cid:durableId="1812357545">
    <w:abstractNumId w:val="12"/>
  </w:num>
  <w:num w:numId="12" w16cid:durableId="1781799280">
    <w:abstractNumId w:val="11"/>
  </w:num>
  <w:num w:numId="13" w16cid:durableId="1507359156">
    <w:abstractNumId w:val="10"/>
  </w:num>
  <w:num w:numId="14" w16cid:durableId="8918179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49"/>
    <w:rsid w:val="00034616"/>
    <w:rsid w:val="0006063C"/>
    <w:rsid w:val="00140684"/>
    <w:rsid w:val="0015074B"/>
    <w:rsid w:val="00230391"/>
    <w:rsid w:val="0029639D"/>
    <w:rsid w:val="00326F90"/>
    <w:rsid w:val="00391B9C"/>
    <w:rsid w:val="003947C8"/>
    <w:rsid w:val="005D2E69"/>
    <w:rsid w:val="00633BE9"/>
    <w:rsid w:val="007E2C8D"/>
    <w:rsid w:val="008C699B"/>
    <w:rsid w:val="00996BB1"/>
    <w:rsid w:val="00AA1D8D"/>
    <w:rsid w:val="00B47730"/>
    <w:rsid w:val="00BE34A4"/>
    <w:rsid w:val="00CA3372"/>
    <w:rsid w:val="00CB0664"/>
    <w:rsid w:val="00D77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052D44"/>
  <w14:defaultImageDpi w14:val="300"/>
  <w15:docId w15:val="{E3C0A969-BFBE-47A0-A269-92D40E64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633B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Nyambi</cp:lastModifiedBy>
  <cp:revision>7</cp:revision>
  <cp:lastPrinted>2026-04-16T12:47:00Z</cp:lastPrinted>
  <dcterms:created xsi:type="dcterms:W3CDTF">2013-12-23T23:15:00Z</dcterms:created>
  <dcterms:modified xsi:type="dcterms:W3CDTF">2026-04-16T12:49:00Z</dcterms:modified>
  <cp:category/>
</cp:coreProperties>
</file>