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1AA0E" w14:textId="77777777" w:rsidR="00F23117" w:rsidRDefault="00F23117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MODEL ANSWERS AND MARKING RUBRIC (TOTAL: 20 POINTS)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2523"/>
        <w:gridCol w:w="4865"/>
        <w:gridCol w:w="1081"/>
      </w:tblGrid>
      <w:tr w:rsidR="00EF2FEC" w14:paraId="374C8C0E" w14:textId="77777777">
        <w:trPr>
          <w:tblHeader/>
        </w:trPr>
        <w:tc>
          <w:tcPr>
            <w:tcW w:w="3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EDF2F7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65B826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  <w:t>Q#</w:t>
            </w:r>
          </w:p>
        </w:tc>
        <w:tc>
          <w:tcPr>
            <w:tcW w:w="14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EDF2F7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565436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  <w:t>Question Focus</w:t>
            </w:r>
          </w:p>
        </w:tc>
        <w:tc>
          <w:tcPr>
            <w:tcW w:w="27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EDF2F7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E95D41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  <w:t>Model Answer &amp; Mandatory Technical Criteria</w:t>
            </w:r>
          </w:p>
        </w:tc>
        <w:tc>
          <w:tcPr>
            <w:tcW w:w="6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EDF2F7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AB64F2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  <w:t>Points</w:t>
            </w:r>
          </w:p>
        </w:tc>
      </w:tr>
      <w:tr w:rsidR="00EF2FEC" w14:paraId="490EBCFE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A5BD65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5F8A09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Method Selection &amp; Principle (AS015IW Cl. 1, ISO 589 Cl. 4)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3F338A" w14:textId="0AEDA1E1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Two methods: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Single-Stage and Two-Stage thermal drying (1 pt).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Requirement for Two-Stage: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Required when coal is visibly wet / excessively moist, or when particle size/mass makes single-stage drying impractical or prone to moisture loss/choking during crushing (1 pt). 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A91EC8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2 pts</w:t>
            </w:r>
          </w:p>
        </w:tc>
      </w:tr>
      <w:tr w:rsidR="00EF2FEC" w14:paraId="6CC3B4F7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752A0C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DAFD08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Sample Mass &amp; Top-Size (AS015IW Cl. 2.1, ISO 13909-4 Table 1, AS001IW Cl. 4.1)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29DA40" w14:textId="795794EF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Minimum mass for 50 mm top-size: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35 kg (</w:t>
            </w:r>
            <w:r w:rsidR="008E24DC"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1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pt).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Maximum nominal top-size accepted by lab: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Shall not be &gt; 50 mm (</w:t>
            </w:r>
            <w:r w:rsidR="008E24DC"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1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pt). 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A68185" w14:textId="12A0B8D8" w:rsidR="00F23117" w:rsidRDefault="008E24DC">
            <w:pPr>
              <w:spacing w:after="150"/>
              <w:jc w:val="center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2</w:t>
            </w:r>
            <w:r w:rsidR="00F23117"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pt</w:t>
            </w:r>
          </w:p>
        </w:tc>
      </w:tr>
      <w:tr w:rsidR="00EF2FEC" w14:paraId="61CC5F3C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024611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46C808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Cone &amp; Quartering (AS015IW Cl. 2.1)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048260" w14:textId="77777777" w:rsidR="00E7710D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Form coal into cone, flatten top, divide into 4 equal quarters, select one quarter (1 pt).</w:t>
            </w:r>
          </w:p>
          <w:p w14:paraId="637483D1" w14:textId="2778092B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  <w:t xml:space="preserve">If the selected quarter mass &lt; 35 kg, the analyst must combine two opposite quarters to ensure representativeness (1 pt). 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F1C983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2 pts</w:t>
            </w:r>
          </w:p>
        </w:tc>
      </w:tr>
      <w:tr w:rsidR="00EF2FEC" w14:paraId="625AAF11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6E66EC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6F5BAD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Stage 1 Air-Drying Conditions (AS015IW Cl. 2.2, ISO 13909-4 Cl. 9, ISO 589 Cl. 6.1.1)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B5E6BC" w14:textId="792E42A7" w:rsidR="00E7710D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Air dry at ambient temperature or in fan-forced oven not exceeding 40 °C (</w:t>
            </w:r>
            <w:r w:rsidR="008E24DC"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1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pt).</w:t>
            </w:r>
          </w:p>
          <w:p w14:paraId="511CE412" w14:textId="11304D00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Rationale: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Temperatures &gt; 40 °C promote coal oxidation (especially in lower-rank coals), leading to mass gain and severe analytical bias (</w:t>
            </w:r>
            <w:r w:rsidR="008E24DC"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1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pt). 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6679C7" w14:textId="6E63BB59" w:rsidR="00F23117" w:rsidRDefault="008E24DC">
            <w:pPr>
              <w:spacing w:after="150"/>
              <w:jc w:val="center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2</w:t>
            </w:r>
            <w:r w:rsidR="00F23117"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pt</w:t>
            </w:r>
          </w:p>
        </w:tc>
      </w:tr>
      <w:tr w:rsidR="00EF2FEC" w14:paraId="3B0675D2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FFA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FB0EF8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b/>
                <w:bCs/>
                <w:color w:val="C530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C53030"/>
                <w:sz w:val="18"/>
                <w:szCs w:val="18"/>
              </w:rPr>
              <w:t>*5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FFA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7A1A3B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crit-badge1"/>
                <w:rFonts w:ascii="Segoe UI" w:eastAsia="Times New Roman" w:hAnsi="Segoe UI" w:cs="Segoe UI"/>
              </w:rPr>
              <w:t>CRITICAL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Procedural Flow &amp; Preparation (AS015IW Cl. 2.2, 3.1, 3.2)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FFA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4D36FA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Mandatory 5 steps (1 pt each - ALL must be correct):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  <w:t>1. Spread 35 kg sample thinly on clean drying pans until "visibly dry" (≤ 40 °C).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  <w:t>2. Stage 1 stability check: air drying complete when mass loss is &lt; 0.1 g.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  <w:t>3. Primary crush through 25 mm crusher and reduce mass using Riffle Splitter.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  <w:t>4. Secondary crush: crush to -10 mm for Single-Stage, or -3 mm for Two-Stage.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  <w:t xml:space="preserve">5. Final riffle division to 1 kg per side, tare pans on balance, transfer into duplicate Pan A and Pan B. 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FFA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43043E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color w:val="C53030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C53030"/>
                <w:sz w:val="18"/>
                <w:szCs w:val="18"/>
              </w:rPr>
              <w:t>*5 pts</w:t>
            </w:r>
            <w:r>
              <w:rPr>
                <w:rFonts w:ascii="Segoe UI" w:eastAsia="Times New Roman" w:hAnsi="Segoe UI" w:cs="Segoe UI"/>
                <w:color w:val="C53030"/>
                <w:sz w:val="18"/>
                <w:szCs w:val="18"/>
              </w:rPr>
              <w:br/>
            </w:r>
            <w:r>
              <w:rPr>
                <w:rFonts w:ascii="Segoe UI" w:eastAsia="Times New Roman" w:hAnsi="Segoe UI" w:cs="Segoe UI"/>
                <w:color w:val="C53030"/>
                <w:sz w:val="15"/>
                <w:szCs w:val="15"/>
              </w:rPr>
              <w:t>(Zero tolerance)</w:t>
            </w:r>
          </w:p>
        </w:tc>
      </w:tr>
      <w:tr w:rsidR="00EF2FEC" w14:paraId="29DD4B88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FFA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E2D515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b/>
                <w:bCs/>
                <w:color w:val="C530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C53030"/>
                <w:sz w:val="18"/>
                <w:szCs w:val="18"/>
              </w:rPr>
              <w:t>*6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FFA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15274B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crit-badge1"/>
                <w:rFonts w:ascii="Segoe UI" w:eastAsia="Times New Roman" w:hAnsi="Segoe UI" w:cs="Segoe UI"/>
              </w:rPr>
              <w:t>CRITICAL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Oven Temperature &amp; Stability (AS015IW Cl. 4.1, ISO 589 Cl. 4)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FFA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4916FF2" w14:textId="50624C5C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Temperature range: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105 °C to 110 °C (</w:t>
            </w:r>
            <w:r w:rsidR="008E24DC"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1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pt).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Drying intervals &amp; stability: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Initial dry for 3 hours; first weighing on LIMS, return for 30 minutes. Stable when mass loss between 30-min intervals is ≤ 0.1 g (</w:t>
            </w:r>
            <w:r w:rsidR="008E24DC"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1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pt). 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FFA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805F84" w14:textId="496E13F6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color w:val="C53030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C53030"/>
                <w:sz w:val="18"/>
                <w:szCs w:val="18"/>
              </w:rPr>
              <w:t>*</w:t>
            </w:r>
            <w:r w:rsidR="008E24DC">
              <w:rPr>
                <w:rStyle w:val="Strong"/>
                <w:rFonts w:ascii="Segoe UI" w:eastAsia="Times New Roman" w:hAnsi="Segoe UI" w:cs="Segoe UI"/>
                <w:color w:val="C53030"/>
                <w:sz w:val="18"/>
                <w:szCs w:val="18"/>
              </w:rPr>
              <w:t>2</w:t>
            </w:r>
            <w:r>
              <w:rPr>
                <w:rStyle w:val="Strong"/>
                <w:rFonts w:ascii="Segoe UI" w:eastAsia="Times New Roman" w:hAnsi="Segoe UI" w:cs="Segoe UI"/>
                <w:color w:val="C53030"/>
                <w:sz w:val="18"/>
                <w:szCs w:val="18"/>
              </w:rPr>
              <w:t xml:space="preserve"> pt</w:t>
            </w:r>
            <w:r>
              <w:rPr>
                <w:rFonts w:ascii="Segoe UI" w:eastAsia="Times New Roman" w:hAnsi="Segoe UI" w:cs="Segoe UI"/>
                <w:color w:val="C53030"/>
                <w:sz w:val="18"/>
                <w:szCs w:val="18"/>
              </w:rPr>
              <w:br/>
            </w:r>
            <w:r>
              <w:rPr>
                <w:rFonts w:ascii="Segoe UI" w:eastAsia="Times New Roman" w:hAnsi="Segoe UI" w:cs="Segoe UI"/>
                <w:color w:val="C53030"/>
                <w:sz w:val="15"/>
                <w:szCs w:val="15"/>
              </w:rPr>
              <w:t>(Zero tolerance)</w:t>
            </w:r>
          </w:p>
        </w:tc>
      </w:tr>
      <w:tr w:rsidR="00EF2FEC" w14:paraId="499B3791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A76E8F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4928BC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Oven Failure Limit (AS015IW Cl. 4.1.5)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AC8465" w14:textId="078DEC29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Limit: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If sample does not stabilize within 5 hours (0.5 pt).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Action: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Test marked as "Failed" in LIMS and must be repeated completely (0.5 pt). 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5FF733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1 pt</w:t>
            </w:r>
          </w:p>
        </w:tc>
      </w:tr>
      <w:tr w:rsidR="00EF2FEC" w14:paraId="127ED35A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AF9FEC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97104E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Single-Stage vs Two-Stage Oven Drying (AS015IW Cl. 4.2)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594591" w14:textId="2AE15162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In Single-Stage (-10 mm), the sample remains in the oven for the full 5-hour duration without the 3-hour initial lapse check, after which final stabilized mass is captured on LIMS (1 pt). 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CEC596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1 pt</w:t>
            </w:r>
          </w:p>
        </w:tc>
      </w:tr>
      <w:tr w:rsidR="00EF2FEC" w14:paraId="4227F727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7EDE97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2E17DA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Equipment Verification (AS023TF, AS001IW Cl. 4.1)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EFD934" w14:textId="004E0741" w:rsidR="00E7710D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Oven verification: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Calibrated thermocouple reading (average + correction factor), indicator set point checked against tolerance 105–110 °C (nominal ≤ 107 °C) (</w:t>
            </w:r>
            <w:r w:rsidR="008E24DC"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1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pt).</w:t>
            </w:r>
          </w:p>
          <w:p w14:paraId="3F55ED99" w14:textId="715672F5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Crusher efficiency: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25 mm &amp; 10 mm every Monday before shift; 3 mm &amp; 4.75 mm on day of use before use (</w:t>
            </w:r>
            <w:r w:rsidR="008E24DC"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1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pt). 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88D388" w14:textId="78010F0F" w:rsidR="00F23117" w:rsidRDefault="008E24DC">
            <w:pPr>
              <w:spacing w:after="150"/>
              <w:jc w:val="center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2</w:t>
            </w:r>
            <w:r w:rsidR="00F23117"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pt</w:t>
            </w:r>
          </w:p>
        </w:tc>
      </w:tr>
      <w:tr w:rsidR="00EF2FEC" w14:paraId="13B67819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41587B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EC1AD5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Free Moisture Calculation (AS015IW Cl. 5.1)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CE4767" w14:textId="74350704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Formula: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8"/>
                <w:szCs w:val="18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  <w:vertAlign w:val="subscript"/>
              </w:rPr>
              <w:t>ar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= [(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8"/>
                <w:szCs w:val="18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  <w:vertAlign w:val="subscript"/>
              </w:rPr>
              <w:t>1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− 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8"/>
                <w:szCs w:val="18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  <w:vertAlign w:val="subscript"/>
              </w:rPr>
              <w:t>2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) / 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8"/>
                <w:szCs w:val="18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  <w:vertAlign w:val="subscript"/>
              </w:rPr>
              <w:t>1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] × 100 (1 pt).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Calculation: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[(35.00 − 32.55) / 35.00] × 100 = (2.45 / 35.00) × 100 = 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7.00%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(1 pt). 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961528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2 pts</w:t>
            </w:r>
          </w:p>
        </w:tc>
      </w:tr>
      <w:tr w:rsidR="00EF2FEC" w14:paraId="6D33A48B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2A2561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E8F353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Precision &amp; Repeatability Alert (AS015IW Cl. 6, ISO 589 Table 1)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4BBAD0" w14:textId="77777777" w:rsidR="00E7710D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Repeatability check: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|4.58% − 4.20%| = 0.38%. Since 0.38% &gt; 0.30%, it DOES NOT comply (1 pt).</w:t>
            </w:r>
          </w:p>
          <w:p w14:paraId="0CCB7F03" w14:textId="561EB67D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LIMS Alert &amp; Action: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LIMS triggers a "repeat" alert; the sample test is invalidated and must be repeated (1 pt). 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D450FB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2 pts</w:t>
            </w:r>
          </w:p>
        </w:tc>
      </w:tr>
      <w:tr w:rsidR="00EF2FEC" w14:paraId="7EE2E828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3C4FF8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D4D774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LIMS vs ISO 589 Alignment (AS015IW Cl. 6 Note)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389D02" w14:textId="77777777" w:rsidR="00E7710D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Difference: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LIMS averages the duplicate residual moistures first and inserts into TM formula: 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8"/>
                <w:szCs w:val="18"/>
              </w:rPr>
              <w:t>TM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= 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8"/>
                <w:szCs w:val="18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  <w:vertAlign w:val="subscript"/>
              </w:rPr>
              <w:t>ar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+ [(100 − 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8"/>
                <w:szCs w:val="18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  <w:vertAlign w:val="subscript"/>
              </w:rPr>
              <w:t>ar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) × </w:t>
            </w:r>
            <w:proofErr w:type="spellStart"/>
            <w:proofErr w:type="gramStart"/>
            <w:r>
              <w:rPr>
                <w:rStyle w:val="Emphasis"/>
                <w:rFonts w:ascii="Segoe UI" w:eastAsia="Times New Roman" w:hAnsi="Segoe UI" w:cs="Segoe UI"/>
                <w:color w:val="1A202C"/>
                <w:sz w:val="18"/>
                <w:szCs w:val="18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  <w:vertAlign w:val="subscript"/>
              </w:rPr>
              <w:t>res,avg</w:t>
            </w:r>
            <w:proofErr w:type="spellEnd"/>
            <w:proofErr w:type="gramEnd"/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]/100.</w:t>
            </w:r>
          </w:p>
          <w:p w14:paraId="4D5A4871" w14:textId="311DC6BA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ISO 589 calculates TM of Pan A and Pan B individually and averages them at the end. Mathematically both yield identical results and both are approved at </w:t>
            </w:r>
            <w:proofErr w:type="spellStart"/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AzureSky</w:t>
            </w:r>
            <w:proofErr w:type="spellEnd"/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(</w:t>
            </w:r>
            <w:r w:rsidR="008E24DC"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2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pt). 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9A05F2" w14:textId="39F8E458" w:rsidR="00F23117" w:rsidRDefault="008E24DC">
            <w:pPr>
              <w:spacing w:after="150"/>
              <w:jc w:val="center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2</w:t>
            </w:r>
            <w:r w:rsidR="00F23117"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pt</w:t>
            </w:r>
          </w:p>
        </w:tc>
      </w:tr>
    </w:tbl>
    <w:p w14:paraId="61F13F2A" w14:textId="77777777" w:rsidR="00F23117" w:rsidRDefault="00F23117">
      <w:pPr>
        <w:shd w:val="clear" w:color="auto" w:fill="EDF2F7"/>
        <w:divId w:val="1498306014"/>
        <w:rPr>
          <w:rFonts w:ascii="Segoe UI" w:eastAsia="Times New Roman" w:hAnsi="Segoe UI" w:cs="Segoe UI"/>
          <w:color w:val="1A202C"/>
          <w:sz w:val="19"/>
          <w:szCs w:val="19"/>
        </w:rPr>
      </w:pPr>
      <w:r>
        <w:rPr>
          <w:rStyle w:val="Strong"/>
          <w:rFonts w:ascii="Segoe UI" w:eastAsia="Times New Roman" w:hAnsi="Segoe UI" w:cs="Segoe UI"/>
          <w:color w:val="1A202C"/>
          <w:sz w:val="19"/>
          <w:szCs w:val="19"/>
        </w:rPr>
        <w:t>ASSESSMENT DECISION RULES:</w:t>
      </w:r>
      <w:r>
        <w:rPr>
          <w:rFonts w:ascii="Segoe UI" w:eastAsia="Times New Roman" w:hAnsi="Segoe UI" w:cs="Segoe UI"/>
          <w:color w:val="1A202C"/>
          <w:sz w:val="19"/>
          <w:szCs w:val="19"/>
        </w:rPr>
        <w:t xml:space="preserve"> </w:t>
      </w:r>
    </w:p>
    <w:p w14:paraId="7F11192D" w14:textId="77777777" w:rsidR="00F23117" w:rsidRDefault="00F23117">
      <w:pPr>
        <w:numPr>
          <w:ilvl w:val="0"/>
          <w:numId w:val="1"/>
        </w:numPr>
        <w:shd w:val="clear" w:color="auto" w:fill="EDF2F7"/>
        <w:spacing w:before="100" w:beforeAutospacing="1" w:after="100" w:afterAutospacing="1"/>
        <w:divId w:val="1498306014"/>
        <w:rPr>
          <w:rFonts w:ascii="Segoe UI" w:eastAsia="Times New Roman" w:hAnsi="Segoe UI" w:cs="Segoe UI"/>
          <w:color w:val="1A202C"/>
          <w:sz w:val="19"/>
          <w:szCs w:val="19"/>
        </w:rPr>
      </w:pPr>
      <w:r>
        <w:rPr>
          <w:rFonts w:ascii="Segoe UI" w:eastAsia="Times New Roman" w:hAnsi="Segoe UI" w:cs="Segoe UI"/>
          <w:color w:val="1A202C"/>
          <w:sz w:val="19"/>
          <w:szCs w:val="19"/>
        </w:rPr>
        <w:t xml:space="preserve">If Candidate Score ≥ 16 (80%) AND Questions *5 and *6 are 100% correct → </w:t>
      </w:r>
      <w:r>
        <w:rPr>
          <w:rStyle w:val="Strong"/>
          <w:rFonts w:ascii="Segoe UI" w:eastAsia="Times New Roman" w:hAnsi="Segoe UI" w:cs="Segoe UI"/>
          <w:color w:val="1A202C"/>
          <w:sz w:val="19"/>
          <w:szCs w:val="19"/>
        </w:rPr>
        <w:t>COMPETENT</w:t>
      </w:r>
      <w:r>
        <w:rPr>
          <w:rFonts w:ascii="Segoe UI" w:eastAsia="Times New Roman" w:hAnsi="Segoe UI" w:cs="Segoe UI"/>
          <w:color w:val="1A202C"/>
          <w:sz w:val="19"/>
          <w:szCs w:val="19"/>
        </w:rPr>
        <w:t>.</w:t>
      </w:r>
    </w:p>
    <w:p w14:paraId="4DFFDB44" w14:textId="77777777" w:rsidR="00F23117" w:rsidRDefault="00F23117">
      <w:pPr>
        <w:numPr>
          <w:ilvl w:val="0"/>
          <w:numId w:val="1"/>
        </w:numPr>
        <w:shd w:val="clear" w:color="auto" w:fill="EDF2F7"/>
        <w:spacing w:before="100" w:beforeAutospacing="1" w:after="100" w:afterAutospacing="1"/>
        <w:divId w:val="1498306014"/>
        <w:rPr>
          <w:rFonts w:ascii="Segoe UI" w:eastAsia="Times New Roman" w:hAnsi="Segoe UI" w:cs="Segoe UI"/>
          <w:color w:val="1A202C"/>
          <w:sz w:val="19"/>
          <w:szCs w:val="19"/>
        </w:rPr>
      </w:pPr>
      <w:r>
        <w:rPr>
          <w:rFonts w:ascii="Segoe UI" w:eastAsia="Times New Roman" w:hAnsi="Segoe UI" w:cs="Segoe UI"/>
          <w:color w:val="1A202C"/>
          <w:sz w:val="19"/>
          <w:szCs w:val="19"/>
        </w:rPr>
        <w:t xml:space="preserve">If Question *5 OR Question *6 is incorrect (even if score ≥ 16) → </w:t>
      </w:r>
      <w:r>
        <w:rPr>
          <w:rStyle w:val="Strong"/>
          <w:rFonts w:ascii="Segoe UI" w:eastAsia="Times New Roman" w:hAnsi="Segoe UI" w:cs="Segoe UI"/>
          <w:color w:val="1A202C"/>
          <w:sz w:val="19"/>
          <w:szCs w:val="19"/>
        </w:rPr>
        <w:t>NOT YET COMPETENT</w:t>
      </w:r>
      <w:r>
        <w:rPr>
          <w:rFonts w:ascii="Segoe UI" w:eastAsia="Times New Roman" w:hAnsi="Segoe UI" w:cs="Segoe UI"/>
          <w:color w:val="1A202C"/>
          <w:sz w:val="19"/>
          <w:szCs w:val="19"/>
        </w:rPr>
        <w:t xml:space="preserve"> (Immediate assessment stoppage).</w:t>
      </w:r>
    </w:p>
    <w:p w14:paraId="6B8BACB9" w14:textId="77777777" w:rsidR="00F23117" w:rsidRDefault="00F23117">
      <w:pPr>
        <w:numPr>
          <w:ilvl w:val="0"/>
          <w:numId w:val="1"/>
        </w:numPr>
        <w:shd w:val="clear" w:color="auto" w:fill="EDF2F7"/>
        <w:spacing w:before="100" w:beforeAutospacing="1" w:after="100" w:afterAutospacing="1"/>
        <w:divId w:val="1498306014"/>
        <w:rPr>
          <w:rFonts w:ascii="Segoe UI" w:eastAsia="Times New Roman" w:hAnsi="Segoe UI" w:cs="Segoe UI"/>
          <w:color w:val="1A202C"/>
          <w:sz w:val="19"/>
          <w:szCs w:val="19"/>
        </w:rPr>
      </w:pPr>
      <w:r>
        <w:rPr>
          <w:rFonts w:ascii="Segoe UI" w:eastAsia="Times New Roman" w:hAnsi="Segoe UI" w:cs="Segoe UI"/>
          <w:color w:val="1A202C"/>
          <w:sz w:val="19"/>
          <w:szCs w:val="19"/>
        </w:rPr>
        <w:t xml:space="preserve">If Candidate Score &lt; 16 → </w:t>
      </w:r>
      <w:r>
        <w:rPr>
          <w:rStyle w:val="Strong"/>
          <w:rFonts w:ascii="Segoe UI" w:eastAsia="Times New Roman" w:hAnsi="Segoe UI" w:cs="Segoe UI"/>
          <w:color w:val="1A202C"/>
          <w:sz w:val="19"/>
          <w:szCs w:val="19"/>
        </w:rPr>
        <w:t>NOT YET COMPETENT</w:t>
      </w:r>
      <w:r>
        <w:rPr>
          <w:rFonts w:ascii="Segoe UI" w:eastAsia="Times New Roman" w:hAnsi="Segoe UI" w:cs="Segoe UI"/>
          <w:color w:val="1A202C"/>
          <w:sz w:val="19"/>
          <w:szCs w:val="19"/>
        </w:rPr>
        <w:t>.</w:t>
      </w:r>
    </w:p>
    <w:sectPr w:rsidR="00F2311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A9E26" w14:textId="77777777" w:rsidR="009B57E8" w:rsidRDefault="009B57E8" w:rsidP="00E7710D">
      <w:r>
        <w:separator/>
      </w:r>
    </w:p>
  </w:endnote>
  <w:endnote w:type="continuationSeparator" w:id="0">
    <w:p w14:paraId="76EFDC8C" w14:textId="77777777" w:rsidR="009B57E8" w:rsidRDefault="009B57E8" w:rsidP="00E77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D32C3" w14:textId="77777777" w:rsidR="009B57E8" w:rsidRDefault="009B57E8" w:rsidP="00E7710D">
      <w:r>
        <w:separator/>
      </w:r>
    </w:p>
  </w:footnote>
  <w:footnote w:type="continuationSeparator" w:id="0">
    <w:p w14:paraId="494041E6" w14:textId="77777777" w:rsidR="009B57E8" w:rsidRDefault="009B57E8" w:rsidP="00E771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1" w:type="dxa"/>
      <w:tblInd w:w="-459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16"/>
      <w:gridCol w:w="5390"/>
      <w:gridCol w:w="1715"/>
      <w:gridCol w:w="1480"/>
    </w:tblGrid>
    <w:tr w:rsidR="00E7710D" w:rsidRPr="00871A8E" w14:paraId="17AE1829" w14:textId="77777777" w:rsidTr="00056B59">
      <w:trPr>
        <w:trHeight w:val="703"/>
      </w:trPr>
      <w:tc>
        <w:tcPr>
          <w:tcW w:w="1041" w:type="dxa"/>
        </w:tcPr>
        <w:p w14:paraId="731886E3" w14:textId="7FEE6C10" w:rsidR="00E7710D" w:rsidRPr="00871A8E" w:rsidRDefault="00E7710D" w:rsidP="00E7710D">
          <w:pPr>
            <w:tabs>
              <w:tab w:val="left" w:pos="1770"/>
              <w:tab w:val="center" w:pos="3578"/>
            </w:tabs>
            <w:rPr>
              <w:rFonts w:ascii="Arial Narrow" w:hAnsi="Arial Narrow"/>
              <w:b/>
            </w:rPr>
          </w:pPr>
          <w:r>
            <w:rPr>
              <w:rFonts w:ascii="Arial Narrow" w:hAnsi="Arial Narrow"/>
              <w:b/>
              <w:noProof/>
            </w:rPr>
            <w:drawing>
              <wp:inline distT="0" distB="0" distL="0" distR="0" wp14:anchorId="65185F9A" wp14:editId="14363DD2">
                <wp:extent cx="762000" cy="548640"/>
                <wp:effectExtent l="0" t="0" r="0" b="3810"/>
                <wp:docPr id="106274212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00" w:type="dxa"/>
          <w:vAlign w:val="center"/>
        </w:tcPr>
        <w:p w14:paraId="0EFB9A8B" w14:textId="77777777" w:rsidR="00E7710D" w:rsidRPr="00871A8E" w:rsidRDefault="00E7710D" w:rsidP="00E7710D">
          <w:pPr>
            <w:rPr>
              <w:rFonts w:ascii="Arial Narrow" w:hAnsi="Arial Narrow"/>
              <w:b/>
              <w:lang w:val="nl-NL" w:eastAsia="nl-NL"/>
            </w:rPr>
          </w:pPr>
        </w:p>
        <w:p w14:paraId="65648582" w14:textId="77777777" w:rsidR="00E7710D" w:rsidRPr="00871A8E" w:rsidRDefault="00E7710D" w:rsidP="00E7710D">
          <w:pPr>
            <w:tabs>
              <w:tab w:val="left" w:pos="1770"/>
              <w:tab w:val="center" w:pos="3578"/>
            </w:tabs>
            <w:jc w:val="center"/>
            <w:rPr>
              <w:rFonts w:ascii="Arial Narrow" w:hAnsi="Arial Narrow"/>
              <w:b/>
            </w:rPr>
          </w:pPr>
          <w:r>
            <w:rPr>
              <w:rFonts w:ascii="Arial Narrow" w:hAnsi="Arial Narrow"/>
              <w:b/>
            </w:rPr>
            <w:t>AZURESKY PTY LTD</w:t>
          </w:r>
        </w:p>
        <w:p w14:paraId="5C62C336" w14:textId="77777777" w:rsidR="00E7710D" w:rsidRPr="00871A8E" w:rsidRDefault="00E7710D" w:rsidP="00E7710D">
          <w:pPr>
            <w:rPr>
              <w:rFonts w:ascii="Arial Narrow" w:hAnsi="Arial Narrow"/>
              <w:b/>
              <w:lang w:val="nl-NL" w:eastAsia="nl-NL"/>
            </w:rPr>
          </w:pPr>
        </w:p>
      </w:tc>
      <w:tc>
        <w:tcPr>
          <w:tcW w:w="1755" w:type="dxa"/>
        </w:tcPr>
        <w:p w14:paraId="53E7D98A" w14:textId="77777777" w:rsidR="00E7710D" w:rsidRPr="00871A8E" w:rsidRDefault="00E7710D" w:rsidP="00E7710D">
          <w:pPr>
            <w:jc w:val="center"/>
            <w:rPr>
              <w:rFonts w:ascii="Arial Narrow" w:hAnsi="Arial Narrow"/>
              <w:lang w:val="nl-NL" w:eastAsia="nl-NL"/>
            </w:rPr>
          </w:pPr>
          <w:r w:rsidRPr="00871A8E">
            <w:rPr>
              <w:rFonts w:ascii="Arial Narrow" w:hAnsi="Arial Narrow"/>
              <w:b/>
            </w:rPr>
            <w:t>Document #</w:t>
          </w:r>
        </w:p>
        <w:p w14:paraId="009164B2" w14:textId="77777777" w:rsidR="00E7710D" w:rsidRPr="00871A8E" w:rsidRDefault="00E7710D" w:rsidP="00E7710D">
          <w:pPr>
            <w:jc w:val="center"/>
            <w:rPr>
              <w:rFonts w:ascii="Arial Narrow" w:hAnsi="Arial Narrow"/>
              <w:b/>
            </w:rPr>
          </w:pPr>
        </w:p>
        <w:p w14:paraId="64D0A0CE" w14:textId="77777777" w:rsidR="00E7710D" w:rsidRPr="00871A8E" w:rsidRDefault="00E7710D" w:rsidP="00E7710D">
          <w:pPr>
            <w:jc w:val="center"/>
            <w:rPr>
              <w:rFonts w:ascii="Arial Narrow" w:hAnsi="Arial Narrow"/>
              <w:lang w:val="nl-NL" w:eastAsia="nl-NL"/>
            </w:rPr>
          </w:pPr>
          <w:r>
            <w:rPr>
              <w:rFonts w:ascii="Arial Narrow" w:hAnsi="Arial Narrow"/>
              <w:b/>
            </w:rPr>
            <w:t>AZCA-015</w:t>
          </w:r>
        </w:p>
      </w:tc>
      <w:tc>
        <w:tcPr>
          <w:tcW w:w="1505" w:type="dxa"/>
        </w:tcPr>
        <w:p w14:paraId="32B5FC1E" w14:textId="77777777" w:rsidR="00E7710D" w:rsidRPr="00871A8E" w:rsidRDefault="00E7710D" w:rsidP="00E7710D">
          <w:pPr>
            <w:jc w:val="center"/>
            <w:rPr>
              <w:rFonts w:ascii="Arial Narrow" w:hAnsi="Arial Narrow"/>
              <w:b/>
              <w:lang w:val="nl-NL" w:eastAsia="nl-NL"/>
            </w:rPr>
          </w:pPr>
          <w:r w:rsidRPr="00871A8E">
            <w:rPr>
              <w:rFonts w:ascii="Arial Narrow" w:hAnsi="Arial Narrow"/>
              <w:b/>
            </w:rPr>
            <w:t>Revision#</w:t>
          </w:r>
        </w:p>
        <w:p w14:paraId="0A95E4D1" w14:textId="77777777" w:rsidR="00E7710D" w:rsidRPr="00871A8E" w:rsidRDefault="00E7710D" w:rsidP="00E7710D">
          <w:pPr>
            <w:jc w:val="center"/>
            <w:rPr>
              <w:rFonts w:ascii="Arial Narrow" w:hAnsi="Arial Narrow"/>
              <w:b/>
            </w:rPr>
          </w:pPr>
        </w:p>
        <w:p w14:paraId="3377D834" w14:textId="77777777" w:rsidR="00E7710D" w:rsidRPr="00871A8E" w:rsidRDefault="00E7710D" w:rsidP="00E7710D">
          <w:pPr>
            <w:jc w:val="center"/>
            <w:rPr>
              <w:rFonts w:ascii="Arial Narrow" w:hAnsi="Arial Narrow"/>
              <w:lang w:val="nl-NL" w:eastAsia="nl-NL"/>
            </w:rPr>
          </w:pPr>
          <w:r>
            <w:rPr>
              <w:rFonts w:ascii="Arial Narrow" w:hAnsi="Arial Narrow"/>
            </w:rPr>
            <w:t>0</w:t>
          </w:r>
        </w:p>
      </w:tc>
    </w:tr>
    <w:tr w:rsidR="00E7710D" w:rsidRPr="00871A8E" w14:paraId="1066BCE8" w14:textId="77777777" w:rsidTr="00056B59">
      <w:trPr>
        <w:trHeight w:val="525"/>
      </w:trPr>
      <w:tc>
        <w:tcPr>
          <w:tcW w:w="1041" w:type="dxa"/>
        </w:tcPr>
        <w:p w14:paraId="0CE1AB7F" w14:textId="77777777" w:rsidR="00E7710D" w:rsidRPr="00871A8E" w:rsidRDefault="00E7710D" w:rsidP="00E7710D">
          <w:pPr>
            <w:rPr>
              <w:rFonts w:ascii="Arial Narrow" w:hAnsi="Arial Narrow"/>
              <w:b/>
              <w:lang w:val="nl-NL" w:eastAsia="nl-NL"/>
            </w:rPr>
          </w:pPr>
        </w:p>
        <w:p w14:paraId="487CEF5E" w14:textId="77777777" w:rsidR="00E7710D" w:rsidRPr="00871A8E" w:rsidRDefault="00E7710D" w:rsidP="00E7710D">
          <w:pPr>
            <w:rPr>
              <w:rFonts w:ascii="Arial Narrow" w:hAnsi="Arial Narrow"/>
              <w:b/>
            </w:rPr>
          </w:pPr>
          <w:r w:rsidRPr="00871A8E">
            <w:rPr>
              <w:rFonts w:ascii="Arial Narrow" w:hAnsi="Arial Narrow"/>
              <w:b/>
            </w:rPr>
            <w:t>Subject</w:t>
          </w:r>
        </w:p>
      </w:tc>
      <w:tc>
        <w:tcPr>
          <w:tcW w:w="8960" w:type="dxa"/>
          <w:gridSpan w:val="3"/>
        </w:tcPr>
        <w:p w14:paraId="7BF7C6E1" w14:textId="77777777" w:rsidR="00E7710D" w:rsidRPr="00871A8E" w:rsidRDefault="00E7710D" w:rsidP="00E7710D">
          <w:pPr>
            <w:pStyle w:val="Header"/>
            <w:suppressAutoHyphens/>
            <w:ind w:right="-274"/>
            <w:rPr>
              <w:rFonts w:ascii="Arial Narrow" w:hAnsi="Arial Narrow"/>
            </w:rPr>
          </w:pPr>
        </w:p>
        <w:p w14:paraId="6B95AEDB" w14:textId="3CE62BA5" w:rsidR="00E7710D" w:rsidRPr="00871A8E" w:rsidRDefault="00E7710D" w:rsidP="00E7710D">
          <w:pPr>
            <w:pStyle w:val="Header"/>
            <w:suppressAutoHyphens/>
            <w:ind w:right="-274"/>
            <w:jc w:val="center"/>
            <w:rPr>
              <w:rFonts w:ascii="Arial Narrow" w:hAnsi="Arial Narrow"/>
              <w:b/>
            </w:rPr>
          </w:pPr>
          <w:r w:rsidRPr="00E7710D">
            <w:rPr>
              <w:rFonts w:ascii="Arial Narrow" w:hAnsi="Arial Narrow"/>
              <w:b/>
              <w:bCs/>
            </w:rPr>
            <w:t>ASSESSOR GUIDE &amp; MARKING MEMORANDUM</w:t>
          </w:r>
          <w:r w:rsidRPr="00E7710D">
            <w:rPr>
              <w:rFonts w:ascii="Arial Narrow" w:hAnsi="Arial Narrow"/>
              <w:b/>
              <w:bCs/>
            </w:rPr>
            <w:br/>
            <w:t>DETERMINATION OF TOTAL MOISTURE</w:t>
          </w:r>
        </w:p>
        <w:p w14:paraId="6861F0FB" w14:textId="77777777" w:rsidR="00E7710D" w:rsidRPr="00871A8E" w:rsidRDefault="00E7710D" w:rsidP="00E7710D">
          <w:pPr>
            <w:pStyle w:val="Header"/>
            <w:suppressAutoHyphens/>
            <w:ind w:right="-274"/>
            <w:rPr>
              <w:rFonts w:ascii="Arial Narrow" w:hAnsi="Arial Narrow"/>
              <w:b/>
            </w:rPr>
          </w:pPr>
        </w:p>
      </w:tc>
    </w:tr>
  </w:tbl>
  <w:p w14:paraId="76BA479C" w14:textId="77777777" w:rsidR="00E7710D" w:rsidRDefault="00E771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A133D"/>
    <w:multiLevelType w:val="multilevel"/>
    <w:tmpl w:val="6A7CA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1811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4A4"/>
    <w:rsid w:val="002E0654"/>
    <w:rsid w:val="00501675"/>
    <w:rsid w:val="006219CC"/>
    <w:rsid w:val="0074624E"/>
    <w:rsid w:val="008654A4"/>
    <w:rsid w:val="008E24DC"/>
    <w:rsid w:val="009B57E8"/>
    <w:rsid w:val="00E7710D"/>
    <w:rsid w:val="00EF2FEC"/>
    <w:rsid w:val="00F2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."/>
  <w14:docId w14:val="446ECD19"/>
  <w15:chartTrackingRefBased/>
  <w15:docId w15:val="{79A16A42-8A71-48DE-B02B-489A6E2C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75" w:after="75"/>
      <w:outlineLvl w:val="0"/>
    </w:pPr>
    <w:rPr>
      <w:b/>
      <w:bCs/>
      <w:color w:val="1A365D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2" w:color="1A365D"/>
      </w:pBdr>
      <w:spacing w:before="180" w:after="75"/>
      <w:outlineLvl w:val="1"/>
    </w:pPr>
    <w:rPr>
      <w:b/>
      <w:bCs/>
      <w:color w:val="1A365D"/>
      <w:sz w:val="23"/>
      <w:szCs w:val="23"/>
    </w:rPr>
  </w:style>
  <w:style w:type="paragraph" w:styleId="Heading3">
    <w:name w:val="heading 3"/>
    <w:basedOn w:val="Normal"/>
    <w:link w:val="Heading3Char"/>
    <w:uiPriority w:val="9"/>
    <w:qFormat/>
    <w:pPr>
      <w:spacing w:before="75" w:after="75"/>
      <w:outlineLvl w:val="2"/>
    </w:pPr>
    <w:rPr>
      <w:b/>
      <w:bCs/>
      <w:color w:val="1A365D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logo-box">
    <w:name w:val="logo-box"/>
    <w:basedOn w:val="Normal"/>
    <w:pPr>
      <w:spacing w:before="100" w:beforeAutospacing="1" w:after="100" w:afterAutospacing="1"/>
      <w:jc w:val="center"/>
    </w:pPr>
    <w:rPr>
      <w:b/>
      <w:bCs/>
      <w:color w:val="2B6CB0"/>
      <w:sz w:val="32"/>
      <w:szCs w:val="32"/>
    </w:rPr>
  </w:style>
  <w:style w:type="paragraph" w:customStyle="1" w:styleId="logo-sub">
    <w:name w:val="logo-sub"/>
    <w:basedOn w:val="Normal"/>
    <w:pPr>
      <w:spacing w:before="100" w:beforeAutospacing="1" w:after="100" w:afterAutospacing="1"/>
    </w:pPr>
    <w:rPr>
      <w:i/>
      <w:iCs/>
      <w:color w:val="718096"/>
      <w:sz w:val="15"/>
      <w:szCs w:val="15"/>
    </w:rPr>
  </w:style>
  <w:style w:type="paragraph" w:customStyle="1" w:styleId="title-box">
    <w:name w:val="title-box"/>
    <w:basedOn w:val="Normal"/>
    <w:pPr>
      <w:spacing w:before="100" w:beforeAutospacing="1" w:after="100" w:afterAutospacing="1"/>
      <w:jc w:val="center"/>
    </w:pPr>
    <w:rPr>
      <w:b/>
      <w:bCs/>
      <w:color w:val="1A365D"/>
      <w:sz w:val="23"/>
      <w:szCs w:val="23"/>
    </w:rPr>
  </w:style>
  <w:style w:type="paragraph" w:customStyle="1" w:styleId="meta-box">
    <w:name w:val="meta-box"/>
    <w:basedOn w:val="Normal"/>
    <w:pPr>
      <w:spacing w:before="100" w:beforeAutospacing="1" w:after="100" w:afterAutospacing="1"/>
    </w:pPr>
    <w:rPr>
      <w:sz w:val="16"/>
      <w:szCs w:val="16"/>
    </w:rPr>
  </w:style>
  <w:style w:type="paragraph" w:customStyle="1" w:styleId="crit-badge">
    <w:name w:val="crit-badge"/>
    <w:basedOn w:val="Normal"/>
    <w:pPr>
      <w:shd w:val="clear" w:color="auto" w:fill="C53030"/>
      <w:spacing w:before="100" w:beforeAutospacing="1" w:after="100" w:afterAutospacing="1"/>
    </w:pPr>
    <w:rPr>
      <w:b/>
      <w:bCs/>
      <w:color w:val="FFFFFF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crit-badge1">
    <w:name w:val="crit-badge1"/>
    <w:basedOn w:val="DefaultParagraphFont"/>
    <w:rPr>
      <w:b/>
      <w:bCs/>
      <w:color w:val="FFFFFF"/>
      <w:sz w:val="16"/>
      <w:szCs w:val="16"/>
      <w:shd w:val="clear" w:color="auto" w:fill="C5303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eader">
    <w:name w:val="header"/>
    <w:basedOn w:val="Normal"/>
    <w:link w:val="HeaderChar"/>
    <w:unhideWhenUsed/>
    <w:rsid w:val="00E771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7710D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771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710D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8306014">
      <w:marLeft w:val="0"/>
      <w:marRight w:val="0"/>
      <w:marTop w:val="225"/>
      <w:marBottom w:val="0"/>
      <w:divBdr>
        <w:top w:val="single" w:sz="6" w:space="6" w:color="CBD5E0"/>
        <w:left w:val="single" w:sz="6" w:space="9" w:color="CBD5E0"/>
        <w:bottom w:val="single" w:sz="6" w:space="6" w:color="CBD5E0"/>
        <w:right w:val="single" w:sz="6" w:space="9" w:color="CBD5E0"/>
      </w:divBdr>
    </w:div>
    <w:div w:id="1577471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AZCA-015 Assessor Guide and Marking Memo</dc:title>
  <dc:subject/>
  <dc:creator>Tshepo Maponya</dc:creator>
  <cp:keywords/>
  <dc:description/>
  <cp:lastModifiedBy>Tshepo Maponya</cp:lastModifiedBy>
  <cp:revision>4</cp:revision>
  <dcterms:created xsi:type="dcterms:W3CDTF">2026-10-09T09:55:00Z</dcterms:created>
  <dcterms:modified xsi:type="dcterms:W3CDTF">2026-10-13T08:35:00Z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40650c34da69492818d648e30856f52a779fcc89939413c32da843fd0a47f022</vt:lpwstr>
  </property>
</Properties>
</file>