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Россия в Арктике: Международное сотрудничество и вызовы</w:t>
      </w:r>
    </w:p>
    <w:p>
      <w:pPr>
        <w:pStyle w:val="Heading2"/>
        <w:rPr/>
      </w:pPr>
      <w:r>
        <w:rPr/>
        <w:t>Введение</w:t>
      </w:r>
    </w:p>
    <w:p>
      <w:pPr>
        <w:pStyle w:val="BodyText"/>
        <w:rPr/>
      </w:pPr>
      <w:r>
        <w:rPr/>
        <w:t>Арктика занимает центральное место в стратегических интересах и будущем России. На этот обширный регион, где проживает около 2,5 миллионов россиян, приходится </w:t>
      </w:r>
      <w:r>
        <w:rPr>
          <w:rStyle w:val="Strong"/>
        </w:rPr>
        <w:t>7% валового внутреннего продукта</w:t>
      </w:r>
      <w:r>
        <w:rPr/>
        <w:t> страны и </w:t>
      </w:r>
      <w:r>
        <w:rPr>
          <w:rStyle w:val="Strong"/>
        </w:rPr>
        <w:t>11% экспорта</w:t>
      </w:r>
      <w:r>
        <w:rPr/>
        <w:t> . Россия, являясь крупнейшей арктической державой, рассматривает развитие региона как национальный приоритет, что подчеркивается на высшем государственном уровне . Однако в современных условиях этот процесс сопровождается как активным поиском новых форматов сотрудничества, так и серьезными вызовами, связанными с геополитической напряженностью и необходимостью адаптации к новым экономическим реалиям.</w:t>
        <w:br/>
      </w:r>
      <w:hyperlink r:id="rId2">
        <w:r>
          <w:rPr>
            <w:rStyle w:val="Hyperlink"/>
          </w:rPr>
          <w:t>http://kremlin.ru/events/president/news/76554</w:t>
        </w:r>
      </w:hyperlink>
    </w:p>
    <w:p>
      <w:pPr>
        <w:pStyle w:val="Heading2"/>
        <w:rPr/>
      </w:pPr>
      <w:r>
        <w:rPr/>
        <w:t>1. Национальные интересы России в Арктике</w:t>
      </w:r>
    </w:p>
    <w:p>
      <w:pPr>
        <w:pStyle w:val="BodyText"/>
        <w:rPr/>
      </w:pPr>
      <w:r>
        <w:rPr/>
        <w:t>Национальные интересы России в Арктике носят комплексный и многогранный характер, объединяя экономические, стратегические и социальные аспекты.</w:t>
      </w:r>
    </w:p>
    <w:p>
      <w:pPr>
        <w:pStyle w:val="BodyText"/>
        <w:numPr>
          <w:ilvl w:val="0"/>
          <w:numId w:val="1"/>
        </w:numPr>
        <w:tabs>
          <w:tab w:val="clear" w:pos="709"/>
          <w:tab w:val="left" w:pos="0" w:leader="none"/>
        </w:tabs>
        <w:ind w:hanging="0" w:left="0"/>
        <w:rPr/>
      </w:pPr>
      <w:r>
        <w:rPr>
          <w:rStyle w:val="Strong"/>
        </w:rPr>
        <w:t>Экономический суверенитет и развитие</w:t>
      </w:r>
      <w:r>
        <w:rPr/>
        <w:t>: Основной фокус направлен на освоение и диверсификацию ресурсной базы. В Арктике формируется значительная часть ВВП страны, и потенциал для роста оценивается как колоссальный . Ключевым элементом является </w:t>
      </w:r>
      <w:r>
        <w:rPr>
          <w:rStyle w:val="Strong"/>
        </w:rPr>
        <w:t>транспортная инфраструктура</w:t>
      </w:r>
      <w:r>
        <w:rPr/>
        <w:t>, в первую очередь – развитие </w:t>
      </w:r>
      <w:r>
        <w:rPr>
          <w:rStyle w:val="Strong"/>
        </w:rPr>
        <w:t>Северного морского пути (СМП)</w:t>
      </w:r>
      <w:r>
        <w:rPr/>
        <w:t> как национальной транспортной артерии, призванной связать европейскую и азиатскую части России, а также стать частью глобальных логистических цепочек . Планы по наращиванию грузопотока по СМП с 38 миллионов тонн в 2024 году до 70-100 миллионов тонн к 2030 году свидетельствуют о масштабе амбиций .</w:t>
      </w:r>
    </w:p>
    <w:p>
      <w:pPr>
        <w:pStyle w:val="BodyText"/>
        <w:numPr>
          <w:ilvl w:val="0"/>
          <w:numId w:val="1"/>
        </w:numPr>
        <w:tabs>
          <w:tab w:val="clear" w:pos="709"/>
          <w:tab w:val="left" w:pos="0" w:leader="none"/>
        </w:tabs>
        <w:ind w:hanging="0" w:left="0"/>
        <w:rPr/>
      </w:pPr>
      <w:r>
        <w:rPr>
          <w:rStyle w:val="Strong"/>
        </w:rPr>
        <w:t>Оборона и безопасность</w:t>
      </w:r>
      <w:r>
        <w:rPr/>
        <w:t>: В условиях роста геополитической конкуренции и усиления активности НАТО в регионе, который все чаще обозначается альянсом как "плацдарм возможных конфликтов", Россия вынуждена адекватно реагировать на вызовы . Это включает модернизацию военной инфраструктуры и повышение боевых возможностей Вооруженных Сил для надежной защиты суверенитета и национальных интересов . В научной литературе эта ситуация характеризуется как "дилемма безопасности", когда усиление одной стороны провоцирует ответные меры другой .</w:t>
      </w:r>
    </w:p>
    <w:p>
      <w:pPr>
        <w:pStyle w:val="BodyText"/>
        <w:numPr>
          <w:ilvl w:val="0"/>
          <w:numId w:val="1"/>
        </w:numPr>
        <w:tabs>
          <w:tab w:val="clear" w:pos="709"/>
          <w:tab w:val="left" w:pos="0" w:leader="none"/>
        </w:tabs>
        <w:ind w:hanging="0" w:left="0"/>
        <w:rPr/>
      </w:pPr>
      <w:r>
        <w:rPr>
          <w:rStyle w:val="Strong"/>
        </w:rPr>
        <w:t>Социальное развитие и качество жизни</w:t>
      </w:r>
      <w:r>
        <w:rPr/>
        <w:t>: Устойчивое развитие Арктики невозможно без создания комфортных условий для проживающего там населения. Стратегические документы, такие как "Стратегия развития Арктики до 2035 года", направлены на решение вопросов комплексного развития территорий, улучшения качества жизни людей и сохранения уникальной природной среды . Это включает развитие социальной инфраструктуры, связи (как, например, проект "Энергия Арктики" по обеспечению оптоволокном 61 населенного пункта ) и подготовки кадров.</w:t>
      </w:r>
    </w:p>
    <w:p>
      <w:pPr>
        <w:pStyle w:val="Heading2"/>
        <w:rPr/>
      </w:pPr>
      <w:r>
        <w:rPr/>
        <w:t>2. Международно-правовой статус Арктики</w:t>
      </w:r>
    </w:p>
    <w:p>
      <w:pPr>
        <w:pStyle w:val="BodyText"/>
        <w:rPr/>
      </w:pPr>
      <w:r>
        <w:rPr/>
        <w:t>Правовой режим Арктики представляет собой сложную мозаику из норм международного права, национальных законодательств и многосторонних соглашений.</w:t>
      </w:r>
    </w:p>
    <w:p>
      <w:pPr>
        <w:pStyle w:val="BodyText"/>
        <w:numPr>
          <w:ilvl w:val="0"/>
          <w:numId w:val="2"/>
        </w:numPr>
        <w:tabs>
          <w:tab w:val="clear" w:pos="709"/>
          <w:tab w:val="left" w:pos="0" w:leader="none"/>
        </w:tabs>
        <w:ind w:hanging="0" w:left="0"/>
        <w:rPr/>
      </w:pPr>
      <w:r>
        <w:rPr>
          <w:rStyle w:val="Strong"/>
        </w:rPr>
        <w:t>Режим Конвенции ООН по морскому праву (ЮНКЛОС)</w:t>
      </w:r>
      <w:r>
        <w:rPr/>
        <w:t>: Основу правового регулирования составляет ЮНКЛОС 1982 года. В соответствии с ней, приарктические государства имеют суверенные права над ресурсами в своих </w:t>
      </w:r>
      <w:r>
        <w:rPr>
          <w:rStyle w:val="Strong"/>
        </w:rPr>
        <w:t>исключительных экономических зонах (ИЭЗ)</w:t>
      </w:r>
      <w:r>
        <w:rPr/>
        <w:t> протяженностью 200 морских миль. Россия, Норвегия, Дания (за Гренландию) и Канада являются участниками Конвенции. Процесс определения внешних границ </w:t>
      </w:r>
      <w:r>
        <w:rPr>
          <w:rStyle w:val="Strong"/>
        </w:rPr>
        <w:t>континентального шельфа</w:t>
      </w:r>
      <w:r>
        <w:rPr/>
        <w:t> за пределами ИЭЗ является центральным в арктической повестке. Для этого государства предоставляют научные и технические данные в </w:t>
      </w:r>
      <w:r>
        <w:rPr>
          <w:rStyle w:val="Strong"/>
        </w:rPr>
        <w:t>Комиссию по границам континентального шельфа (КГКШ)</w:t>
      </w:r>
      <w:r>
        <w:rPr/>
        <w:t> .</w:t>
      </w:r>
    </w:p>
    <w:p>
      <w:pPr>
        <w:pStyle w:val="BodyText"/>
        <w:numPr>
          <w:ilvl w:val="0"/>
          <w:numId w:val="2"/>
        </w:numPr>
        <w:tabs>
          <w:tab w:val="clear" w:pos="709"/>
          <w:tab w:val="left" w:pos="0" w:leader="none"/>
        </w:tabs>
        <w:ind w:hanging="0" w:left="0"/>
        <w:rPr/>
      </w:pPr>
      <w:r>
        <w:rPr>
          <w:rStyle w:val="Strong"/>
        </w:rPr>
        <w:t>Расширение континентального шельфа России</w:t>
      </w:r>
      <w:r>
        <w:rPr/>
        <w:t>: Россия активно работает в этом направлении. В феврале 2023 года КГКШ выпустила рекомендации, в основном благоприятные для России, согласившись с ее аргументами о том, что хребты Менделеева-Альфа и Ломоносова являются естественными продолжениями ее континентального шельфа. При этом доказательства по хребту Гаккеля были признаны недостаточными, и России было рекомендовано представить пересмотренную заявку . Россия приняла эти рекомендации, что демонстрирует ее приверженность orderly урегулированию споров в рамках международного права.</w:t>
      </w:r>
    </w:p>
    <w:p>
      <w:pPr>
        <w:pStyle w:val="BodyText"/>
        <w:numPr>
          <w:ilvl w:val="0"/>
          <w:numId w:val="2"/>
        </w:numPr>
        <w:tabs>
          <w:tab w:val="clear" w:pos="709"/>
          <w:tab w:val="left" w:pos="0" w:leader="none"/>
        </w:tabs>
        <w:ind w:hanging="0" w:left="0"/>
        <w:rPr/>
      </w:pPr>
      <w:r>
        <w:rPr>
          <w:rStyle w:val="Strong"/>
        </w:rPr>
        <w:t>Проблемы делимитации</w:t>
      </w:r>
      <w:r>
        <w:rPr/>
        <w:t>: Процесс далек от завершения. Заявки России, Дании и Канады перекрываются в районе Северного полюса. После получения всех рекомендаций от КГКШ этим странам предстоит провести длительные </w:t>
      </w:r>
      <w:r>
        <w:rPr>
          <w:rStyle w:val="Strong"/>
        </w:rPr>
        <w:t>двусторонние переговоры</w:t>
      </w:r>
      <w:r>
        <w:rPr/>
        <w:t> по установлению точных границ . Символическое и стратегическое значение Северного полюса делает эти переговоры особенно сложными.</w:t>
      </w:r>
    </w:p>
    <w:p>
      <w:pPr>
        <w:pStyle w:val="Heading2"/>
        <w:rPr/>
      </w:pPr>
      <w:r>
        <w:rPr/>
        <w:t>3. Экономические проекты (Севморпуть, шельфовые месторождения)</w:t>
      </w:r>
    </w:p>
    <w:p>
      <w:pPr>
        <w:pStyle w:val="BodyText"/>
        <w:rPr/>
      </w:pPr>
      <w:r>
        <w:rPr/>
        <w:t>Экономическое освоение Арктики сосредоточено вокруг двух основных осей: транспортной логистики и добычи ресурсов.</w:t>
      </w:r>
    </w:p>
    <w:p>
      <w:pPr>
        <w:pStyle w:val="Heading3"/>
        <w:rPr/>
      </w:pPr>
      <w:r>
        <w:rPr/>
        <w:t>3.1. Северный морской путь (СМП) и Трансарктический коридор</w:t>
      </w:r>
    </w:p>
    <w:p>
      <w:pPr>
        <w:pStyle w:val="BodyText"/>
        <w:numPr>
          <w:ilvl w:val="0"/>
          <w:numId w:val="3"/>
        </w:numPr>
        <w:tabs>
          <w:tab w:val="clear" w:pos="709"/>
          <w:tab w:val="left" w:pos="0" w:leader="none"/>
        </w:tabs>
        <w:ind w:hanging="0" w:left="0"/>
        <w:rPr/>
      </w:pPr>
      <w:r>
        <w:rPr>
          <w:rStyle w:val="Strong"/>
        </w:rPr>
        <w:t>Текущее состояние</w:t>
      </w:r>
      <w:r>
        <w:rPr/>
        <w:t>: Грузопоток по СМП демонстрировал устойчивый рост, достигнув 36,2 млн тонн в 2025 году, однако в последний навигационный период отмечалось снижение по ряду направлений, особенно в сегменте нефти (до 1,83 млн тонн) . Это связано с логистическими и страховыми сложностями, возникшими после ухода западных компаний.</w:t>
      </w:r>
    </w:p>
    <w:p>
      <w:pPr>
        <w:pStyle w:val="BodyText"/>
        <w:numPr>
          <w:ilvl w:val="0"/>
          <w:numId w:val="3"/>
        </w:numPr>
        <w:tabs>
          <w:tab w:val="clear" w:pos="709"/>
          <w:tab w:val="left" w:pos="0" w:leader="none"/>
        </w:tabs>
        <w:ind w:hanging="0" w:left="0"/>
        <w:rPr/>
      </w:pPr>
      <w:r>
        <w:rPr>
          <w:rStyle w:val="Strong"/>
        </w:rPr>
        <w:t>Стратегическое видение</w:t>
      </w:r>
      <w:r>
        <w:rPr/>
        <w:t>: Россия рассматривает СМП не только как национальную артерию, но и как ключевое звено будущего </w:t>
      </w:r>
      <w:r>
        <w:rPr>
          <w:rStyle w:val="Strong"/>
        </w:rPr>
        <w:t>Трансарктического транспортного коридора</w:t>
      </w:r>
      <w:r>
        <w:rPr/>
        <w:t> от Санкт-Петербурга до Владивостока. Этот коридор призван предложить миру более короткий, безопасный и экономичный маршрут, соединяющий промышленные и энергетические центры . Для реализации этих планов ведется активная модернизация флота, включая строительство ледоколов (недавно был заложен атомный ледокол "Сталинград" – шестой в серии ) и специализированных судов арктического класса.</w:t>
      </w:r>
    </w:p>
    <w:p>
      <w:pPr>
        <w:pStyle w:val="BodyText"/>
        <w:numPr>
          <w:ilvl w:val="0"/>
          <w:numId w:val="3"/>
        </w:numPr>
        <w:tabs>
          <w:tab w:val="clear" w:pos="709"/>
          <w:tab w:val="left" w:pos="0" w:leader="none"/>
        </w:tabs>
        <w:ind w:hanging="0" w:left="0"/>
        <w:rPr/>
      </w:pPr>
      <w:r>
        <w:rPr>
          <w:rStyle w:val="Strong"/>
        </w:rPr>
        <w:t>Новые инфраструктурные проекты</w:t>
      </w:r>
      <w:r>
        <w:rPr/>
        <w:t>: Параллельно развиваются смежные проекты, такие как новый транспортный коридор из Китая через Амурскую область в Якутию и далее к перспективному глубоководному порту Найба, который может пропускать до 20 млн тонн грузов . Также уделяется внимание "малой логистике" – развитию сети малых портов, что является драйвером локального экономического развития .</w:t>
      </w:r>
    </w:p>
    <w:p>
      <w:pPr>
        <w:pStyle w:val="Heading3"/>
        <w:rPr/>
      </w:pPr>
      <w:r>
        <w:rPr/>
        <w:t>3.2. Шельфовые месторождения и проекты СПГ</w:t>
      </w:r>
    </w:p>
    <w:p>
      <w:pPr>
        <w:pStyle w:val="BodyText"/>
        <w:numPr>
          <w:ilvl w:val="0"/>
          <w:numId w:val="4"/>
        </w:numPr>
        <w:tabs>
          <w:tab w:val="clear" w:pos="709"/>
          <w:tab w:val="left" w:pos="0" w:leader="none"/>
        </w:tabs>
        <w:ind w:hanging="0" w:left="0"/>
        <w:rPr/>
      </w:pPr>
      <w:r>
        <w:rPr>
          <w:rStyle w:val="Strong"/>
        </w:rPr>
        <w:t>Ресурсный потенциал</w:t>
      </w:r>
      <w:r>
        <w:rPr/>
        <w:t>: Арктический шельф обладает огромными запасами углеводородов и других полезных ископаемых. Однако их освоение сопряжено с экстремально высокими затратами и технологическими рисками. Большинство экономически viable месторождений находятся в пределах ИЭЗ, в то время как ресурсы вокруг Северного полюса имеют скорее символическое значение и их добыча в обозримом будущем нерентабельна .</w:t>
      </w:r>
    </w:p>
    <w:p>
      <w:pPr>
        <w:pStyle w:val="BodyText"/>
        <w:numPr>
          <w:ilvl w:val="0"/>
          <w:numId w:val="4"/>
        </w:numPr>
        <w:tabs>
          <w:tab w:val="clear" w:pos="709"/>
          <w:tab w:val="left" w:pos="0" w:leader="none"/>
        </w:tabs>
        <w:ind w:hanging="0" w:left="0"/>
        <w:rPr/>
      </w:pPr>
      <w:r>
        <w:rPr>
          <w:rStyle w:val="Strong"/>
        </w:rPr>
        <w:t>Проекты СПГ</w:t>
      </w:r>
      <w:r>
        <w:rPr/>
        <w:t>: Флагманами арктической экономики являются проекты сжиженного природного газа (СПГ), такие как "Ямал СПГ" и "Арктик СПГ-2". Они сталкиваются с вызовами в связи с санкционным давлением. Европейские покупатели начали отказываться от приема партий российского СПГ, что вынуждает компании, подобные "НОВАТЭК", прорабатывать альтернативные направления поставок, в первую очередь в Индию, Китай и Турцию . Тем не менее, переориентация логистических цепочек – сложная задача.</w:t>
      </w:r>
    </w:p>
    <w:p>
      <w:pPr>
        <w:pStyle w:val="BodyText"/>
        <w:rPr/>
      </w:pPr>
      <w:r>
        <w:rPr>
          <w:rStyle w:val="Emphasis"/>
        </w:rPr>
        <w:t>Таблица: Ключевые экономические показатели и проекты российской Арктики</w:t>
      </w:r>
    </w:p>
    <w:tbl>
      <w:tblPr>
        <w:tblW w:w="9638" w:type="dxa"/>
        <w:jc w:val="left"/>
        <w:tblInd w:w="0" w:type="dxa"/>
        <w:tblLayout w:type="fixed"/>
        <w:tblCellMar>
          <w:top w:w="0" w:type="dxa"/>
          <w:left w:w="0" w:type="dxa"/>
          <w:bottom w:w="150" w:type="dxa"/>
          <w:right w:w="0" w:type="dxa"/>
        </w:tblCellMar>
      </w:tblPr>
      <w:tblGrid>
        <w:gridCol w:w="1853"/>
        <w:gridCol w:w="2147"/>
        <w:gridCol w:w="3045"/>
        <w:gridCol w:w="2593"/>
      </w:tblGrid>
      <w:tr>
        <w:trPr>
          <w:tblHeader w:val="true"/>
        </w:trPr>
        <w:tc>
          <w:tcPr>
            <w:tcW w:w="1853" w:type="dxa"/>
            <w:tcBorders>
              <w:bottom w:val="single" w:sz="2" w:space="0" w:color="FFFFFF"/>
            </w:tcBorders>
            <w:vAlign w:val="center"/>
          </w:tcPr>
          <w:p>
            <w:pPr>
              <w:pStyle w:val="Style15"/>
              <w:rPr/>
            </w:pPr>
            <w:r>
              <w:rPr>
                <w:rStyle w:val="Strong"/>
                <w:b/>
                <w:bCs/>
              </w:rPr>
              <w:t>Аспект</w:t>
            </w:r>
          </w:p>
        </w:tc>
        <w:tc>
          <w:tcPr>
            <w:tcW w:w="2147" w:type="dxa"/>
            <w:tcBorders>
              <w:bottom w:val="single" w:sz="2" w:space="0" w:color="FFFFFF"/>
            </w:tcBorders>
            <w:vAlign w:val="center"/>
          </w:tcPr>
          <w:p>
            <w:pPr>
              <w:pStyle w:val="Style15"/>
              <w:rPr/>
            </w:pPr>
            <w:r>
              <w:rPr>
                <w:rStyle w:val="Strong"/>
                <w:b/>
                <w:bCs/>
              </w:rPr>
              <w:t>Текущее состояние</w:t>
            </w:r>
          </w:p>
        </w:tc>
        <w:tc>
          <w:tcPr>
            <w:tcW w:w="3045" w:type="dxa"/>
            <w:tcBorders>
              <w:bottom w:val="single" w:sz="2" w:space="0" w:color="FFFFFF"/>
            </w:tcBorders>
            <w:vAlign w:val="center"/>
          </w:tcPr>
          <w:p>
            <w:pPr>
              <w:pStyle w:val="Style15"/>
              <w:rPr/>
            </w:pPr>
            <w:r>
              <w:rPr>
                <w:rStyle w:val="Strong"/>
                <w:b/>
                <w:bCs/>
              </w:rPr>
              <w:t>Планы и перспективы</w:t>
            </w:r>
          </w:p>
        </w:tc>
        <w:tc>
          <w:tcPr>
            <w:tcW w:w="2593" w:type="dxa"/>
            <w:tcBorders>
              <w:bottom w:val="single" w:sz="2" w:space="0" w:color="FFFFFF"/>
            </w:tcBorders>
            <w:vAlign w:val="center"/>
          </w:tcPr>
          <w:p>
            <w:pPr>
              <w:pStyle w:val="Style15"/>
              <w:rPr/>
            </w:pPr>
            <w:r>
              <w:rPr>
                <w:rStyle w:val="Strong"/>
                <w:b/>
                <w:bCs/>
              </w:rPr>
              <w:t>Основные вызовы</w:t>
            </w:r>
          </w:p>
        </w:tc>
      </w:tr>
      <w:tr>
        <w:trPr/>
        <w:tc>
          <w:tcPr>
            <w:tcW w:w="1853" w:type="dxa"/>
            <w:tcBorders>
              <w:bottom w:val="single" w:sz="2" w:space="0" w:color="FFFFFF"/>
            </w:tcBorders>
            <w:vAlign w:val="center"/>
          </w:tcPr>
          <w:p>
            <w:pPr>
              <w:pStyle w:val="Style14"/>
              <w:rPr/>
            </w:pPr>
            <w:r>
              <w:rPr>
                <w:rStyle w:val="Strong"/>
              </w:rPr>
              <w:t>Грузопоток по СМП</w:t>
            </w:r>
          </w:p>
        </w:tc>
        <w:tc>
          <w:tcPr>
            <w:tcW w:w="2147" w:type="dxa"/>
            <w:tcBorders>
              <w:bottom w:val="single" w:sz="2" w:space="0" w:color="FFFFFF"/>
            </w:tcBorders>
            <w:vAlign w:val="center"/>
          </w:tcPr>
          <w:p>
            <w:pPr>
              <w:pStyle w:val="Style14"/>
              <w:rPr/>
            </w:pPr>
            <w:r>
              <w:rPr/>
              <w:t>36,2 млн тонн (2025 г.) </w:t>
            </w:r>
          </w:p>
        </w:tc>
        <w:tc>
          <w:tcPr>
            <w:tcW w:w="3045" w:type="dxa"/>
            <w:tcBorders>
              <w:bottom w:val="single" w:sz="2" w:space="0" w:color="FFFFFF"/>
            </w:tcBorders>
            <w:vAlign w:val="center"/>
          </w:tcPr>
          <w:p>
            <w:pPr>
              <w:pStyle w:val="Style14"/>
              <w:rPr/>
            </w:pPr>
            <w:r>
              <w:rPr/>
              <w:t>70-100 млн тонн к 2030 г. </w:t>
            </w:r>
          </w:p>
        </w:tc>
        <w:tc>
          <w:tcPr>
            <w:tcW w:w="2593" w:type="dxa"/>
            <w:tcBorders>
              <w:bottom w:val="single" w:sz="2" w:space="0" w:color="FFFFFF"/>
            </w:tcBorders>
            <w:vAlign w:val="center"/>
          </w:tcPr>
          <w:p>
            <w:pPr>
              <w:pStyle w:val="Style14"/>
              <w:rPr/>
            </w:pPr>
            <w:r>
              <w:rPr/>
              <w:t>Санкции, нехватка судов, страховые риски </w:t>
            </w:r>
          </w:p>
        </w:tc>
      </w:tr>
      <w:tr>
        <w:trPr/>
        <w:tc>
          <w:tcPr>
            <w:tcW w:w="1853" w:type="dxa"/>
            <w:tcBorders>
              <w:bottom w:val="single" w:sz="2" w:space="0" w:color="FFFFFF"/>
            </w:tcBorders>
            <w:vAlign w:val="center"/>
          </w:tcPr>
          <w:p>
            <w:pPr>
              <w:pStyle w:val="Style14"/>
              <w:rPr/>
            </w:pPr>
            <w:r>
              <w:rPr>
                <w:rStyle w:val="Strong"/>
              </w:rPr>
              <w:t>Нефтяные перевозки по СМП</w:t>
            </w:r>
          </w:p>
        </w:tc>
        <w:tc>
          <w:tcPr>
            <w:tcW w:w="2147" w:type="dxa"/>
            <w:tcBorders>
              <w:bottom w:val="single" w:sz="2" w:space="0" w:color="FFFFFF"/>
            </w:tcBorders>
            <w:vAlign w:val="center"/>
          </w:tcPr>
          <w:p>
            <w:pPr>
              <w:pStyle w:val="Style14"/>
              <w:rPr/>
            </w:pPr>
            <w:r>
              <w:rPr/>
              <w:t>1,83 млн тонн (снижение) </w:t>
            </w:r>
          </w:p>
        </w:tc>
        <w:tc>
          <w:tcPr>
            <w:tcW w:w="3045" w:type="dxa"/>
            <w:tcBorders>
              <w:bottom w:val="single" w:sz="2" w:space="0" w:color="FFFFFF"/>
            </w:tcBorders>
            <w:vAlign w:val="center"/>
          </w:tcPr>
          <w:p>
            <w:pPr>
              <w:pStyle w:val="Style14"/>
              <w:rPr/>
            </w:pPr>
            <w:r>
              <w:rPr/>
              <w:t>Диверсификация, использование "теневого флота" </w:t>
            </w:r>
          </w:p>
        </w:tc>
        <w:tc>
          <w:tcPr>
            <w:tcW w:w="2593" w:type="dxa"/>
            <w:tcBorders>
              <w:bottom w:val="single" w:sz="2" w:space="0" w:color="FFFFFF"/>
            </w:tcBorders>
            <w:vAlign w:val="center"/>
          </w:tcPr>
          <w:p>
            <w:pPr>
              <w:pStyle w:val="Style14"/>
              <w:rPr/>
            </w:pPr>
            <w:r>
              <w:rPr/>
              <w:t>Сезонность, регуляторные барьеры</w:t>
            </w:r>
          </w:p>
        </w:tc>
      </w:tr>
      <w:tr>
        <w:trPr/>
        <w:tc>
          <w:tcPr>
            <w:tcW w:w="1853" w:type="dxa"/>
            <w:tcBorders>
              <w:bottom w:val="single" w:sz="2" w:space="0" w:color="FFFFFF"/>
            </w:tcBorders>
            <w:vAlign w:val="center"/>
          </w:tcPr>
          <w:p>
            <w:pPr>
              <w:pStyle w:val="Style14"/>
              <w:rPr/>
            </w:pPr>
            <w:r>
              <w:rPr>
                <w:rStyle w:val="Strong"/>
              </w:rPr>
              <w:t>Проекты СПГ</w:t>
            </w:r>
          </w:p>
        </w:tc>
        <w:tc>
          <w:tcPr>
            <w:tcW w:w="2147" w:type="dxa"/>
            <w:tcBorders>
              <w:bottom w:val="single" w:sz="2" w:space="0" w:color="FFFFFF"/>
            </w:tcBorders>
            <w:vAlign w:val="center"/>
          </w:tcPr>
          <w:p>
            <w:pPr>
              <w:pStyle w:val="Style14"/>
              <w:rPr/>
            </w:pPr>
            <w:r>
              <w:rPr/>
              <w:t>"Ямал СПГ", "Арктик СПГ-2"</w:t>
            </w:r>
          </w:p>
        </w:tc>
        <w:tc>
          <w:tcPr>
            <w:tcW w:w="3045" w:type="dxa"/>
            <w:tcBorders>
              <w:bottom w:val="single" w:sz="2" w:space="0" w:color="FFFFFF"/>
            </w:tcBorders>
            <w:vAlign w:val="center"/>
          </w:tcPr>
          <w:p>
            <w:pPr>
              <w:pStyle w:val="Style14"/>
              <w:rPr/>
            </w:pPr>
            <w:r>
              <w:rPr/>
              <w:t>Переориентация на рынки Азии </w:t>
            </w:r>
          </w:p>
        </w:tc>
        <w:tc>
          <w:tcPr>
            <w:tcW w:w="2593" w:type="dxa"/>
            <w:tcBorders>
              <w:bottom w:val="single" w:sz="2" w:space="0" w:color="FFFFFF"/>
            </w:tcBorders>
            <w:vAlign w:val="center"/>
          </w:tcPr>
          <w:p>
            <w:pPr>
              <w:pStyle w:val="Style14"/>
              <w:rPr/>
            </w:pPr>
            <w:r>
              <w:rPr/>
              <w:t>Потеря традиционных покупателей, логистическая гибкость </w:t>
            </w:r>
          </w:p>
        </w:tc>
      </w:tr>
      <w:tr>
        <w:trPr/>
        <w:tc>
          <w:tcPr>
            <w:tcW w:w="1853" w:type="dxa"/>
            <w:tcBorders>
              <w:bottom w:val="single" w:sz="2" w:space="0" w:color="FFFFFF"/>
            </w:tcBorders>
            <w:vAlign w:val="center"/>
          </w:tcPr>
          <w:p>
            <w:pPr>
              <w:pStyle w:val="Style14"/>
              <w:rPr/>
            </w:pPr>
            <w:r>
              <w:rPr>
                <w:rStyle w:val="Strong"/>
              </w:rPr>
              <w:t>Расширение шельфа</w:t>
            </w:r>
          </w:p>
        </w:tc>
        <w:tc>
          <w:tcPr>
            <w:tcW w:w="2147" w:type="dxa"/>
            <w:tcBorders>
              <w:bottom w:val="single" w:sz="2" w:space="0" w:color="FFFFFF"/>
            </w:tcBorders>
            <w:vAlign w:val="center"/>
          </w:tcPr>
          <w:p>
            <w:pPr>
              <w:pStyle w:val="Style14"/>
              <w:rPr/>
            </w:pPr>
            <w:r>
              <w:rPr/>
              <w:t>Рекомендации КГКШ получены (2023 г.) </w:t>
            </w:r>
          </w:p>
        </w:tc>
        <w:tc>
          <w:tcPr>
            <w:tcW w:w="3045" w:type="dxa"/>
            <w:tcBorders>
              <w:bottom w:val="single" w:sz="2" w:space="0" w:color="FFFFFF"/>
            </w:tcBorders>
            <w:vAlign w:val="center"/>
          </w:tcPr>
          <w:p>
            <w:pPr>
              <w:pStyle w:val="Style14"/>
              <w:rPr/>
            </w:pPr>
            <w:r>
              <w:rPr/>
              <w:t>Пересмотренная заявка по хр. Гаккеля, переговоры с Данией и Канадой </w:t>
            </w:r>
          </w:p>
        </w:tc>
        <w:tc>
          <w:tcPr>
            <w:tcW w:w="2593" w:type="dxa"/>
            <w:tcBorders>
              <w:bottom w:val="single" w:sz="2" w:space="0" w:color="FFFFFF"/>
            </w:tcBorders>
            <w:vAlign w:val="center"/>
          </w:tcPr>
          <w:p>
            <w:pPr>
              <w:pStyle w:val="Style14"/>
              <w:rPr/>
            </w:pPr>
            <w:r>
              <w:rPr/>
              <w:t>Длительность процесса, геополитические разногласия</w:t>
            </w:r>
          </w:p>
        </w:tc>
      </w:tr>
    </w:tbl>
    <w:p>
      <w:pPr>
        <w:pStyle w:val="Heading2"/>
        <w:rPr/>
      </w:pPr>
      <w:r>
        <w:rPr/>
        <w:t>4. Экологические аспекты и вопросы безопасности</w:t>
      </w:r>
    </w:p>
    <w:p>
      <w:pPr>
        <w:pStyle w:val="BodyText"/>
        <w:numPr>
          <w:ilvl w:val="0"/>
          <w:numId w:val="5"/>
        </w:numPr>
        <w:tabs>
          <w:tab w:val="clear" w:pos="709"/>
          <w:tab w:val="left" w:pos="0" w:leader="none"/>
        </w:tabs>
        <w:ind w:hanging="0" w:left="0"/>
        <w:rPr/>
      </w:pPr>
      <w:r>
        <w:rPr>
          <w:rStyle w:val="Strong"/>
        </w:rPr>
        <w:t>Хрупкая экосистема</w:t>
      </w:r>
      <w:r>
        <w:rPr/>
        <w:t>: Уникальная природа Арктики крайне уязвима к антропогенному воздействию и последствиям изменения климата. Россия декларирует приверженность защите окружающей среды и биоразнообразия региона . Однако на практике международное сотрудничество в этой сфере, в рамках того же Арктического совета, в значительной степени свёрнуто, что негативно сказывается на эффективности экологических программ .</w:t>
      </w:r>
    </w:p>
    <w:p>
      <w:pPr>
        <w:pStyle w:val="BodyText"/>
        <w:numPr>
          <w:ilvl w:val="0"/>
          <w:numId w:val="5"/>
        </w:numPr>
        <w:tabs>
          <w:tab w:val="clear" w:pos="709"/>
          <w:tab w:val="left" w:pos="0" w:leader="none"/>
        </w:tabs>
        <w:ind w:hanging="0" w:left="0"/>
        <w:rPr/>
      </w:pPr>
      <w:r>
        <w:rPr>
          <w:rStyle w:val="Strong"/>
        </w:rPr>
        <w:t>Климатическая повестка</w:t>
      </w:r>
      <w:r>
        <w:rPr/>
        <w:t>: Несмотря на общую сложность ситуации, в России есть и позитивные региональные инициативы. Например, Сахалинский углеродный эксперимент создал нормативную базу для национального климатического рынка, и теперь другие регионы, включая Якутию, планируют реализовывать собственные лесоклиматические проекты . Это открывает возможности для сотрудничества со странами БРИКС и ШОС.</w:t>
      </w:r>
    </w:p>
    <w:p>
      <w:pPr>
        <w:pStyle w:val="BodyText"/>
        <w:numPr>
          <w:ilvl w:val="0"/>
          <w:numId w:val="5"/>
        </w:numPr>
        <w:tabs>
          <w:tab w:val="clear" w:pos="709"/>
          <w:tab w:val="left" w:pos="0" w:leader="none"/>
        </w:tabs>
        <w:ind w:hanging="0" w:left="0"/>
        <w:rPr/>
      </w:pPr>
      <w:r>
        <w:rPr>
          <w:rStyle w:val="Strong"/>
        </w:rPr>
        <w:t>Комплексная безопасность</w:t>
      </w:r>
      <w:r>
        <w:rPr/>
        <w:t>: Вопросы безопасности в Арктике выходят за рамки военной сферы и включают </w:t>
      </w:r>
      <w:r>
        <w:rPr>
          <w:rStyle w:val="Strong"/>
        </w:rPr>
        <w:t>экологическую безопасность</w:t>
      </w:r>
      <w:r>
        <w:rPr/>
        <w:t> (ликвидация последствий разливов нефти), </w:t>
      </w:r>
      <w:r>
        <w:rPr>
          <w:rStyle w:val="Strong"/>
        </w:rPr>
        <w:t>экономическую безопасность</w:t>
      </w:r>
      <w:r>
        <w:rPr/>
        <w:t> (устойчивость логистических цепочек) и </w:t>
      </w:r>
      <w:r>
        <w:rPr>
          <w:rStyle w:val="Strong"/>
        </w:rPr>
        <w:t>техногенную безопасность</w:t>
      </w:r>
      <w:r>
        <w:rPr/>
        <w:t> (обеспечение безопасного судоходства в сложных ледовых условиях). Разработка мер по поиску и спасанию в Арктике выделяется как отдельное направление с собственными правовыми аспектами .</w:t>
      </w:r>
    </w:p>
    <w:p>
      <w:pPr>
        <w:pStyle w:val="Heading2"/>
        <w:rPr/>
      </w:pPr>
      <w:r>
        <w:rPr/>
        <w:t>5. Взаимодействие с арктическими и неарктическими государствами</w:t>
      </w:r>
    </w:p>
    <w:p>
      <w:pPr>
        <w:pStyle w:val="BodyText"/>
        <w:rPr/>
      </w:pPr>
      <w:r>
        <w:rPr/>
        <w:t>Международное взаимодействие в Арктике переживает период глубокой трансформации, характеризующийся сменой приоритетов и географической переориентацией.</w:t>
      </w:r>
    </w:p>
    <w:p>
      <w:pPr>
        <w:pStyle w:val="BodyText"/>
        <w:numPr>
          <w:ilvl w:val="0"/>
          <w:numId w:val="6"/>
        </w:numPr>
        <w:tabs>
          <w:tab w:val="clear" w:pos="709"/>
          <w:tab w:val="left" w:pos="0" w:leader="none"/>
        </w:tabs>
        <w:ind w:hanging="0" w:left="0"/>
        <w:rPr/>
      </w:pPr>
      <w:r>
        <w:rPr>
          <w:rStyle w:val="Strong"/>
        </w:rPr>
        <w:t>Арктические государства и НАТО</w:t>
      </w:r>
      <w:r>
        <w:rPr/>
        <w:t>: После начала конфронтации с Западом в 2022 году полноценная работа </w:t>
      </w:r>
      <w:r>
        <w:rPr>
          <w:rStyle w:val="Strong"/>
        </w:rPr>
        <w:t>Арктического совета</w:t>
      </w:r>
      <w:r>
        <w:rPr/>
        <w:t> – ключевого механизма многостороннего взаимодействия – была заморожена . Россия заявляет, что не отказывалась от диалога, инициатива исходила от западных партнеров . При этом диалог с не входящими в НАТО арктическими государствами, такими как Финляндия и Швеция (ставшими членами альянса), также практически прекращен .</w:t>
      </w:r>
    </w:p>
    <w:p>
      <w:pPr>
        <w:pStyle w:val="BodyText"/>
        <w:numPr>
          <w:ilvl w:val="0"/>
          <w:numId w:val="6"/>
        </w:numPr>
        <w:tabs>
          <w:tab w:val="clear" w:pos="709"/>
          <w:tab w:val="left" w:pos="0" w:leader="none"/>
        </w:tabs>
        <w:ind w:hanging="0" w:left="0"/>
        <w:rPr/>
      </w:pPr>
      <w:r>
        <w:rPr>
          <w:rStyle w:val="Strong"/>
        </w:rPr>
        <w:t>Поворот на Восток</w:t>
      </w:r>
      <w:r>
        <w:rPr/>
        <w:t>: В новых условиях Россия активно развивает арктическое сотрудничество с неарктическими государствами, в первую очередь с Китаем и Индией. Китай проявляет активный интерес к проектам "Ледового шелкового пути", участвуя в проектах СПГ ("Ямал СПГ", "Арктик СПГ-2"), научных инициативах и обсуждая применение своих технологий (автономные системы, ИИ) в Арктике . Индия рассматривается как стратегический партнер в области строительства танкеров и ледоколов, а также как перспективный рынок для арктических ресурсов . Планы по увеличению товарооборота с Индией до $100 млрд к 2030 году напрямую связаны с развитием независимых платежных решений и логистических коридоров, включая арктические .</w:t>
      </w:r>
    </w:p>
    <w:p>
      <w:pPr>
        <w:pStyle w:val="BodyText"/>
        <w:numPr>
          <w:ilvl w:val="0"/>
          <w:numId w:val="6"/>
        </w:numPr>
        <w:tabs>
          <w:tab w:val="clear" w:pos="709"/>
          <w:tab w:val="left" w:pos="0" w:leader="none"/>
        </w:tabs>
        <w:ind w:hanging="0" w:left="0"/>
        <w:rPr/>
      </w:pPr>
      <w:r>
        <w:rPr>
          <w:rStyle w:val="Strong"/>
        </w:rPr>
        <w:t>Многосторонние форматы</w:t>
      </w:r>
      <w:r>
        <w:rPr/>
        <w:t>: Параллельно Россия делает ставку на укрепление арктической повестки в рамках таких объединений, как БРИКС и ШОС, что рассматривается как способ формирования альтернативных механизмов сотрудничества, свободных от западного влияния .</w:t>
      </w:r>
    </w:p>
    <w:p>
      <w:pPr>
        <w:pStyle w:val="Heading2"/>
        <w:rPr/>
      </w:pPr>
      <w:r>
        <w:rPr/>
        <w:t>Заключение</w:t>
      </w:r>
    </w:p>
    <w:p>
      <w:pPr>
        <w:pStyle w:val="BodyText"/>
        <w:rPr/>
      </w:pPr>
      <w:r>
        <w:rPr/>
        <w:t>Россия демонстрирует твердую решимость в укреплении своих позиций в Арктике, рассматривая регион как зону своих жизненно важных национальных интересов. Несмотря на беспрецедентное обострение геополитической обстановки и связанные с этим экономические и технологические вызовы, страна продолжает системное освоение региона. Это выражается в амбициозных планах по развитию Северного морского пути, реализации крупных инфраструктурных проектов, активной работе по международно-правовому закреплению своих прав на расширенный континентальный шельф и переориентации международного сотрудничества на дружественные страны Востока.</w:t>
      </w:r>
    </w:p>
    <w:p>
      <w:pPr>
        <w:pStyle w:val="BodyText"/>
        <w:rPr/>
      </w:pPr>
      <w:r>
        <w:rPr/>
        <w:t>Ключевыми проблемами на этом пути остаются технологическая зависимость в условиях санкций, необходимость развития собственных компетенций в судостроении и обеспечении безопасности, а также хрупкость арктической экосистемы. Успех России в Арктике будет зависеть не только от ее ability мобилизовать внутренние ресурсы, но и от того, насколько эффективно ей удастся интегрировать регион в новую, формирующуюся систему глобальных экономических и политических связей, центром которой постепенно становится Азия.</w:t>
      </w:r>
    </w:p>
    <w:p>
      <w:pPr>
        <w:pStyle w:val="BodyText"/>
        <w:spacing w:before="0" w:after="140"/>
        <w:rPr/>
      </w:pPr>
      <w:r>
        <w:rP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ru-RU" w:eastAsia="zh-CN" w:bidi="hi-IN"/>
    </w:rPr>
  </w:style>
  <w:style w:type="paragraph" w:styleId="Heading1">
    <w:name w:val="heading 1"/>
    <w:basedOn w:val="user"/>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user"/>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Style12"/>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Style11">
    <w:name w:val="Маркеры"/>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kremlin.ru/events/president/news/76554"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LibreOffice/25.8.3.2$Windows_X86_64 LibreOffice_project/8ca8d55c161d602844f5428fa4b58097424e324e</Application>
  <AppVersion>15.0000</AppVersion>
  <Pages>5</Pages>
  <Words>1442</Words>
  <Characters>10079</Characters>
  <CharactersWithSpaces>11465</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2025-11-30T11:08:51Z</dcterms:created>
  <dc:creator/>
  <dc:description/>
  <dc:language>ru-RU</dc:language>
  <cp:lastModifiedBy/>
  <dcterms:modified xsi:type="dcterms:W3CDTF">2025-11-30T18:25:22Z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