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92" w:rsidRPr="00BC5892" w:rsidRDefault="00BC5892" w:rsidP="00BC5892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C5892">
        <w:rPr>
          <w:rFonts w:asciiTheme="minorHAnsi" w:hAnsiTheme="minorHAnsi" w:cstheme="minorHAnsi"/>
          <w:color w:val="000000"/>
          <w:sz w:val="22"/>
          <w:szCs w:val="22"/>
        </w:rPr>
        <w:t xml:space="preserve">Atribución de autoría de </w:t>
      </w:r>
      <w:r w:rsidRPr="00BC5892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¡El </w:t>
      </w:r>
      <w:proofErr w:type="spellStart"/>
      <w:r w:rsidRPr="00BC5892">
        <w:rPr>
          <w:rFonts w:asciiTheme="minorHAnsi" w:hAnsiTheme="minorHAnsi" w:cstheme="minorHAnsi"/>
          <w:i/>
          <w:iCs/>
          <w:color w:val="000000"/>
          <w:sz w:val="22"/>
          <w:szCs w:val="22"/>
        </w:rPr>
        <w:t>Móndrigo</w:t>
      </w:r>
      <w:proofErr w:type="spellEnd"/>
      <w:r w:rsidRPr="00BC5892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! Bitácora del Consejo General de Huelga. </w:t>
      </w:r>
    </w:p>
    <w:p w:rsidR="00BC5892" w:rsidRPr="00E825E8" w:rsidRDefault="00BC5892" w:rsidP="00E825E8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20"/>
          <w:szCs w:val="22"/>
        </w:rPr>
      </w:pPr>
      <w:r w:rsidRPr="00E825E8">
        <w:rPr>
          <w:rFonts w:asciiTheme="minorHAnsi" w:hAnsiTheme="minorHAnsi" w:cstheme="minorHAnsi"/>
          <w:color w:val="000000"/>
          <w:sz w:val="20"/>
          <w:szCs w:val="22"/>
        </w:rPr>
        <w:t>Dr. Gerardo Eugenio Sierra Martínez, Ing. Brian Alonso Sánchez Vázquez</w:t>
      </w:r>
      <w:r w:rsidRPr="00E825E8">
        <w:rPr>
          <w:rFonts w:asciiTheme="minorHAnsi" w:hAnsiTheme="minorHAnsi" w:cstheme="minorHAnsi"/>
          <w:sz w:val="20"/>
          <w:szCs w:val="22"/>
        </w:rPr>
        <w:t xml:space="preserve">, </w:t>
      </w:r>
      <w:r w:rsidRPr="00E825E8">
        <w:rPr>
          <w:rFonts w:asciiTheme="minorHAnsi" w:hAnsiTheme="minorHAnsi" w:cstheme="minorHAnsi"/>
          <w:color w:val="000000"/>
          <w:sz w:val="20"/>
          <w:szCs w:val="22"/>
        </w:rPr>
        <w:t>Ing. Samuel Ramos Sosa</w:t>
      </w:r>
      <w:r w:rsidRPr="00E825E8">
        <w:rPr>
          <w:rFonts w:asciiTheme="minorHAnsi" w:hAnsiTheme="minorHAnsi" w:cstheme="minorHAnsi"/>
          <w:sz w:val="20"/>
          <w:szCs w:val="22"/>
        </w:rPr>
        <w:t xml:space="preserve">, </w:t>
      </w:r>
      <w:r w:rsidRPr="00E825E8">
        <w:rPr>
          <w:rFonts w:asciiTheme="minorHAnsi" w:hAnsiTheme="minorHAnsi" w:cstheme="minorHAnsi"/>
          <w:color w:val="000000"/>
          <w:sz w:val="20"/>
          <w:szCs w:val="22"/>
        </w:rPr>
        <w:t>Tonatiuh Hernández García</w:t>
      </w:r>
    </w:p>
    <w:p w:rsidR="00BC5892" w:rsidRDefault="00BC5892" w:rsidP="00000F9C">
      <w:pPr>
        <w:jc w:val="both"/>
        <w:rPr>
          <w:rFonts w:cstheme="minorHAnsi"/>
          <w:iCs/>
          <w:color w:val="000000"/>
        </w:rPr>
      </w:pPr>
      <w:r>
        <w:t xml:space="preserve">En respuesta a una solitud hecha al Grupo de Ingeniería Lingüística, presentamos los resultados de los experimentos realizados con el fin de determinar la autoría </w:t>
      </w:r>
      <w:r w:rsidRPr="00BC5892">
        <w:rPr>
          <w:rFonts w:cstheme="minorHAnsi"/>
          <w:color w:val="000000"/>
        </w:rPr>
        <w:t xml:space="preserve">de </w:t>
      </w:r>
      <w:r w:rsidRPr="00BC5892">
        <w:rPr>
          <w:rFonts w:cstheme="minorHAnsi"/>
          <w:i/>
          <w:iCs/>
          <w:color w:val="000000"/>
        </w:rPr>
        <w:t xml:space="preserve">¡El </w:t>
      </w:r>
      <w:proofErr w:type="spellStart"/>
      <w:r w:rsidRPr="00BC5892">
        <w:rPr>
          <w:rFonts w:cstheme="minorHAnsi"/>
          <w:i/>
          <w:iCs/>
          <w:color w:val="000000"/>
        </w:rPr>
        <w:t>Móndrigo</w:t>
      </w:r>
      <w:proofErr w:type="spellEnd"/>
      <w:r w:rsidRPr="00BC5892">
        <w:rPr>
          <w:rFonts w:cstheme="minorHAnsi"/>
          <w:i/>
          <w:iCs/>
          <w:color w:val="000000"/>
        </w:rPr>
        <w:t>! Bitácora del Consejo General de Huelga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de entre un grupo de cinco autores candidatos: </w:t>
      </w:r>
      <w:r w:rsidRPr="00BC5892">
        <w:rPr>
          <w:rFonts w:cstheme="minorHAnsi"/>
          <w:iCs/>
          <w:color w:val="000000"/>
        </w:rPr>
        <w:t>Emilio Uranga, Jorge Joseph Piedra, Roberto Blanco Moheno, Gregorio Ortega Molina y Gregorio Ortega Hernández</w:t>
      </w:r>
      <w:r>
        <w:rPr>
          <w:rFonts w:cstheme="minorHAnsi"/>
          <w:iCs/>
          <w:color w:val="000000"/>
        </w:rPr>
        <w:t xml:space="preserve">. </w:t>
      </w:r>
      <w:r w:rsidR="00000F9C">
        <w:rPr>
          <w:rFonts w:cstheme="minorHAnsi"/>
          <w:iCs/>
          <w:color w:val="000000"/>
        </w:rPr>
        <w:t>Medimos características</w:t>
      </w:r>
      <w:r>
        <w:rPr>
          <w:rFonts w:cstheme="minorHAnsi"/>
          <w:iCs/>
          <w:color w:val="000000"/>
        </w:rPr>
        <w:t xml:space="preserve"> textuales de los corpus de autoría comprobada y los comparamos con ¡El </w:t>
      </w:r>
      <w:proofErr w:type="spellStart"/>
      <w:r>
        <w:rPr>
          <w:rFonts w:cstheme="minorHAnsi"/>
          <w:iCs/>
          <w:color w:val="000000"/>
        </w:rPr>
        <w:t>Móndrigo</w:t>
      </w:r>
      <w:proofErr w:type="spellEnd"/>
      <w:r>
        <w:rPr>
          <w:rFonts w:cstheme="minorHAnsi"/>
          <w:iCs/>
          <w:color w:val="000000"/>
        </w:rPr>
        <w:t xml:space="preserve">! con el fin de obtener el rango de similitud en el estilo de escritura. </w:t>
      </w:r>
    </w:p>
    <w:p w:rsidR="00BC5892" w:rsidRPr="00000F9C" w:rsidRDefault="00BC5892" w:rsidP="00000F9C">
      <w:pPr>
        <w:jc w:val="both"/>
        <w:rPr>
          <w:b/>
        </w:rPr>
      </w:pPr>
      <w:proofErr w:type="spellStart"/>
      <w:r w:rsidRPr="00000F9C">
        <w:rPr>
          <w:b/>
        </w:rPr>
        <w:t>Support</w:t>
      </w:r>
      <w:proofErr w:type="spellEnd"/>
      <w:r w:rsidRPr="00000F9C">
        <w:rPr>
          <w:b/>
        </w:rPr>
        <w:t xml:space="preserve"> Vector Machines mediante clasificación multiclase “</w:t>
      </w:r>
      <w:proofErr w:type="spellStart"/>
      <w:r w:rsidRPr="00000F9C">
        <w:rPr>
          <w:b/>
        </w:rPr>
        <w:t>one</w:t>
      </w:r>
      <w:proofErr w:type="spellEnd"/>
      <w:r w:rsidRPr="00000F9C">
        <w:rPr>
          <w:b/>
        </w:rPr>
        <w:t xml:space="preserve"> vs </w:t>
      </w:r>
      <w:proofErr w:type="spellStart"/>
      <w:r w:rsidRPr="00000F9C">
        <w:rPr>
          <w:b/>
        </w:rPr>
        <w:t>rest</w:t>
      </w:r>
      <w:proofErr w:type="spellEnd"/>
      <w:r w:rsidRPr="00000F9C">
        <w:rPr>
          <w:b/>
        </w:rPr>
        <w:t xml:space="preserve">” utilizando los vectores de características del Sistema Automático de Estudios </w:t>
      </w:r>
      <w:proofErr w:type="spellStart"/>
      <w:r w:rsidRPr="00000F9C">
        <w:rPr>
          <w:b/>
        </w:rPr>
        <w:t>Estilométricos</w:t>
      </w:r>
      <w:proofErr w:type="spellEnd"/>
      <w:r w:rsidRPr="00000F9C">
        <w:rPr>
          <w:b/>
        </w:rPr>
        <w:t xml:space="preserve"> (SAUTEE) con predicción para cada tipo de </w:t>
      </w:r>
      <w:proofErr w:type="spellStart"/>
      <w:r w:rsidRPr="00000F9C">
        <w:rPr>
          <w:b/>
        </w:rPr>
        <w:t>kernel</w:t>
      </w:r>
      <w:proofErr w:type="spellEnd"/>
      <w:r w:rsidR="00000F9C" w:rsidRPr="00000F9C">
        <w:rPr>
          <w:b/>
        </w:rPr>
        <w:t>:</w:t>
      </w:r>
    </w:p>
    <w:tbl>
      <w:tblPr>
        <w:tblStyle w:val="Tablaconcuadrcula"/>
        <w:tblW w:w="0" w:type="auto"/>
        <w:tblInd w:w="1361" w:type="dxa"/>
        <w:tblLook w:val="04A0" w:firstRow="1" w:lastRow="0" w:firstColumn="1" w:lastColumn="0" w:noHBand="0" w:noVBand="1"/>
      </w:tblPr>
      <w:tblGrid>
        <w:gridCol w:w="3187"/>
        <w:gridCol w:w="688"/>
        <w:gridCol w:w="1120"/>
        <w:gridCol w:w="846"/>
        <w:gridCol w:w="986"/>
        <w:gridCol w:w="1012"/>
        <w:gridCol w:w="1026"/>
      </w:tblGrid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Marcador </w:t>
            </w: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Estilométrico</w:t>
            </w:r>
            <w:proofErr w:type="spellEnd"/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Kernel</w:t>
            </w:r>
            <w:proofErr w:type="spellEnd"/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Ortega Molina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Emilio Uranga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Blanco Moheno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Ortega Hernández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Jorge Joseph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Bigramas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caracteres 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LIN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10.61%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3.94%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1.82%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14.01%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69.62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Trigramas de carácter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RBF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8.28%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9.43%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4.25%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11.72%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66.31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Unigramas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palabras funcionales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POLY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10.05%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8.85%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6.90%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13.30%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60.91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Bigramas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palabras funcionales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SIG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16.47%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17.45%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12.10%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14.24%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39.48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Bigramas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palabras funcionales con </w:t>
            </w:r>
            <w:r w:rsidR="00E825E8"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2H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SIG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9.67%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24.94%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14.59%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9.19%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000F9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42.19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Trigramas de palabras funcionales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LIN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9.02%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29.94%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11.41%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10.36%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39.26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gram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Trigramas  palabras</w:t>
            </w:r>
            <w:proofErr w:type="gram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funcionales con 2H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RBF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9.16%</w:t>
            </w:r>
          </w:p>
        </w:tc>
        <w:tc>
          <w:tcPr>
            <w:tcW w:w="84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35.30%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15.41%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17.47%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22.66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Longitud de oraciones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SIG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14.70%</w:t>
            </w:r>
          </w:p>
        </w:tc>
        <w:tc>
          <w:tcPr>
            <w:tcW w:w="84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42.58%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8.80%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12.37%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21.55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Longitud de palabras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RBF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9.40%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18.15%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3.58%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14.15%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54.72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Unigramas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etiquetas POS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LIN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15.36%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3.43%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7.54%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14.02%</w:t>
            </w:r>
          </w:p>
        </w:tc>
        <w:tc>
          <w:tcPr>
            <w:tcW w:w="1026" w:type="dxa"/>
          </w:tcPr>
          <w:p w:rsidR="00BC5892" w:rsidRPr="00636B1C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59.65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Bigramas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etiquetas POS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POLY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19.59%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13.22%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13.96%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16.44%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36.79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Trigramas de etiquetas POS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POLY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32.08%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8.08%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14.42%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29.59%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15.83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Cat. Gram al inicio de la oración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SIG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6.73%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44.50%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9.35%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19.41%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20.01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Cat. Gram al final de la oración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LIN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13.10%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36.80%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5.99%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17.28%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26.83</w:t>
            </w:r>
          </w:p>
        </w:tc>
      </w:tr>
      <w:tr w:rsidR="00BC5892" w:rsidRPr="00BC5892" w:rsidTr="00E825E8">
        <w:tc>
          <w:tcPr>
            <w:tcW w:w="3187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proofErr w:type="spellStart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Unigramas</w:t>
            </w:r>
            <w:proofErr w:type="spellEnd"/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 xml:space="preserve"> de et. POS no fino</w:t>
            </w:r>
          </w:p>
        </w:tc>
        <w:tc>
          <w:tcPr>
            <w:tcW w:w="688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RBF</w:t>
            </w:r>
          </w:p>
        </w:tc>
        <w:tc>
          <w:tcPr>
            <w:tcW w:w="1120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13.04%</w:t>
            </w:r>
          </w:p>
        </w:tc>
        <w:tc>
          <w:tcPr>
            <w:tcW w:w="84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12.51%</w:t>
            </w:r>
          </w:p>
        </w:tc>
        <w:tc>
          <w:tcPr>
            <w:tcW w:w="98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15.63%</w:t>
            </w:r>
          </w:p>
        </w:tc>
        <w:tc>
          <w:tcPr>
            <w:tcW w:w="1012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  <w:lang w:val="es-MX"/>
              </w:rPr>
              <w:t>12.12%</w:t>
            </w:r>
          </w:p>
        </w:tc>
        <w:tc>
          <w:tcPr>
            <w:tcW w:w="1026" w:type="dxa"/>
          </w:tcPr>
          <w:p w:rsidR="00BC5892" w:rsidRPr="00E825E8" w:rsidRDefault="00BC5892" w:rsidP="006B4BE7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16"/>
                <w:szCs w:val="16"/>
                <w:lang w:val="es-MX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  <w:lang w:val="es-MX"/>
              </w:rPr>
              <w:t>46.71</w:t>
            </w:r>
          </w:p>
        </w:tc>
      </w:tr>
    </w:tbl>
    <w:p w:rsidR="00BC5892" w:rsidRPr="00000F9C" w:rsidRDefault="00E825E8">
      <w:pPr>
        <w:rPr>
          <w:rFonts w:cstheme="minorHAnsi"/>
          <w:b/>
          <w:szCs w:val="18"/>
        </w:rPr>
      </w:pPr>
      <w:r w:rsidRPr="00000F9C">
        <w:rPr>
          <w:rFonts w:cstheme="minorHAnsi"/>
          <w:b/>
          <w:szCs w:val="18"/>
        </w:rPr>
        <w:t xml:space="preserve">Método </w:t>
      </w:r>
      <w:proofErr w:type="spellStart"/>
      <w:r w:rsidRPr="00000F9C">
        <w:rPr>
          <w:rFonts w:cstheme="minorHAnsi"/>
          <w:b/>
          <w:szCs w:val="18"/>
        </w:rPr>
        <w:t>Kilgarrif</w:t>
      </w:r>
      <w:proofErr w:type="spellEnd"/>
      <w:r w:rsidRPr="00000F9C">
        <w:rPr>
          <w:rFonts w:cstheme="minorHAnsi"/>
          <w:b/>
          <w:szCs w:val="18"/>
        </w:rPr>
        <w:t xml:space="preserve"> y Método Delta de John </w:t>
      </w:r>
      <w:proofErr w:type="spellStart"/>
      <w:r w:rsidRPr="00000F9C">
        <w:rPr>
          <w:rFonts w:cstheme="minorHAnsi"/>
          <w:b/>
          <w:szCs w:val="18"/>
        </w:rPr>
        <w:t>Burrows</w:t>
      </w:r>
      <w:proofErr w:type="spellEnd"/>
      <w:r w:rsidR="00000F9C" w:rsidRPr="00000F9C">
        <w:rPr>
          <w:rFonts w:cstheme="minorHAnsi"/>
          <w:b/>
          <w:szCs w:val="18"/>
        </w:rPr>
        <w:t>:</w:t>
      </w:r>
    </w:p>
    <w:tbl>
      <w:tblPr>
        <w:tblStyle w:val="Tablaconcuadrcula"/>
        <w:tblW w:w="0" w:type="auto"/>
        <w:tblInd w:w="1404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5E8" w:rsidRPr="007A1172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b/>
                <w:sz w:val="16"/>
                <w:szCs w:val="16"/>
              </w:rPr>
              <w:t>Autor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Distancia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b/>
                <w:sz w:val="16"/>
                <w:szCs w:val="16"/>
                <w:lang w:val="es-MX"/>
              </w:rPr>
              <w:t>Delta Δ</w:t>
            </w:r>
          </w:p>
        </w:tc>
      </w:tr>
      <w:tr w:rsidR="00E825E8" w:rsidRPr="00562C40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Emilio Uranga</w:t>
            </w:r>
          </w:p>
        </w:tc>
        <w:tc>
          <w:tcPr>
            <w:tcW w:w="2943" w:type="dxa"/>
          </w:tcPr>
          <w:p w:rsidR="00E825E8" w:rsidRPr="00636B1C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1771.0364889378193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1.5134148360747048</w:t>
            </w:r>
          </w:p>
        </w:tc>
      </w:tr>
      <w:tr w:rsidR="00E825E8" w:rsidRPr="00562C40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Gregorio Ortega Molina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2002.4749684727008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1.0422030585665234</w:t>
            </w:r>
          </w:p>
        </w:tc>
      </w:tr>
      <w:tr w:rsidR="00E825E8" w:rsidRPr="00562C40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 xml:space="preserve">Jorge Joseph 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1643.598487830984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36B1C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0.5190645312503361</w:t>
            </w:r>
          </w:p>
        </w:tc>
      </w:tr>
      <w:tr w:rsidR="00E825E8" w:rsidRPr="00562C40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Gregorio Ortega Hernández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1986.895626691162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1.2069074912312774</w:t>
            </w:r>
          </w:p>
        </w:tc>
      </w:tr>
      <w:tr w:rsidR="00E825E8" w:rsidRPr="008F30F5" w:rsidTr="00E825E8">
        <w:tc>
          <w:tcPr>
            <w:tcW w:w="294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Roberto Blanco Moheno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3221.980751878392</w:t>
            </w:r>
          </w:p>
        </w:tc>
        <w:tc>
          <w:tcPr>
            <w:tcW w:w="2943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E825E8">
              <w:rPr>
                <w:rFonts w:asciiTheme="minorHAnsi" w:hAnsiTheme="minorHAnsi" w:cstheme="minorHAnsi"/>
                <w:sz w:val="16"/>
                <w:szCs w:val="16"/>
              </w:rPr>
              <w:t>1.2278603090115858</w:t>
            </w:r>
          </w:p>
        </w:tc>
      </w:tr>
    </w:tbl>
    <w:p w:rsidR="00E825E8" w:rsidRPr="00000F9C" w:rsidRDefault="00E825E8">
      <w:pPr>
        <w:rPr>
          <w:rFonts w:cstheme="minorHAnsi"/>
          <w:b/>
          <w:szCs w:val="18"/>
        </w:rPr>
      </w:pPr>
      <w:proofErr w:type="spellStart"/>
      <w:r w:rsidRPr="00000F9C">
        <w:rPr>
          <w:rFonts w:cstheme="minorHAnsi"/>
          <w:b/>
          <w:szCs w:val="18"/>
        </w:rPr>
        <w:t>Estilometría</w:t>
      </w:r>
      <w:proofErr w:type="spellEnd"/>
      <w:r w:rsidR="00000F9C" w:rsidRPr="00000F9C">
        <w:rPr>
          <w:rFonts w:cstheme="minorHAnsi"/>
          <w:b/>
          <w:szCs w:val="18"/>
        </w:rPr>
        <w:t>:</w:t>
      </w:r>
    </w:p>
    <w:tbl>
      <w:tblPr>
        <w:tblStyle w:val="Tablaconcuadrcula"/>
        <w:tblW w:w="0" w:type="auto"/>
        <w:tblInd w:w="1480" w:type="dxa"/>
        <w:tblLook w:val="04A0" w:firstRow="1" w:lastRow="0" w:firstColumn="1" w:lastColumn="0" w:noHBand="0" w:noVBand="1"/>
      </w:tblPr>
      <w:tblGrid>
        <w:gridCol w:w="1555"/>
        <w:gridCol w:w="967"/>
        <w:gridCol w:w="1261"/>
        <w:gridCol w:w="1261"/>
        <w:gridCol w:w="1261"/>
        <w:gridCol w:w="1261"/>
        <w:gridCol w:w="1262"/>
      </w:tblGrid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bookmarkStart w:id="0" w:name="_Hlk2120613"/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Autor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Long de párrafo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Palabras por párrafo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Puntos por párrafo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Comas por párrafo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Punto y coma x P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Dos puntos x P</w:t>
            </w:r>
          </w:p>
        </w:tc>
      </w:tr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Jorge Joseph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78.57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70.54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72.72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68.42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55.55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50.00</w:t>
            </w:r>
          </w:p>
        </w:tc>
      </w:tr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Emilio Uranga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71.42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51.16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72.72</w:t>
            </w:r>
            <w:r w:rsid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%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68.42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000F9C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44.44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  <w:highlight w:val="yellow"/>
              </w:rPr>
              <w:t>75.00</w:t>
            </w:r>
          </w:p>
        </w:tc>
      </w:tr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Blanco Moheno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42.85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50.38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36.36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26.31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33.33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75.00</w:t>
            </w:r>
          </w:p>
        </w:tc>
      </w:tr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Gregorio Ortega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8.57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35.65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1.81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8.42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55.55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50.00</w:t>
            </w:r>
          </w:p>
        </w:tc>
      </w:tr>
      <w:tr w:rsidR="00E825E8" w:rsidRPr="00A65447" w:rsidTr="00E825E8">
        <w:tc>
          <w:tcPr>
            <w:tcW w:w="1555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Ortega Molina</w:t>
            </w:r>
          </w:p>
        </w:tc>
        <w:tc>
          <w:tcPr>
            <w:tcW w:w="967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78.57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47.28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63.63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47.36</w:t>
            </w:r>
          </w:p>
        </w:tc>
        <w:tc>
          <w:tcPr>
            <w:tcW w:w="1261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33.33</w:t>
            </w:r>
          </w:p>
        </w:tc>
        <w:tc>
          <w:tcPr>
            <w:tcW w:w="1262" w:type="dxa"/>
          </w:tcPr>
          <w:p w:rsidR="00E825E8" w:rsidRPr="00E825E8" w:rsidRDefault="00E825E8" w:rsidP="006B4BE7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sz w:val="16"/>
                <w:szCs w:val="18"/>
              </w:rPr>
            </w:pPr>
            <w:r w:rsidRPr="00E825E8">
              <w:rPr>
                <w:rFonts w:asciiTheme="minorHAnsi" w:hAnsiTheme="minorHAnsi" w:cstheme="minorHAnsi"/>
                <w:sz w:val="16"/>
                <w:szCs w:val="18"/>
              </w:rPr>
              <w:t>25.00</w:t>
            </w:r>
          </w:p>
        </w:tc>
      </w:tr>
    </w:tbl>
    <w:bookmarkEnd w:id="0"/>
    <w:p w:rsidR="00E825E8" w:rsidRPr="00000F9C" w:rsidRDefault="00E825E8">
      <w:pPr>
        <w:rPr>
          <w:rFonts w:cstheme="minorHAnsi"/>
          <w:b/>
          <w:szCs w:val="18"/>
        </w:rPr>
      </w:pPr>
      <w:r w:rsidRPr="00000F9C">
        <w:rPr>
          <w:rFonts w:cstheme="minorHAnsi"/>
          <w:b/>
          <w:szCs w:val="18"/>
        </w:rPr>
        <w:t xml:space="preserve">Conclusiones: </w:t>
      </w:r>
    </w:p>
    <w:p w:rsidR="00636B1C" w:rsidRDefault="00636B1C" w:rsidP="006B4BE7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Los experimentos indican que Jorge Joseph tiene una alta similitud con el </w:t>
      </w:r>
      <w:proofErr w:type="spellStart"/>
      <w:r>
        <w:rPr>
          <w:rFonts w:cstheme="minorHAnsi"/>
          <w:szCs w:val="18"/>
        </w:rPr>
        <w:t>Móndrigo</w:t>
      </w:r>
      <w:proofErr w:type="spellEnd"/>
      <w:r>
        <w:rPr>
          <w:rFonts w:cstheme="minorHAnsi"/>
          <w:szCs w:val="18"/>
        </w:rPr>
        <w:t xml:space="preserve">. Emilio Uranga también es similar, pero con cifras inferiores. El resto de los estilos de los autores no es similar al </w:t>
      </w:r>
      <w:proofErr w:type="spellStart"/>
      <w:r>
        <w:rPr>
          <w:rFonts w:cstheme="minorHAnsi"/>
          <w:szCs w:val="18"/>
        </w:rPr>
        <w:t>Móndrigo</w:t>
      </w:r>
      <w:proofErr w:type="spellEnd"/>
      <w:r>
        <w:rPr>
          <w:rFonts w:cstheme="minorHAnsi"/>
          <w:szCs w:val="18"/>
        </w:rPr>
        <w:t xml:space="preserve">.  </w:t>
      </w:r>
      <w:r w:rsidR="00000F9C">
        <w:rPr>
          <w:rFonts w:cstheme="minorHAnsi"/>
          <w:szCs w:val="18"/>
        </w:rPr>
        <w:t>Los resultados fueron consistentes y coinciden entre sí, aun siendo distintos métodos y medidas.</w:t>
      </w:r>
      <w:r>
        <w:rPr>
          <w:rFonts w:cstheme="minorHAnsi"/>
          <w:szCs w:val="18"/>
        </w:rPr>
        <w:t xml:space="preserve"> </w:t>
      </w:r>
    </w:p>
    <w:p w:rsidR="00636B1C" w:rsidRPr="00E825E8" w:rsidRDefault="00636B1C" w:rsidP="006B4BE7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La evidencia indica que ¡El </w:t>
      </w:r>
      <w:proofErr w:type="spellStart"/>
      <w:r>
        <w:rPr>
          <w:rFonts w:cstheme="minorHAnsi"/>
          <w:szCs w:val="18"/>
        </w:rPr>
        <w:t>Móndrigo</w:t>
      </w:r>
      <w:proofErr w:type="spellEnd"/>
      <w:r>
        <w:rPr>
          <w:rFonts w:cstheme="minorHAnsi"/>
          <w:szCs w:val="18"/>
        </w:rPr>
        <w:t>! fue escrito en su mayor parte por Jorge Joseph, con contribuciones</w:t>
      </w:r>
      <w:bookmarkStart w:id="1" w:name="_GoBack"/>
      <w:bookmarkEnd w:id="1"/>
      <w:r>
        <w:rPr>
          <w:rFonts w:cstheme="minorHAnsi"/>
          <w:szCs w:val="18"/>
        </w:rPr>
        <w:t xml:space="preserve"> de Emilio Uranga.  </w:t>
      </w:r>
    </w:p>
    <w:sectPr w:rsidR="00636B1C" w:rsidRPr="00E825E8" w:rsidSect="00BC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92"/>
    <w:rsid w:val="00000F9C"/>
    <w:rsid w:val="000C7FF5"/>
    <w:rsid w:val="00636B1C"/>
    <w:rsid w:val="006B4BE7"/>
    <w:rsid w:val="00A738BC"/>
    <w:rsid w:val="00BC5892"/>
    <w:rsid w:val="00E8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8F3B"/>
  <w15:chartTrackingRefBased/>
  <w15:docId w15:val="{79F25638-42B4-4DDD-AEA4-CDA5B5E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BC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Tonatiuh Hernández García</dc:creator>
  <cp:keywords/>
  <dc:description/>
  <cp:lastModifiedBy>Tonatiuh Hernández García</cp:lastModifiedBy>
  <cp:revision>4</cp:revision>
  <dcterms:created xsi:type="dcterms:W3CDTF">2019-02-28T19:59:00Z</dcterms:created>
  <dcterms:modified xsi:type="dcterms:W3CDTF">2019-02-28T21:18:00Z</dcterms:modified>
</cp:coreProperties>
</file>