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widowControl/>
        <w:spacing w:before="0" w:after="120" w:line="276" w:lineRule="auto"/>
        <w:jc w:val="center"/>
      </w:pPr>
      <w:r>
        <w:rPr>
          <w:rFonts w:ascii="Arial" w:hAnsi="Arial"/>
          <w:b/>
          <w:color w:val="000000"/>
          <w:sz w:val="30"/>
        </w:rPr>
        <w:t>CASH LOAN AGREEMENT</w:t>
      </w:r>
    </w:p>
    <w:p>
      <w:pPr>
        <w:pStyle w:val="SmallLegalNote"/>
        <w:keepLines/>
        <w:widowControl/>
        <w:spacing w:line="276" w:lineRule="auto" w:after="120" w:before="0"/>
        <w:jc w:val="center"/>
      </w:pPr>
      <w:r>
        <w:rPr>
          <w:rFonts w:ascii="Arial" w:hAnsi="Arial"/>
          <w:b/>
          <w:i w:val="0"/>
          <w:color w:val="000000"/>
          <w:sz w:val="18"/>
        </w:rPr>
        <w:t>SYSTEM-ALIGNED DRAFT FOR COUNSEL REVIEW</w:t>
      </w:r>
    </w:p>
    <w:p>
      <w:pPr>
        <w:pStyle w:val="SmallLegalNote"/>
        <w:keepLines/>
        <w:widowControl/>
        <w:spacing w:line="276" w:lineRule="auto" w:after="120" w:before="0"/>
        <w:jc w:val="center"/>
      </w:pPr>
      <w:r>
        <w:rPr>
          <w:rFonts w:ascii="Arial" w:hAnsi="Arial"/>
          <w:color w:val="000000"/>
          <w:sz w:val="18"/>
        </w:rPr>
        <w:t>Working revision R4: SPINA fills and validates this Agreement from the exact locked Management-approved loan. Braced entries are placeholders. Do not sign or issue while required values or reviews remain unresolved. The retained final PDF and signed copy are version-controlled; this template does not implement those controls.</w:t>
      </w:r>
    </w:p>
    <w:p>
      <w:pPr>
        <w:pStyle w:val="CompactLegal"/>
        <w:keepNext w:val="0"/>
        <w:keepLines/>
        <w:widowControl/>
        <w:spacing w:before="0" w:line="276" w:lineRule="auto" w:after="120"/>
      </w:pPr>
      <w:r>
        <w:rPr>
          <w:rFonts w:ascii="Arial" w:hAnsi="Arial"/>
          <w:b w:val="0"/>
          <w:color w:val="000000"/>
          <w:sz w:val="21"/>
        </w:rPr>
        <w:t>This Cash Loan Agreement (the “Agreement”) is entered into on {Agreement Date} by and between SPINA LENDING COMPANY, using its controlled legal identity and registered office address from SPINA settings (the “LENDER”), and {Borrower Full Name}, of legal age, Filipino, with verified address at {Borrower Verified Address} (the “BORROWER”). The LENDER and BORROWER are collectively the “PARTIES.”</w:t>
      </w:r>
    </w:p>
    <w:p>
      <w:pPr>
        <w:pStyle w:val="AgreementSection"/>
        <w:keepNext/>
        <w:keepLines/>
        <w:widowControl/>
        <w:spacing w:line="276" w:lineRule="auto" w:after="120" w:before="160"/>
      </w:pPr>
      <w:r>
        <w:rPr>
          <w:rFonts w:ascii="Arial" w:hAnsi="Arial"/>
          <w:b/>
          <w:color w:val="000000"/>
          <w:sz w:val="22"/>
        </w:rPr>
        <w:t>1. LOAN AMOUNT AND TRANSACTION REFERENCE</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4860"/>
        <w:gridCol w:w="4860"/>
      </w:tblGrid>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Loan Account / Transaction Ref.</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{System-generated loan/account reference}</w:t>
            </w:r>
          </w:p>
        </w:tc>
      </w:tr>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Approved Loan Type</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{Regular Cash Loan / 7x7 Cash Loan}</w:t>
            </w:r>
          </w:p>
        </w:tc>
      </w:tr>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Principal / Gross Loan Amount</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PHP {Approved Principal/Gross Loan Amount}</w:t>
            </w:r>
          </w:p>
        </w:tc>
      </w:tr>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Approved Purpose</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{Approved lawful loan purpose}</w:t>
            </w:r>
          </w:p>
        </w:tc>
      </w:tr>
    </w:tbl>
    <w:p>
      <w:pPr>
        <w:pStyle w:val="CompactLegal"/>
        <w:keepNext w:val="0"/>
        <w:keepLines/>
        <w:widowControl/>
        <w:spacing w:before="0" w:line="276" w:lineRule="auto" w:after="120"/>
      </w:pPr>
      <w:r>
        <w:rPr>
          <w:rFonts w:ascii="Arial" w:hAnsi="Arial"/>
          <w:b w:val="0"/>
          <w:color w:val="000000"/>
          <w:sz w:val="21"/>
        </w:rPr>
        <w:t>The LENDER agrees to grant the BORROWER the approved cash loan identified above, subject to the conditions of this Agreement and the related locked loan-document packet. Signing this Agreement alone is not proof that the Loan proceeds have already been released or received.</w:t>
      </w:r>
    </w:p>
    <w:p>
      <w:pPr>
        <w:pStyle w:val="AgreementSection"/>
        <w:keepNext/>
        <w:keepLines/>
        <w:widowControl/>
        <w:spacing w:line="276" w:lineRule="auto" w:after="120" w:before="160"/>
      </w:pPr>
      <w:r>
        <w:rPr>
          <w:rFonts w:ascii="Arial" w:hAnsi="Arial"/>
          <w:b/>
          <w:color w:val="000000"/>
          <w:sz w:val="22"/>
        </w:rPr>
        <w:t>2. LOCKED CONTRACTUAL TERMS</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4860"/>
        <w:gridCol w:w="4860"/>
      </w:tblGrid>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Interest / Daily Interest Basis</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{Exact Management-approved interest rate or daily interest amount and method}</w:t>
            </w:r>
          </w:p>
        </w:tc>
      </w:tr>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Payment Frequency</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{Exact approved payment frequency}</w:t>
            </w:r>
          </w:p>
        </w:tc>
      </w:tr>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Contractual Term</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{Exact approved signed term}</w:t>
            </w:r>
          </w:p>
        </w:tc>
      </w:tr>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Installment Amount</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PHP {Exact agreed installment amount}</w:t>
            </w:r>
          </w:p>
        </w:tc>
      </w:tr>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Number of Installments</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{Exact installment count}</w:t>
            </w:r>
          </w:p>
        </w:tc>
      </w:tr>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First Payment Date</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{Exact first payment date}</w:t>
            </w:r>
          </w:p>
        </w:tc>
      </w:tr>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Contractual / Original Maturity</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{Exact signed maturity date}</w:t>
            </w:r>
          </w:p>
        </w:tc>
      </w:tr>
    </w:tbl>
    <w:p>
      <w:pPr>
        <w:pStyle w:val="CompactLegal"/>
        <w:keepNext w:val="0"/>
        <w:keepLines/>
        <w:widowControl/>
        <w:spacing w:before="0" w:line="276" w:lineRule="auto" w:after="120"/>
      </w:pPr>
      <w:r>
        <w:rPr>
          <w:rFonts w:ascii="Arial" w:hAnsi="Arial"/>
          <w:b w:val="0"/>
          <w:color w:val="000000"/>
          <w:sz w:val="21"/>
        </w:rPr>
        <w:t>The above values are generated from the exact Management-approved loan and are not independently typed or recalculated by Staff. The Loan Disclosure Statement and complete Schedule of Payments shall use the same authoritative calculation and locked loan version.</w:t>
      </w:r>
    </w:p>
    <w:p>
      <w:pPr>
        <w:pStyle w:val="AgreementSection"/>
        <w:keepNext/>
        <w:keepLines/>
        <w:widowControl/>
        <w:spacing w:line="276" w:lineRule="auto" w:after="120" w:before="160"/>
      </w:pPr>
      <w:r>
        <w:rPr>
          <w:rFonts w:ascii="Arial" w:hAnsi="Arial"/>
          <w:b/>
          <w:color w:val="000000"/>
          <w:sz w:val="22"/>
        </w:rPr>
        <w:t>3. GROSS LOAN AMOUNT, DEDUCTIONS AND NET PROCEEDS</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4860"/>
        <w:gridCol w:w="4860"/>
      </w:tblGrid>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Principal / Gross Loan Amount</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PHP {Approved Principal/Gross Loan Amount}</w:t>
            </w:r>
          </w:p>
        </w:tc>
      </w:tr>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Documentary Stamp Tax (DST) - upfront</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PHP {DST Upfront Amount}</w:t>
            </w:r>
          </w:p>
        </w:tc>
      </w:tr>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Renewal Offset (not a tax)</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PHP {Renewal Offset Amount}</w:t>
            </w:r>
          </w:p>
        </w:tc>
      </w:tr>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Other Itemized Lawful Upfront Deductions (excluding DST and renewal offset)</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{Other Itemized Upfront Deductions / None}</w:t>
            </w:r>
          </w:p>
        </w:tc>
      </w:tr>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Total Approved Deductions</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PHP {Authoritative total deductions}</w:t>
            </w:r>
          </w:p>
        </w:tc>
      </w:tr>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Amount Financed</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PHP {Authoritative amount financed}</w:t>
            </w:r>
          </w:p>
        </w:tc>
      </w:tr>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Net Loan Proceeds Authorized</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PHP {Authoritative net proceeds}</w:t>
            </w:r>
          </w:p>
        </w:tc>
      </w:tr>
    </w:tbl>
    <w:p>
      <w:pPr>
        <w:pStyle w:val="CompactLegal"/>
      </w:pPr>
      <w:r>
        <w:rPr>
          <w:rFonts w:ascii="Arial" w:hAnsi="Arial"/>
          <w:sz w:val="21"/>
        </w:rPr>
        <w:t>Applicable DST borne by the BORROWER is separately itemized upfront. A renewal offset is the separately approved settlement amount applied to the prior loan, not a tax or an additional fee. Other deductions must identify their own approved items and exclude amounts already listed.</w:t>
      </w:r>
    </w:p>
    <w:p>
      <w:pPr>
        <w:pStyle w:val="CompactLegal"/>
        <w:keepNext w:val="0"/>
        <w:keepLines/>
        <w:widowControl/>
        <w:spacing w:before="0" w:line="276" w:lineRule="auto" w:after="120"/>
      </w:pPr>
      <w:r>
        <w:rPr>
          <w:rFonts w:ascii="Arial" w:hAnsi="Arial"/>
          <w:b w:val="0"/>
          <w:color w:val="000000"/>
          <w:sz w:val="21"/>
        </w:rPr>
        <w:t>Only lawful deductions expressly approved and disclosed in the Loan Disclosure Statement may be deducted. The exact cash actually handed to the BORROWER is evidenced separately in the Loan Release and Cash Receipt Confirmation. A mismatch between the authorized net proceeds and the actual handoff blocks release; partial cash release is not permitted in the approved V1 flow.</w:t>
      </w:r>
    </w:p>
    <w:p>
      <w:pPr>
        <w:pStyle w:val="AgreementSection"/>
        <w:keepNext/>
        <w:keepLines/>
        <w:widowControl/>
        <w:spacing w:line="276" w:lineRule="auto" w:after="120" w:before="160"/>
      </w:pPr>
      <w:r>
        <w:rPr>
          <w:rFonts w:ascii="Arial" w:hAnsi="Arial"/>
          <w:b/>
          <w:color w:val="000000"/>
          <w:sz w:val="22"/>
        </w:rPr>
        <w:t>4. INTEREST, FINANCE CHARGES AND OTHER CHARGES</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4860"/>
        <w:gridCol w:w="4860"/>
      </w:tblGrid>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Principal / Gross Loan Amount</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PHP {Approved Principal/Gross Loan Amount}</w:t>
            </w:r>
          </w:p>
        </w:tc>
      </w:tr>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Total Contractual Interest (excluding GRT recovery)</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PHP {Total Contractual Interest}</w:t>
            </w:r>
          </w:p>
        </w:tc>
      </w:tr>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Passed-on Gross Receipts Tax (GRT) - within agreed repayments</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PHP {GRT Recovery in Repayments}</w:t>
            </w:r>
          </w:p>
        </w:tc>
      </w:tr>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Other Scheduled Charges (excluding interest and GRT recovery)</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PHP {Other Scheduled Charges}</w:t>
            </w:r>
          </w:p>
        </w:tc>
      </w:tr>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TOTAL PAYABLE UNDER ORIGINAL SCHEDULE</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PHP {Authoritative Scheduled Total}</w:t>
            </w:r>
          </w:p>
        </w:tc>
      </w:tr>
    </w:tbl>
    <w:p>
      <w:pPr>
        <w:pStyle w:val="CompactLegal"/>
      </w:pPr>
      <w:r>
        <w:rPr>
          <w:rFonts w:ascii="Arial" w:hAnsi="Arial"/>
          <w:sz w:val="21"/>
        </w:rPr>
        <w:t>Passed-on GRT is included within the agreed repayments, not deducted upfront and not added on top of the agreed installment. Repeated disclosure of the same DST or GRT amount does not create another charge.</w:t>
      </w:r>
    </w:p>
    <w:p>
      <w:pPr>
        <w:pStyle w:val="CompactLegal"/>
      </w:pPr>
      <w:r>
        <w:rPr>
          <w:rFonts w:ascii="Arial" w:hAnsi="Arial"/>
          <w:sz w:val="21"/>
        </w:rPr>
        <w:t>The scheduled total includes each repayment component once. Upfront deductions are not added again to the scheduled total. The same approved component amounts must reconcile with the Disclosure and complete Schedule of Payments; a mismatch blocks preparation rather than increasing the agreed installment or extending its term.</w:t>
      </w:r>
    </w:p>
    <w:p>
      <w:pPr>
        <w:pStyle w:val="CompactLegal"/>
        <w:keepNext w:val="0"/>
        <w:keepLines/>
        <w:widowControl/>
        <w:spacing w:before="0" w:line="276" w:lineRule="auto" w:after="120"/>
      </w:pPr>
      <w:r>
        <w:rPr>
          <w:rFonts w:ascii="Arial" w:hAnsi="Arial"/>
          <w:b w:val="0"/>
          <w:color w:val="000000"/>
          <w:sz w:val="21"/>
        </w:rPr>
        <w:t>The Loan shall bear interest in accordance with the interest rate or daily interest amount and method of computation stated above and in the Loan Disclosure Statement, as applicable.</w:t>
      </w:r>
    </w:p>
    <w:p>
      <w:pPr>
        <w:pStyle w:val="CompactLegal"/>
        <w:keepNext w:val="0"/>
        <w:keepLines/>
        <w:widowControl/>
        <w:spacing w:before="0" w:line="276" w:lineRule="auto" w:after="120"/>
      </w:pPr>
      <w:r>
        <w:rPr>
          <w:rFonts w:ascii="Arial" w:hAnsi="Arial"/>
          <w:b w:val="0"/>
          <w:color w:val="000000"/>
          <w:sz w:val="21"/>
        </w:rPr>
        <w:t>For a 7x7 Cash Loan, 60 calendar days is a default target only. The agreed daily payment determines the complete contractual schedule before approval and signing. Contractual Maturity is the last installment date in that exact signed schedule, not automatically Day 60. Contractual interest stops at Contractual Maturity, or earlier payoff as applicable; any permitted post-maturity penalty is separate from contractual interest.</w:t>
      </w:r>
    </w:p>
    <w:p>
      <w:pPr>
        <w:pStyle w:val="CompactLegal"/>
        <w:keepNext w:val="0"/>
        <w:keepLines/>
        <w:widowControl/>
        <w:spacing w:before="0" w:line="276" w:lineRule="auto" w:after="120"/>
      </w:pPr>
      <w:r>
        <w:rPr>
          <w:rFonts w:ascii="Arial" w:hAnsi="Arial"/>
          <w:b w:val="0"/>
          <w:color w:val="000000"/>
          <w:sz w:val="21"/>
        </w:rPr>
        <w:t>No interest, fee, penalty, collection cost, attorney’s fee or other charge shall be imposed unless it is expressly stated in the applicable loan documents, properly disclosed, case-appropriate, and permitted by law. The selected charge rule must match the same locked Loan Disclosure Statement. Where that statement specifies None / zero, no such charge applies.</w:t>
      </w:r>
    </w:p>
    <w:p>
      <w:pPr>
        <w:pStyle w:val="CompactLegal"/>
        <w:keepLines/>
        <w:widowControl/>
        <w:spacing w:line="276" w:lineRule="auto" w:after="120" w:before="0"/>
      </w:pPr>
      <w:r>
        <w:rPr>
          <w:rFonts w:ascii="Arial" w:hAnsi="Arial"/>
          <w:color w:val="000000"/>
          <w:sz w:val="21"/>
        </w:rPr>
        <w:t>Late / Default Charge: {Exact Selected Charge Rule from the Locked Loan Disclosure Statement}</w:t>
      </w:r>
    </w:p>
    <w:p>
      <w:pPr>
        <w:pStyle w:val="CompactLegal"/>
        <w:keepLines/>
        <w:widowControl/>
        <w:spacing w:line="276" w:lineRule="auto" w:after="120" w:before="0"/>
      </w:pPr>
      <w:r>
        <w:rPr>
          <w:rFonts w:ascii="Arial" w:hAnsi="Arial"/>
          <w:color w:val="000000"/>
          <w:sz w:val="21"/>
        </w:rPr>
        <w:t>A 7x7 post-maturity penalty does not start merely because Day 60 passes or an installment is past due before the actual signed Contractual Maturity. It is simple and non-compounding; no interest is charged on the penalty.</w:t>
      </w:r>
    </w:p>
    <w:p>
      <w:pPr>
        <w:pStyle w:val="RevisionNote"/>
        <w:keepLines/>
        <w:widowControl/>
        <w:spacing w:line="276" w:lineRule="auto" w:after="120" w:before="0"/>
      </w:pPr>
      <w:r>
        <w:rPr>
          <w:rFonts w:ascii="Arial" w:hAnsi="Arial"/>
          <w:color w:val="000000"/>
          <w:sz w:val="18"/>
        </w:rPr>
        <w:t>INTERNAL 7x7 BRANCH CONTROL - The recorded product direction is 3% per month, simple/non-compounding, not automatic permission to charge. Select only for an eligible loan whose signed rule, overdue base, partial-month convention, legal/cost caps and server enforcement are complete. Unresolved checks block penalty use. Valid no-charge loans print None / PHP 0.00; historical None/zero contracts are unchanged. Remove this note before issuance.</w:t>
      </w:r>
    </w:p>
    <w:p>
      <w:pPr>
        <w:pStyle w:val="AgreementSection"/>
        <w:keepNext/>
        <w:keepLines/>
        <w:widowControl/>
        <w:spacing w:line="276" w:lineRule="auto" w:after="120" w:before="160"/>
      </w:pPr>
      <w:r>
        <w:rPr>
          <w:rFonts w:ascii="Arial" w:hAnsi="Arial"/>
          <w:b/>
          <w:color w:val="000000"/>
          <w:sz w:val="22"/>
        </w:rPr>
        <w:t>5. COMPLETE CONTRACTUAL SCHEDULE OF PAYMENTS</w:t>
      </w:r>
    </w:p>
    <w:p>
      <w:pPr>
        <w:pStyle w:val="CompactLegal"/>
        <w:keepNext w:val="0"/>
        <w:keepLines/>
        <w:widowControl/>
        <w:spacing w:before="0" w:line="276" w:lineRule="auto" w:after="120"/>
      </w:pPr>
      <w:r>
        <w:rPr>
          <w:rFonts w:ascii="Arial" w:hAnsi="Arial"/>
          <w:b w:val="0"/>
          <w:color w:val="000000"/>
          <w:sz w:val="21"/>
        </w:rPr>
        <w:t>Before actual cash release, SPINA shall generate the complete contractual Schedule of Payments from the exact locked approved terms. The BORROWER shall be given the opportunity to review and sign/acknowledge the complete schedule together with the final loan packet.</w:t>
      </w:r>
    </w:p>
    <w:p>
      <w:pPr>
        <w:pStyle w:val="CompactLegal"/>
        <w:keepNext w:val="0"/>
        <w:keepLines/>
        <w:widowControl/>
        <w:spacing w:before="0" w:line="276" w:lineRule="auto" w:after="120"/>
      </w:pPr>
      <w:r>
        <w:rPr>
          <w:rFonts w:ascii="Arial" w:hAnsi="Arial"/>
          <w:b w:val="0"/>
          <w:color w:val="000000"/>
          <w:sz w:val="21"/>
        </w:rPr>
        <w:t>If the intended release date changes before cash handoff and the dates in the contractual schedule would become inaccurate, SPINA shall regenerate the affected schedule from the same approved material terms and obtain the required borrower acknowledgment/signature before release.</w:t>
      </w:r>
    </w:p>
    <w:p>
      <w:pPr>
        <w:pStyle w:val="CompactLegal"/>
        <w:keepNext w:val="0"/>
        <w:keepLines/>
        <w:widowControl/>
        <w:spacing w:before="0" w:line="276" w:lineRule="auto" w:after="120"/>
      </w:pPr>
      <w:r>
        <w:rPr>
          <w:rFonts w:ascii="Arial" w:hAnsi="Arial"/>
          <w:b w:val="0"/>
          <w:color w:val="000000"/>
          <w:sz w:val="21"/>
        </w:rPr>
        <w:t>Annex A and all system-generated continuation pages form part of this Agreement and share the same document/packet version.</w:t>
      </w:r>
    </w:p>
    <w:p>
      <w:pPr>
        <w:pStyle w:val="AgreementSection"/>
        <w:keepNext/>
        <w:keepLines/>
        <w:widowControl/>
        <w:spacing w:line="276" w:lineRule="auto" w:after="120" w:before="160"/>
      </w:pPr>
      <w:r>
        <w:rPr>
          <w:rFonts w:ascii="Arial" w:hAnsi="Arial"/>
          <w:b/>
          <w:color w:val="000000"/>
          <w:sz w:val="22"/>
        </w:rPr>
        <w:t>6. CURRENT OPERATIONAL SCHEDULE</w:t>
      </w:r>
    </w:p>
    <w:p>
      <w:pPr>
        <w:pStyle w:val="CompactLegal"/>
        <w:keepNext w:val="0"/>
        <w:keepLines/>
        <w:widowControl/>
        <w:spacing w:before="0" w:line="276" w:lineRule="auto" w:after="120"/>
      </w:pPr>
      <w:r>
        <w:rPr>
          <w:rFonts w:ascii="Arial" w:hAnsi="Arial"/>
          <w:b w:val="0"/>
          <w:color w:val="000000"/>
          <w:sz w:val="21"/>
        </w:rPr>
        <w:t>After release and posting of transactions, SPINA may maintain a current operational schedule reflecting actual payment performance. The operational schedule may change succeeding payment dates, remaining scheduled collection dates/installments, outstanding balance, and the Current Operational Finish, as permitted by the signed documents and applicable law.</w:t>
      </w:r>
    </w:p>
    <w:p>
      <w:pPr>
        <w:pStyle w:val="CompactLegal"/>
        <w:keepNext w:val="0"/>
        <w:keepLines/>
        <w:widowControl/>
        <w:spacing w:before="0" w:line="276" w:lineRule="auto" w:after="120"/>
      </w:pPr>
      <w:r>
        <w:rPr>
          <w:rFonts w:ascii="Arial" w:hAnsi="Arial"/>
          <w:b w:val="0"/>
          <w:color w:val="000000"/>
          <w:sz w:val="21"/>
        </w:rPr>
        <w:t>An operational schedule update does not silently amend the signed principal, contractual interest method or basis, agreed installment amount, payment frequency, disclosed charges, Contractual/Original Maturity, or any other material contractual term. The signed contractual schedule remains the historical contractual reference.</w:t>
      </w:r>
    </w:p>
    <w:p>
      <w:pPr>
        <w:pStyle w:val="AgreementSection"/>
        <w:keepNext/>
        <w:keepLines/>
        <w:widowControl/>
        <w:spacing w:line="276" w:lineRule="auto" w:after="120" w:before="160"/>
      </w:pPr>
      <w:r>
        <w:rPr>
          <w:rFonts w:ascii="Arial" w:hAnsi="Arial"/>
          <w:b/>
          <w:color w:val="000000"/>
          <w:sz w:val="22"/>
        </w:rPr>
        <w:t>7. APPLICATION AND POSTING OF PAYMENTS</w:t>
      </w:r>
    </w:p>
    <w:p>
      <w:pPr>
        <w:pStyle w:val="CompactLegal"/>
        <w:keepNext w:val="0"/>
        <w:keepLines/>
        <w:widowControl/>
        <w:spacing w:before="0" w:line="276" w:lineRule="auto" w:after="120"/>
      </w:pPr>
      <w:r>
        <w:rPr>
          <w:rFonts w:ascii="Arial" w:hAnsi="Arial"/>
          <w:b w:val="0"/>
          <w:color w:val="000000"/>
          <w:sz w:val="21"/>
        </w:rPr>
        <w:t>Payment allocation is system-controlled. Collector or Staff users shall not manually choose or override the contractual allocation path.</w:t>
      </w:r>
    </w:p>
    <w:p>
      <w:pPr>
        <w:pStyle w:val="CompactLegal"/>
        <w:keepLines/>
        <w:widowControl/>
        <w:spacing w:line="276" w:lineRule="auto" w:after="120" w:before="0"/>
        <w:ind w:left="317" w:hanging="259"/>
      </w:pPr>
      <w:r>
        <w:rPr>
          <w:rFonts w:ascii="Arial" w:hAnsi="Arial"/>
          <w:b/>
          <w:color w:val="000000"/>
          <w:sz w:val="21"/>
        </w:rPr>
        <w:t xml:space="preserve">a. </w:t>
      </w:r>
      <w:r>
        <w:rPr>
          <w:rFonts w:ascii="Arial" w:hAnsi="Arial"/>
          <w:color w:val="000000"/>
          <w:sz w:val="21"/>
        </w:rPr>
        <w:t>For a Regular Cash Loan: oldest Past Due scheduled obligations first; then obligations Due Today; then any true excess only through the authorized Advance or Principal Reduction path.</w:t>
      </w:r>
    </w:p>
    <w:p>
      <w:pPr>
        <w:pStyle w:val="CompactLegal"/>
        <w:keepLines/>
        <w:widowControl/>
        <w:spacing w:line="276" w:lineRule="auto" w:after="120" w:before="0"/>
        <w:ind w:left="317" w:hanging="259"/>
      </w:pPr>
      <w:r>
        <w:rPr>
          <w:rFonts w:ascii="Arial" w:hAnsi="Arial"/>
          <w:b/>
          <w:color w:val="000000"/>
          <w:sz w:val="21"/>
        </w:rPr>
        <w:t xml:space="preserve">b. </w:t>
      </w:r>
      <w:r>
        <w:rPr>
          <w:rFonts w:ascii="Arial" w:hAnsi="Arial"/>
          <w:color w:val="000000"/>
          <w:sz w:val="21"/>
        </w:rPr>
        <w:t>For a 7x7 Cash Loan: oldest Past Due Interest; Today’s Interest; oldest Past Due Principal; Today’s Principal; then Advance, subject to the locked Disclosure and Schedule.</w:t>
      </w:r>
    </w:p>
    <w:p>
      <w:pPr>
        <w:pStyle w:val="CompactLegal"/>
        <w:keepLines/>
        <w:widowControl/>
        <w:spacing w:line="276" w:lineRule="auto" w:after="120" w:before="0"/>
        <w:ind w:left="317" w:hanging="259"/>
      </w:pPr>
      <w:r>
        <w:rPr>
          <w:rFonts w:ascii="Arial" w:hAnsi="Arial"/>
          <w:b/>
          <w:color w:val="000000"/>
          <w:sz w:val="21"/>
        </w:rPr>
        <w:t xml:space="preserve">c. </w:t>
      </w:r>
      <w:r>
        <w:rPr>
          <w:rFonts w:ascii="Arial" w:hAnsi="Arial"/>
          <w:color w:val="000000"/>
          <w:sz w:val="21"/>
        </w:rPr>
        <w:t>For a 7x7 Cash Loan, Extra Principal is separate from Advance and may be applied only after all current and past-due interest is fully satisfied. When allowed, Extra Principal keeps the agreed daily/installment amount and may shorten the remaining tail of the schedule.</w:t>
      </w:r>
    </w:p>
    <w:p>
      <w:pPr>
        <w:pStyle w:val="CompactLegal"/>
        <w:keepLines/>
        <w:widowControl/>
        <w:spacing w:line="276" w:lineRule="auto" w:after="120" w:before="0"/>
        <w:ind w:left="317" w:hanging="259"/>
      </w:pPr>
      <w:r>
        <w:rPr>
          <w:rFonts w:ascii="Arial" w:hAnsi="Arial"/>
          <w:b/>
          <w:color w:val="000000"/>
          <w:sz w:val="21"/>
        </w:rPr>
        <w:t xml:space="preserve">d. </w:t>
      </w:r>
      <w:r>
        <w:rPr>
          <w:rFonts w:ascii="Arial" w:hAnsi="Arial"/>
          <w:color w:val="000000"/>
          <w:sz w:val="21"/>
        </w:rPr>
        <w:t>Any true unapplied excess that cannot lawfully be applied to a surviving obligation shall be handled through the disclosed Refund Due process and shall not be silently netted.</w:t>
      </w:r>
    </w:p>
    <w:p>
      <w:pPr>
        <w:pStyle w:val="CompactLegal"/>
        <w:keepNext w:val="0"/>
        <w:keepLines/>
        <w:widowControl/>
        <w:spacing w:before="0" w:line="276" w:lineRule="auto" w:after="120"/>
      </w:pPr>
      <w:r>
        <w:rPr>
          <w:rFonts w:ascii="Arial" w:hAnsi="Arial"/>
          <w:b w:val="0"/>
          <w:color w:val="000000"/>
          <w:sz w:val="21"/>
        </w:rPr>
        <w:t>Physical cash collected by the LENDER or an authorized Collector is recognized at the actual physical receipt event and is then posted to the authoritative account record. A third-party payment screenshot or unverified transfer is not official proof of receipt until settlement or receipt is verified through the applicable authorized channel.</w:t>
      </w:r>
    </w:p>
    <w:p>
      <w:pPr>
        <w:pStyle w:val="AgreementSection"/>
        <w:keepNext/>
        <w:keepLines/>
        <w:widowControl/>
        <w:spacing w:line="276" w:lineRule="auto" w:after="120" w:before="160"/>
      </w:pPr>
      <w:r>
        <w:rPr>
          <w:rFonts w:ascii="Arial" w:hAnsi="Arial"/>
          <w:b/>
          <w:color w:val="000000"/>
          <w:sz w:val="22"/>
        </w:rPr>
        <w:t>8. BORROWER ACCOUNT AND VIEW-ONLY ACCESS</w:t>
      </w:r>
    </w:p>
    <w:p>
      <w:pPr>
        <w:pStyle w:val="CompactLegal"/>
        <w:keepNext w:val="0"/>
        <w:keepLines/>
        <w:widowControl/>
        <w:spacing w:before="0" w:line="276" w:lineRule="auto" w:after="120"/>
      </w:pPr>
      <w:r>
        <w:rPr>
          <w:rFonts w:ascii="Arial" w:hAnsi="Arial"/>
          <w:b w:val="0"/>
          <w:color w:val="000000"/>
          <w:sz w:val="21"/>
        </w:rPr>
        <w:t>Where SPINA provides a borrower portal, website or mobile application, it serves as a view/verification tool for the BORROWER’s account records. It may display the original loan terms, payment history, current amount due, outstanding balance, current operational schedule, lawful charges, and finalized documents.</w:t>
      </w:r>
    </w:p>
    <w:p>
      <w:pPr>
        <w:pStyle w:val="CompactLegal"/>
        <w:keepNext w:val="0"/>
        <w:keepLines/>
        <w:widowControl/>
        <w:spacing w:before="0" w:line="276" w:lineRule="auto" w:after="120"/>
      </w:pPr>
      <w:r>
        <w:rPr>
          <w:rFonts w:ascii="Arial" w:hAnsi="Arial"/>
          <w:b w:val="0"/>
          <w:color w:val="000000"/>
          <w:sz w:val="21"/>
        </w:rPr>
        <w:t>Online access does not replace any notice, disclosure or delivery method that applicable law or the final loan documents require through another channel.</w:t>
      </w:r>
    </w:p>
    <w:p>
      <w:pPr>
        <w:pStyle w:val="AgreementSection"/>
        <w:keepNext/>
        <w:keepLines/>
        <w:widowControl/>
        <w:spacing w:line="276" w:lineRule="auto" w:after="120" w:before="160"/>
      </w:pPr>
      <w:r>
        <w:rPr>
          <w:rFonts w:ascii="Arial" w:hAnsi="Arial"/>
          <w:b/>
          <w:color w:val="000000"/>
          <w:sz w:val="22"/>
        </w:rPr>
        <w:t>9. ACCOUNT REVIEW AND ERROR REPORTING</w:t>
      </w:r>
    </w:p>
    <w:p>
      <w:pPr>
        <w:pStyle w:val="CompactLegal"/>
        <w:keepNext w:val="0"/>
        <w:keepLines/>
        <w:widowControl/>
        <w:spacing w:before="0" w:line="276" w:lineRule="auto" w:after="120"/>
      </w:pPr>
      <w:r>
        <w:rPr>
          <w:rFonts w:ascii="Arial" w:hAnsi="Arial"/>
          <w:b w:val="0"/>
          <w:color w:val="000000"/>
          <w:sz w:val="21"/>
        </w:rPr>
        <w:t>The BORROWER should review account information made available by SPINA and promptly report any suspected posting, balance, payment or schedule error. SPINA shall review available supporting information and correct a verified error through the controlled record-correction process.</w:t>
      </w:r>
    </w:p>
    <w:p>
      <w:pPr>
        <w:pStyle w:val="AgreementSection"/>
        <w:keepNext/>
        <w:keepLines/>
        <w:widowControl/>
        <w:spacing w:line="276" w:lineRule="auto" w:after="120" w:before="160"/>
      </w:pPr>
      <w:r>
        <w:rPr>
          <w:rFonts w:ascii="Arial" w:hAnsi="Arial"/>
          <w:b/>
          <w:color w:val="000000"/>
          <w:sz w:val="22"/>
        </w:rPr>
        <w:t>10. LATE PAYMENT, DELINQUENCY AND DEFAULT</w:t>
      </w:r>
    </w:p>
    <w:p>
      <w:pPr>
        <w:pStyle w:val="CompactLegal"/>
        <w:keepNext w:val="0"/>
        <w:keepLines/>
        <w:widowControl/>
        <w:spacing w:before="0" w:line="276" w:lineRule="auto" w:after="120"/>
      </w:pPr>
      <w:r>
        <w:rPr>
          <w:rFonts w:ascii="Arial" w:hAnsi="Arial"/>
          <w:b w:val="0"/>
          <w:color w:val="000000"/>
          <w:sz w:val="21"/>
        </w:rPr>
        <w:t>A missed or late payment may place the account in a past-due or delinquent state. It does not automatically create a new legal acceleration event unless the applicable counsel-approved contractual/legal criteria are met. Any late/default charge must be the exact lawful amount or rate stated in the Loan Disclosure Statement; if the Disclosure states None / PHP 0.00, no such charge applies.</w:t>
      </w:r>
    </w:p>
    <w:p>
      <w:pPr>
        <w:pStyle w:val="CompactLegal"/>
        <w:keepNext w:val="0"/>
        <w:keepLines/>
        <w:widowControl/>
        <w:spacing w:before="0" w:line="276" w:lineRule="auto" w:after="120"/>
      </w:pPr>
      <w:r>
        <w:rPr>
          <w:rFonts w:ascii="Arial" w:hAnsi="Arial"/>
          <w:b w:val="0"/>
          <w:color w:val="000000"/>
          <w:sz w:val="21"/>
        </w:rPr>
        <w:t>If a legally recognized event of default occurs, the LENDER may exercise only those remedies available under the final loan documents and applicable law, including lawful demand and collection proceedings.</w:t>
      </w:r>
    </w:p>
    <w:p>
      <w:pPr>
        <w:pStyle w:val="AgreementSection"/>
        <w:keepNext/>
        <w:keepLines/>
        <w:widowControl/>
        <w:spacing w:line="276" w:lineRule="auto" w:after="120" w:before="160"/>
      </w:pPr>
      <w:r>
        <w:rPr>
          <w:rFonts w:ascii="Arial" w:hAnsi="Arial"/>
          <w:b/>
          <w:color w:val="000000"/>
          <w:sz w:val="22"/>
        </w:rPr>
        <w:t>11. ACCELERATION</w:t>
      </w:r>
    </w:p>
    <w:p>
      <w:pPr>
        <w:pStyle w:val="CompactLegal"/>
        <w:keepNext w:val="0"/>
        <w:keepLines/>
        <w:widowControl/>
        <w:spacing w:before="0" w:line="276" w:lineRule="auto" w:after="120"/>
      </w:pPr>
      <w:r>
        <w:rPr>
          <w:rFonts w:ascii="Arial" w:hAnsi="Arial"/>
          <w:b w:val="0"/>
          <w:color w:val="000000"/>
          <w:sz w:val="21"/>
        </w:rPr>
        <w:t>Where acceleration is legally and contractually permitted, the LENDER may declare the amount legally collectible immediately due, subject to any required notice or other applicable condition. Acceleration does not authorize collection of future unearned interest, undisclosed charges, or amounts not otherwise legally due.</w:t>
      </w:r>
    </w:p>
    <w:p>
      <w:pPr>
        <w:pStyle w:val="AgreementSection"/>
        <w:keepNext/>
        <w:keepLines/>
        <w:widowControl/>
        <w:spacing w:line="276" w:lineRule="auto" w:after="120" w:before="160"/>
      </w:pPr>
      <w:r>
        <w:rPr>
          <w:rFonts w:ascii="Arial" w:hAnsi="Arial"/>
          <w:b/>
          <w:color w:val="000000"/>
          <w:sz w:val="22"/>
        </w:rPr>
        <w:t>12. COLLECTION COSTS AND ATTORNEY’S FEES</w:t>
      </w:r>
    </w:p>
    <w:p>
      <w:pPr>
        <w:pStyle w:val="CompactLegal"/>
        <w:keepNext w:val="0"/>
        <w:keepLines/>
        <w:widowControl/>
        <w:spacing w:before="0" w:line="276" w:lineRule="auto" w:after="120"/>
      </w:pPr>
      <w:r>
        <w:rPr>
          <w:rFonts w:ascii="Arial" w:hAnsi="Arial"/>
          <w:b w:val="0"/>
          <w:color w:val="000000"/>
          <w:sz w:val="21"/>
        </w:rPr>
        <w:t>V1 does not impose an automatic flat collection-cost or attorney’s-fee amount. Any such amount, if ever sought, must be actual, documented, lawful, case-specific, properly provided for in the applicable loan documents, and subject to Management/legal review. Collection activity shall comply with applicable Philippine law and fair collection standards.</w:t>
      </w:r>
    </w:p>
    <w:p>
      <w:pPr>
        <w:pStyle w:val="AgreementSection"/>
        <w:keepNext/>
        <w:keepLines/>
        <w:widowControl/>
        <w:spacing w:line="276" w:lineRule="auto" w:after="120" w:before="160"/>
      </w:pPr>
      <w:r>
        <w:rPr>
          <w:rFonts w:ascii="Arial" w:hAnsi="Arial"/>
          <w:b/>
          <w:color w:val="000000"/>
          <w:sz w:val="22"/>
        </w:rPr>
        <w:t>13. VOLUNTARY PREPAYMENT AND PAYOFF</w:t>
      </w:r>
    </w:p>
    <w:p>
      <w:pPr>
        <w:pStyle w:val="CompactLegal"/>
        <w:keepNext w:val="0"/>
        <w:keepLines/>
        <w:widowControl/>
        <w:spacing w:before="0" w:line="276" w:lineRule="auto" w:after="120"/>
      </w:pPr>
      <w:r>
        <w:rPr>
          <w:rFonts w:ascii="Arial" w:hAnsi="Arial"/>
          <w:b w:val="0"/>
          <w:color w:val="000000"/>
          <w:sz w:val="21"/>
        </w:rPr>
        <w:t>The BORROWER may voluntarily prepay the Loan in accordance with the product rules and applicable law. Advance Payment, Extra Principal/Principal Reduction, and Full Payoff are distinct transaction types and shall not be silently treated as the same event.</w:t>
      </w:r>
    </w:p>
    <w:p>
      <w:pPr>
        <w:pStyle w:val="CompactLegal"/>
        <w:keepNext w:val="0"/>
        <w:keepLines/>
        <w:widowControl/>
        <w:spacing w:before="0" w:line="276" w:lineRule="auto" w:after="120"/>
      </w:pPr>
      <w:r>
        <w:rPr>
          <w:rFonts w:ascii="Arial" w:hAnsi="Arial"/>
          <w:b w:val="0"/>
          <w:color w:val="000000"/>
          <w:sz w:val="21"/>
        </w:rPr>
        <w:t>For full payoff, the system-calculated amount consists of remaining principal, earned and unpaid interest, and any other exact lawful amount then due. For 7x7, contractual interest included in the payoff cannot extend beyond the signed Contractual Maturity or earlier payoff, as applicable. Future unearned interest is excluded. The prepayment charge must match the exact locked Disclosure; where it states None / zero, no prepayment charge applies.</w:t>
      </w:r>
    </w:p>
    <w:p>
      <w:pPr>
        <w:pStyle w:val="AgreementSection"/>
        <w:keepNext/>
        <w:keepLines/>
        <w:widowControl/>
        <w:spacing w:line="276" w:lineRule="auto" w:after="120" w:before="160"/>
      </w:pPr>
      <w:r>
        <w:rPr>
          <w:rFonts w:ascii="Arial" w:hAnsi="Arial"/>
          <w:b/>
          <w:color w:val="000000"/>
          <w:sz w:val="22"/>
        </w:rPr>
        <w:t>14. ELECTRONIC COMMUNICATIONS</w:t>
      </w:r>
    </w:p>
    <w:p>
      <w:pPr>
        <w:pStyle w:val="CompactLegal"/>
        <w:keepNext w:val="0"/>
        <w:keepLines/>
        <w:widowControl/>
        <w:spacing w:before="0" w:line="276" w:lineRule="auto" w:after="120"/>
      </w:pPr>
      <w:r>
        <w:rPr>
          <w:rFonts w:ascii="Arial" w:hAnsi="Arial"/>
          <w:b w:val="0"/>
          <w:color w:val="000000"/>
          <w:sz w:val="21"/>
        </w:rPr>
        <w:t>Subject to applicable law and the BORROWER’s registered contact details, the LENDER may send legitimate loan-related communications through authorized channels such as email, SMS, borrower portal/app notification, courier or other lawful means.</w:t>
      </w:r>
    </w:p>
    <w:p>
      <w:pPr>
        <w:pStyle w:val="CompactLegal"/>
        <w:keepNext w:val="0"/>
        <w:keepLines/>
        <w:widowControl/>
        <w:spacing w:before="0" w:line="276" w:lineRule="auto" w:after="120"/>
      </w:pPr>
      <w:r>
        <w:rPr>
          <w:rFonts w:ascii="Arial" w:hAnsi="Arial"/>
          <w:b w:val="0"/>
          <w:color w:val="000000"/>
          <w:sz w:val="21"/>
        </w:rPr>
        <w:t>SPINA shall distinguish a document or notice that was merely Generated from one that was Sent, Delivered/Confirmed, or Failed, where the selected communication provider makes such status available.</w:t>
      </w:r>
    </w:p>
    <w:p>
      <w:pPr>
        <w:pStyle w:val="AgreementSection"/>
        <w:keepNext/>
        <w:keepLines/>
        <w:widowControl/>
        <w:spacing w:line="276" w:lineRule="auto" w:after="120" w:before="160"/>
      </w:pPr>
      <w:r>
        <w:rPr>
          <w:rFonts w:ascii="Arial" w:hAnsi="Arial"/>
          <w:b/>
          <w:color w:val="000000"/>
          <w:sz w:val="22"/>
        </w:rPr>
        <w:t>15. ELECTRONIC RECORDS AND AUDIT EVIDENCE</w:t>
      </w:r>
    </w:p>
    <w:p>
      <w:pPr>
        <w:pStyle w:val="CompactLegal"/>
        <w:keepNext w:val="0"/>
        <w:keepLines/>
        <w:widowControl/>
        <w:spacing w:before="0" w:line="276" w:lineRule="auto" w:after="120"/>
      </w:pPr>
      <w:r>
        <w:rPr>
          <w:rFonts w:ascii="Arial" w:hAnsi="Arial"/>
          <w:b w:val="0"/>
          <w:color w:val="000000"/>
          <w:sz w:val="21"/>
        </w:rPr>
        <w:t>Electronic records maintained by SPINA—including authoritative account entries, approvals, document versions, payment events, notices, system timestamps, actor identities and other audit evidence—may be used as records of the Loan transaction, subject to applicable law and rules on electronic evidence.</w:t>
      </w:r>
    </w:p>
    <w:p>
      <w:pPr>
        <w:pStyle w:val="AgreementSection"/>
        <w:keepNext/>
        <w:keepLines/>
        <w:widowControl/>
        <w:spacing w:line="276" w:lineRule="auto" w:after="120" w:before="160"/>
      </w:pPr>
      <w:r>
        <w:rPr>
          <w:rFonts w:ascii="Arial" w:hAnsi="Arial"/>
          <w:b/>
          <w:color w:val="000000"/>
          <w:sz w:val="22"/>
        </w:rPr>
        <w:t>16. DATA PRIVACY</w:t>
      </w:r>
    </w:p>
    <w:p>
      <w:pPr>
        <w:pStyle w:val="CompactLegal"/>
        <w:keepNext w:val="0"/>
        <w:keepLines/>
        <w:widowControl/>
        <w:spacing w:before="0" w:line="276" w:lineRule="auto" w:after="120"/>
      </w:pPr>
      <w:r>
        <w:rPr>
          <w:rFonts w:ascii="Arial" w:hAnsi="Arial"/>
          <w:b w:val="0"/>
          <w:color w:val="000000"/>
          <w:sz w:val="21"/>
        </w:rPr>
        <w:t>Personal information relating to this Loan shall be processed in accordance with Republic Act No. 10173, the Data Privacy Act of 2012, its Implementing Rules and Regulations, applicable National Privacy Commission issuances, and SPINA LENDING COMPANY’s then-current Privacy Notice.</w:t>
      </w:r>
    </w:p>
    <w:p>
      <w:pPr>
        <w:pStyle w:val="CompactLegal"/>
        <w:keepNext w:val="0"/>
        <w:keepLines/>
        <w:widowControl/>
        <w:spacing w:before="0" w:line="276" w:lineRule="auto" w:after="120"/>
      </w:pPr>
      <w:r>
        <w:rPr>
          <w:rFonts w:ascii="Arial" w:hAnsi="Arial"/>
          <w:b w:val="0"/>
          <w:color w:val="000000"/>
          <w:sz w:val="21"/>
        </w:rPr>
        <w:t>The Privacy Notice is the detailed privacy document for the categories of personal data processed, purposes and lawful bases, recipients/processors, retention, safeguards, data-subject rights, privacy contact/DPO information and, where applicable, controlled identity/CIF evidence such as eGov National ID/TIN evidence references and live-face/selfie/liveness evidence.</w:t>
      </w:r>
    </w:p>
    <w:p>
      <w:pPr>
        <w:pStyle w:val="CompactLegal"/>
        <w:keepNext w:val="0"/>
        <w:keepLines/>
        <w:widowControl/>
        <w:spacing w:before="0" w:line="276" w:lineRule="auto" w:after="120"/>
      </w:pPr>
      <w:r>
        <w:rPr>
          <w:rFonts w:ascii="Arial" w:hAnsi="Arial"/>
          <w:b w:val="0"/>
          <w:color w:val="000000"/>
          <w:sz w:val="21"/>
        </w:rPr>
        <w:t>The separate Data Privacy Consent and Authorization Form records consent or authorization where consent is the applicable lawful basis. Neither the Privacy Notice nor the Privacy Consent Form constitutes loan approval, a loan contract, or proof that Loan proceeds were released.</w:t>
      </w:r>
    </w:p>
    <w:p>
      <w:pPr>
        <w:pStyle w:val="AgreementSection"/>
        <w:keepNext/>
        <w:keepLines/>
        <w:widowControl/>
        <w:spacing w:line="276" w:lineRule="auto" w:after="120" w:before="160"/>
      </w:pPr>
      <w:r>
        <w:rPr>
          <w:rFonts w:ascii="Arial" w:hAnsi="Arial"/>
          <w:b/>
          <w:color w:val="000000"/>
          <w:sz w:val="22"/>
        </w:rPr>
        <w:t>17. BORROWER REPRESENTATIONS, CREDENTIALS AND INFORMATION CHANGES</w:t>
      </w:r>
    </w:p>
    <w:p>
      <w:pPr>
        <w:pStyle w:val="CompactLegal"/>
        <w:keepLines/>
        <w:widowControl/>
        <w:spacing w:line="276" w:lineRule="auto" w:after="120" w:before="0"/>
        <w:ind w:left="317" w:hanging="259"/>
      </w:pPr>
      <w:r>
        <w:rPr>
          <w:rFonts w:ascii="Arial" w:hAnsi="Arial"/>
          <w:b/>
          <w:color w:val="000000"/>
          <w:sz w:val="21"/>
        </w:rPr>
        <w:t xml:space="preserve">a. </w:t>
      </w:r>
      <w:r>
        <w:rPr>
          <w:rFonts w:ascii="Arial" w:hAnsi="Arial"/>
          <w:color w:val="000000"/>
          <w:sz w:val="21"/>
        </w:rPr>
        <w:t>The BORROWER confirms that the information provided for the application/CIF is true and complete to the best of the BORROWER’s knowledge.</w:t>
      </w:r>
    </w:p>
    <w:p>
      <w:pPr>
        <w:pStyle w:val="CompactLegal"/>
        <w:keepLines/>
        <w:widowControl/>
        <w:spacing w:line="276" w:lineRule="auto" w:after="120" w:before="0"/>
        <w:ind w:left="317" w:hanging="259"/>
      </w:pPr>
      <w:r>
        <w:rPr>
          <w:rFonts w:ascii="Arial" w:hAnsi="Arial"/>
          <w:b/>
          <w:color w:val="000000"/>
          <w:sz w:val="21"/>
        </w:rPr>
        <w:t xml:space="preserve">b. </w:t>
      </w:r>
      <w:r>
        <w:rPr>
          <w:rFonts w:ascii="Arial" w:hAnsi="Arial"/>
          <w:color w:val="000000"/>
          <w:sz w:val="21"/>
        </w:rPr>
        <w:t>The BORROWER has legal capacity to enter into this Agreement and intends to use the Loan for a lawful purpose.</w:t>
      </w:r>
    </w:p>
    <w:p>
      <w:pPr>
        <w:pStyle w:val="CompactLegal"/>
        <w:keepLines/>
        <w:widowControl/>
        <w:spacing w:line="276" w:lineRule="auto" w:after="120" w:before="0"/>
        <w:ind w:left="317" w:hanging="259"/>
      </w:pPr>
      <w:r>
        <w:rPr>
          <w:rFonts w:ascii="Arial" w:hAnsi="Arial"/>
          <w:b/>
          <w:color w:val="000000"/>
          <w:sz w:val="21"/>
        </w:rPr>
        <w:t xml:space="preserve">c. </w:t>
      </w:r>
      <w:r>
        <w:rPr>
          <w:rFonts w:ascii="Arial" w:hAnsi="Arial"/>
          <w:color w:val="000000"/>
          <w:sz w:val="21"/>
        </w:rPr>
        <w:t>The BORROWER shall use reasonable care to keep account credentials and authentication factors confidential and promptly report suspected unauthorized access.</w:t>
      </w:r>
    </w:p>
    <w:p>
      <w:pPr>
        <w:pStyle w:val="CompactLegal"/>
        <w:keepLines/>
        <w:widowControl/>
        <w:spacing w:line="276" w:lineRule="auto" w:after="120" w:before="0"/>
        <w:ind w:left="317" w:hanging="259"/>
      </w:pPr>
      <w:r>
        <w:rPr>
          <w:rFonts w:ascii="Arial" w:hAnsi="Arial"/>
          <w:b/>
          <w:color w:val="000000"/>
          <w:sz w:val="21"/>
        </w:rPr>
        <w:t xml:space="preserve">d. </w:t>
      </w:r>
      <w:r>
        <w:rPr>
          <w:rFonts w:ascii="Arial" w:hAnsi="Arial"/>
          <w:color w:val="000000"/>
          <w:sz w:val="21"/>
        </w:rPr>
        <w:t>The BORROWER shall promptly report material changes in identity, address, contact, employment/business or other relevant CIF information. Verified changes create the appropriate new current CIF version/history; they do not rewrite historical signed loan documents or their locked borrower/CIF snapshot.</w:t>
      </w:r>
    </w:p>
    <w:p>
      <w:pPr>
        <w:pStyle w:val="AgreementSection"/>
        <w:keepNext/>
        <w:keepLines/>
        <w:widowControl/>
        <w:spacing w:line="276" w:lineRule="auto" w:after="120" w:before="160"/>
      </w:pPr>
      <w:r>
        <w:rPr>
          <w:rFonts w:ascii="Arial" w:hAnsi="Arial"/>
          <w:b/>
          <w:color w:val="000000"/>
          <w:sz w:val="22"/>
        </w:rPr>
        <w:t>18. NOTICES</w:t>
      </w:r>
    </w:p>
    <w:p>
      <w:pPr>
        <w:pStyle w:val="CompactLegal"/>
        <w:keepNext w:val="0"/>
        <w:keepLines/>
        <w:widowControl/>
        <w:spacing w:before="0" w:line="276" w:lineRule="auto" w:after="120"/>
      </w:pPr>
      <w:r>
        <w:rPr>
          <w:rFonts w:ascii="Arial" w:hAnsi="Arial"/>
          <w:b w:val="0"/>
          <w:color w:val="000000"/>
          <w:sz w:val="21"/>
        </w:rPr>
        <w:t>Formal notices may be delivered through the channels permitted by the final loan documents and applicable law, including personal delivery, registered mail, courier, email, SMS or other lawful electronic means as applicable. The exact notice version, account reference, contact/channel used, send time, authorized actor and available delivery/provider status should be preserved in SPINA’s audit record.</w:t>
      </w:r>
    </w:p>
    <w:p>
      <w:pPr>
        <w:pStyle w:val="AgreementSection"/>
        <w:keepNext/>
        <w:keepLines/>
        <w:pageBreakBefore/>
        <w:widowControl/>
        <w:spacing w:line="276" w:lineRule="auto" w:after="120" w:before="160"/>
      </w:pPr>
      <w:r>
        <w:rPr>
          <w:rFonts w:ascii="Arial" w:hAnsi="Arial"/>
          <w:b/>
          <w:color w:val="000000"/>
          <w:sz w:val="22"/>
        </w:rPr>
        <w:t>19. NO WAIVER</w:t>
      </w:r>
    </w:p>
    <w:p>
      <w:pPr>
        <w:pStyle w:val="CompactLegal"/>
        <w:keepNext w:val="0"/>
        <w:keepLines/>
        <w:widowControl/>
        <w:spacing w:before="0" w:line="276" w:lineRule="auto" w:after="120"/>
      </w:pPr>
      <w:r>
        <w:rPr>
          <w:rFonts w:ascii="Arial" w:hAnsi="Arial"/>
          <w:b w:val="0"/>
          <w:color w:val="000000"/>
          <w:sz w:val="21"/>
        </w:rPr>
        <w:t>Failure of the LENDER to immediately exercise any right under this Agreement does not constitute a waiver of that right. Any waiver must be express and shall apply only to the specific matter waived.</w:t>
      </w:r>
    </w:p>
    <w:p>
      <w:pPr>
        <w:pStyle w:val="AgreementSection"/>
        <w:keepNext/>
        <w:keepLines/>
        <w:widowControl/>
        <w:spacing w:line="276" w:lineRule="auto" w:after="120" w:before="160"/>
      </w:pPr>
      <w:r>
        <w:rPr>
          <w:rFonts w:ascii="Arial" w:hAnsi="Arial"/>
          <w:b/>
          <w:color w:val="000000"/>
          <w:sz w:val="22"/>
        </w:rPr>
        <w:t>20. SEVERABILITY</w:t>
      </w:r>
    </w:p>
    <w:p>
      <w:pPr>
        <w:pStyle w:val="CompactLegal"/>
        <w:keepNext w:val="0"/>
        <w:keepLines/>
        <w:widowControl/>
        <w:spacing w:before="0" w:line="276" w:lineRule="auto" w:after="120"/>
      </w:pPr>
      <w:r>
        <w:rPr>
          <w:rFonts w:ascii="Arial" w:hAnsi="Arial"/>
          <w:b w:val="0"/>
          <w:color w:val="000000"/>
          <w:sz w:val="21"/>
        </w:rPr>
        <w:t>If any provision of this Agreement is declared invalid or unenforceable, the remaining provisions shall continue in effect to the extent permitted by law.</w:t>
      </w:r>
    </w:p>
    <w:p>
      <w:pPr>
        <w:pStyle w:val="AgreementSection"/>
        <w:keepNext/>
        <w:keepLines/>
        <w:widowControl/>
        <w:spacing w:line="276" w:lineRule="auto" w:after="120" w:before="160"/>
      </w:pPr>
      <w:r>
        <w:rPr>
          <w:rFonts w:ascii="Arial" w:hAnsi="Arial"/>
          <w:b/>
          <w:color w:val="000000"/>
          <w:sz w:val="22"/>
        </w:rPr>
        <w:t>21. MATERIAL AMENDMENTS AND VERSIONING</w:t>
      </w:r>
    </w:p>
    <w:p>
      <w:pPr>
        <w:pStyle w:val="CompactLegal"/>
        <w:keepNext w:val="0"/>
        <w:keepLines/>
        <w:widowControl/>
        <w:spacing w:before="0" w:line="276" w:lineRule="auto" w:after="120"/>
      </w:pPr>
      <w:r>
        <w:rPr>
          <w:rFonts w:ascii="Arial" w:hAnsi="Arial"/>
          <w:b w:val="0"/>
          <w:color w:val="000000"/>
          <w:sz w:val="21"/>
        </w:rPr>
        <w:t>A change to a material signed term—including principal, contractual interest basis/method, payment frequency, agreed installment amount, or a disclosed charge—requires the approved amendment/versioning process, appropriate borrower acknowledgment/signature, and regeneration of the remaining contractual schedule as required.</w:t>
      </w:r>
    </w:p>
    <w:p>
      <w:pPr>
        <w:pStyle w:val="CompactLegal"/>
        <w:keepNext w:val="0"/>
        <w:keepLines/>
        <w:widowControl/>
        <w:spacing w:before="0" w:line="276" w:lineRule="auto" w:after="120"/>
      </w:pPr>
      <w:r>
        <w:rPr>
          <w:rFonts w:ascii="Arial" w:hAnsi="Arial"/>
          <w:b w:val="0"/>
          <w:color w:val="000000"/>
          <w:sz w:val="21"/>
        </w:rPr>
        <w:t>Where a remaining schedule must be regenerated after a material amendment, the new schedule begins from the first completely untouched future installment; past or already-touched rows remain preserved under the prior version.</w:t>
      </w:r>
    </w:p>
    <w:p>
      <w:pPr>
        <w:pStyle w:val="AgreementSection"/>
        <w:keepNext/>
        <w:keepLines/>
        <w:widowControl/>
        <w:spacing w:line="276" w:lineRule="auto" w:after="120" w:before="160"/>
      </w:pPr>
      <w:r>
        <w:rPr>
          <w:rFonts w:ascii="Arial" w:hAnsi="Arial"/>
          <w:b/>
          <w:color w:val="000000"/>
          <w:sz w:val="22"/>
        </w:rPr>
        <w:t>22. GOVERNING LAW</w:t>
      </w:r>
    </w:p>
    <w:p>
      <w:pPr>
        <w:pStyle w:val="CompactLegal"/>
        <w:keepNext w:val="0"/>
        <w:keepLines/>
        <w:widowControl/>
        <w:spacing w:before="0" w:line="276" w:lineRule="auto" w:after="120"/>
      </w:pPr>
      <w:r>
        <w:rPr>
          <w:rFonts w:ascii="Arial" w:hAnsi="Arial"/>
          <w:b w:val="0"/>
          <w:color w:val="000000"/>
          <w:sz w:val="21"/>
        </w:rPr>
        <w:t>This Agreement shall be governed by and construed in accordance with the laws of the Republic of the Philippines.</w:t>
      </w:r>
    </w:p>
    <w:p>
      <w:pPr>
        <w:pStyle w:val="AgreementSection"/>
        <w:keepNext/>
        <w:keepLines/>
        <w:widowControl/>
        <w:spacing w:line="276" w:lineRule="auto" w:after="120" w:before="160"/>
      </w:pPr>
      <w:r>
        <w:rPr>
          <w:rFonts w:ascii="Arial" w:hAnsi="Arial"/>
          <w:b/>
          <w:color w:val="000000"/>
          <w:sz w:val="22"/>
        </w:rPr>
        <w:t>23. CONTRACTUAL LOAN-DOCUMENT PACKET</w:t>
      </w:r>
    </w:p>
    <w:p>
      <w:pPr>
        <w:pStyle w:val="CompactLegal"/>
        <w:keepNext w:val="0"/>
        <w:keepLines/>
        <w:widowControl/>
        <w:spacing w:before="0" w:line="276" w:lineRule="auto" w:after="120"/>
      </w:pPr>
      <w:r>
        <w:rPr>
          <w:rFonts w:ascii="Arial" w:hAnsi="Arial"/>
          <w:b w:val="0"/>
          <w:color w:val="000000"/>
          <w:sz w:val="21"/>
        </w:rPr>
        <w:t>The final approved contractual terms of the Loan are contained in and read together with: (a) this Cash Loan Agreement; (b) the Loan Disclosure Statement; (c) the Promissory Note; and (d) the complete signed Schedule of Payments, including any continuation pages, all tied to the same locked loan/packet version.</w:t>
      </w:r>
    </w:p>
    <w:p>
      <w:pPr>
        <w:pStyle w:val="CompactLegal"/>
        <w:keepNext w:val="0"/>
        <w:keepLines/>
        <w:widowControl/>
        <w:spacing w:before="0" w:line="276" w:lineRule="auto" w:after="120"/>
      </w:pPr>
      <w:r>
        <w:rPr>
          <w:rFonts w:ascii="Arial" w:hAnsi="Arial"/>
          <w:b w:val="0"/>
          <w:color w:val="000000"/>
          <w:sz w:val="21"/>
        </w:rPr>
        <w:t>The Loan Application Form is an application/CIF-review record and is not itself a final contractual-term document. The Loan Release and Cash Receipt Confirmation evidences actual release/receipt and does not alter the approved contractual terms. The Privacy Notice and privacy-consent records remain separate privacy documents. In case of conflict, the requirement of applicable law controls.</w:t>
      </w:r>
    </w:p>
    <w:p>
      <w:pPr>
        <w:pStyle w:val="AgreementSection"/>
        <w:keepNext/>
        <w:keepLines/>
        <w:pageBreakBefore/>
        <w:widowControl/>
        <w:spacing w:line="276" w:lineRule="auto" w:after="120" w:before="160"/>
      </w:pPr>
      <w:r>
        <w:rPr>
          <w:rFonts w:ascii="Arial" w:hAnsi="Arial"/>
          <w:b/>
          <w:color w:val="000000"/>
          <w:sz w:val="22"/>
        </w:rPr>
        <w:t>24. BORROWER ACKNOWLEDGMENT</w:t>
      </w:r>
    </w:p>
    <w:p>
      <w:pPr>
        <w:pStyle w:val="CompactLegal"/>
        <w:keepLines/>
        <w:widowControl/>
        <w:spacing w:line="276" w:lineRule="auto" w:after="120" w:before="0"/>
        <w:ind w:left="288" w:hanging="202"/>
      </w:pPr>
      <w:r>
        <w:rPr>
          <w:rFonts w:ascii="Arial" w:hAnsi="Arial"/>
          <w:b/>
          <w:color w:val="000000"/>
          <w:sz w:val="21"/>
        </w:rPr>
        <w:t xml:space="preserve">• </w:t>
      </w:r>
      <w:r>
        <w:rPr>
          <w:rFonts w:ascii="Arial" w:hAnsi="Arial"/>
          <w:color w:val="000000"/>
          <w:sz w:val="21"/>
        </w:rPr>
        <w:t>I have had the opportunity to read and review this Agreement and the exact approved loan terms before signing.</w:t>
      </w:r>
    </w:p>
    <w:p>
      <w:pPr>
        <w:pStyle w:val="CompactLegal"/>
        <w:keepLines/>
        <w:widowControl/>
        <w:spacing w:line="276" w:lineRule="auto" w:after="120" w:before="0"/>
        <w:ind w:left="288" w:hanging="202"/>
      </w:pPr>
      <w:r>
        <w:rPr>
          <w:rFonts w:ascii="Arial" w:hAnsi="Arial"/>
          <w:b/>
          <w:color w:val="000000"/>
          <w:sz w:val="21"/>
        </w:rPr>
        <w:t xml:space="preserve">• </w:t>
      </w:r>
      <w:r>
        <w:rPr>
          <w:rFonts w:ascii="Arial" w:hAnsi="Arial"/>
          <w:color w:val="000000"/>
          <w:sz w:val="21"/>
        </w:rPr>
        <w:t>I received or was given access to the Loan Disclosure Statement, Promissory Note and complete contractual Schedule of Payments tied to the same loan/packet version.</w:t>
      </w:r>
    </w:p>
    <w:p>
      <w:pPr>
        <w:pStyle w:val="CompactLegal"/>
        <w:keepLines/>
        <w:widowControl/>
        <w:spacing w:line="276" w:lineRule="auto" w:after="120" w:before="0"/>
        <w:ind w:left="288" w:hanging="202"/>
      </w:pPr>
      <w:r>
        <w:rPr>
          <w:rFonts w:ascii="Arial" w:hAnsi="Arial"/>
          <w:b/>
          <w:color w:val="000000"/>
          <w:sz w:val="21"/>
        </w:rPr>
        <w:t xml:space="preserve">• </w:t>
      </w:r>
      <w:r>
        <w:rPr>
          <w:rFonts w:ascii="Arial" w:hAnsi="Arial"/>
          <w:color w:val="000000"/>
          <w:sz w:val="21"/>
        </w:rPr>
        <w:t>The interest basis, finance charges, lawful deductions, Net Loan Proceeds, payment amount, payment frequency, contractual term and applicable charges shown to me match the final approved packet.</w:t>
      </w:r>
    </w:p>
    <w:p>
      <w:pPr>
        <w:pStyle w:val="CompactLegal"/>
        <w:keepLines/>
        <w:widowControl/>
        <w:spacing w:line="276" w:lineRule="auto" w:after="120" w:before="0"/>
        <w:ind w:left="288" w:hanging="202"/>
      </w:pPr>
      <w:r>
        <w:rPr>
          <w:rFonts w:ascii="Arial" w:hAnsi="Arial"/>
          <w:b/>
          <w:color w:val="000000"/>
          <w:sz w:val="21"/>
        </w:rPr>
        <w:t xml:space="preserve">• </w:t>
      </w:r>
      <w:r>
        <w:rPr>
          <w:rFonts w:ascii="Arial" w:hAnsi="Arial"/>
          <w:color w:val="000000"/>
          <w:sz w:val="21"/>
        </w:rPr>
        <w:t>I understand that the current operational schedule may later reflect actual posted transactions without silently changing the signed material contractual terms.</w:t>
      </w:r>
    </w:p>
    <w:p>
      <w:pPr>
        <w:pStyle w:val="CompactLegal"/>
        <w:keepLines/>
        <w:widowControl/>
        <w:spacing w:line="276" w:lineRule="auto" w:after="120" w:before="0"/>
        <w:ind w:left="288" w:hanging="202"/>
      </w:pPr>
      <w:r>
        <w:rPr>
          <w:rFonts w:ascii="Arial" w:hAnsi="Arial"/>
          <w:b/>
          <w:color w:val="000000"/>
          <w:sz w:val="21"/>
        </w:rPr>
        <w:t xml:space="preserve">• </w:t>
      </w:r>
      <w:r>
        <w:rPr>
          <w:rFonts w:ascii="Arial" w:hAnsi="Arial"/>
          <w:color w:val="000000"/>
          <w:sz w:val="21"/>
        </w:rPr>
        <w:t>I understand that signing this Agreement does not by itself prove that cash was released or received; actual release is separately evidenced at the authorized handoff.</w:t>
      </w:r>
    </w:p>
    <w:p>
      <w:pPr>
        <w:pStyle w:val="AgreementSection"/>
        <w:keepNext/>
        <w:keepLines/>
        <w:pageBreakBefore w:val="0"/>
        <w:widowControl/>
        <w:spacing w:before="160" w:line="276" w:lineRule="auto" w:after="120"/>
      </w:pPr>
      <w:r>
        <w:rPr>
          <w:rFonts w:ascii="Arial" w:hAnsi="Arial"/>
          <w:b/>
          <w:color w:val="000000"/>
          <w:sz w:val="22"/>
        </w:rPr>
        <w:t>EXECUTION</w:t>
      </w:r>
    </w:p>
    <w:p>
      <w:pPr>
        <w:pStyle w:val="SmallLegalNote"/>
        <w:keepNext w:val="0"/>
        <w:keepLines/>
        <w:widowControl/>
        <w:spacing w:before="0" w:line="276" w:lineRule="auto" w:after="120"/>
      </w:pPr>
      <w:r>
        <w:rPr>
          <w:rFonts w:ascii="Arial" w:hAnsi="Arial"/>
          <w:b w:val="0"/>
          <w:color w:val="000000"/>
          <w:sz w:val="18"/>
        </w:rPr>
        <w:t>The BORROWER signs this Agreement voluntarily after review of the final packet. The LENDER-side approval/execution record is generated from the authenticated Management approval and exact locked packet/version; it is not a free-typed name or manually inserted signature image.</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4860"/>
        <w:gridCol w:w="4860"/>
      </w:tblGrid>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Borrower Printed Name</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{Verified CIF full name}</w:t>
            </w:r>
          </w:p>
        </w:tc>
      </w:tr>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Borrower Signature</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{Wet-signature line / approved electronic signature evidence}</w:t>
            </w:r>
          </w:p>
        </w:tc>
      </w:tr>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Borrower Signed At</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{Authoritative signed date/time}</w:t>
            </w:r>
          </w:p>
        </w:tc>
      </w:tr>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Staff Witness / Actor</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{Authenticated Staff witness/actor, if applicable}</w:t>
            </w:r>
          </w:p>
        </w:tc>
      </w:tr>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Management Approver</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{Authenticated Management approver + role}</w:t>
            </w:r>
          </w:p>
        </w:tc>
      </w:tr>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Management Approval Ref.</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{Immutable approval/packet reference}</w:t>
            </w:r>
          </w:p>
        </w:tc>
      </w:tr>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Management Approved At</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{Authoritative server date/time}</w:t>
            </w:r>
          </w:p>
        </w:tc>
      </w:tr>
    </w:tbl>
    <w:p>
      <w:pPr>
        <w:pStyle w:val="CompactLegal"/>
        <w:keepNext w:val="0"/>
        <w:keepLines/>
        <w:widowControl/>
        <w:spacing w:before="0" w:line="276" w:lineRule="auto" w:after="120"/>
      </w:pPr>
      <w:r>
        <w:rPr>
          <w:rFonts w:ascii="Arial" w:hAnsi="Arial"/>
          <w:b w:val="0"/>
          <w:color w:val="000000"/>
          <w:sz w:val="21"/>
        </w:rPr>
        <w:t>For avoidance of doubt, signing this Agreement alone does not establish that the Loan has been Released. Actual cash release is evidenced by the separate Loan Release and Cash Receipt Confirmation recorded at the authorized handoff.</w:t>
      </w:r>
    </w:p>
    <w:p>
      <w:pPr>
        <w:spacing w:before="0" w:after="0"/>
      </w:pPr>
      <w:r>
        <w:rPr>
          <w:sz w:val="2"/>
        </w:rPr>
        <w:br w:type="page"/>
      </w:r>
    </w:p>
    <w:p>
      <w:pPr>
        <w:keepNext/>
        <w:keepLines/>
        <w:widowControl/>
        <w:spacing w:before="0" w:after="120" w:line="276" w:lineRule="auto"/>
        <w:jc w:val="center"/>
      </w:pPr>
      <w:r>
        <w:rPr>
          <w:rFonts w:ascii="Arial" w:hAnsi="Arial"/>
          <w:b/>
          <w:color w:val="000000"/>
          <w:sz w:val="30"/>
        </w:rPr>
        <w:t>ANNEX A - SCHEDULE OF PAYMENTS</w:t>
      </w:r>
    </w:p>
    <w:p>
      <w:pPr>
        <w:pStyle w:val="SmallLegalNote"/>
        <w:keepLines/>
        <w:widowControl/>
        <w:spacing w:line="276" w:lineRule="auto" w:after="120" w:before="0"/>
        <w:jc w:val="center"/>
      </w:pPr>
      <w:r>
        <w:rPr>
          <w:rFonts w:ascii="Arial" w:hAnsi="Arial"/>
          <w:color w:val="000000"/>
          <w:sz w:val="18"/>
        </w:rPr>
        <w:t>SYSTEM-GENERATED FROM THE SAME LOCKED LOAN / PACKET VERSION</w:t>
      </w:r>
    </w:p>
    <w:p>
      <w:pPr>
        <w:pStyle w:val="RevisionNote"/>
      </w:pPr>
      <w:r>
        <w:rPr>
          <w:rFonts w:ascii="Arial" w:hAnsi="Arial"/>
          <w:sz w:val="18"/>
        </w:rPr>
        <w:t>ASSEMBLY NOTE: The abbreviated Annex A below is a retained source illustration, not a complete loan schedule. Replace it with ONE complete product-specific T05 before final signing. Regular uses Remaining Total Payable; 7x7 uses Scheduled Remaining Principal. Never issue two competing schedules.</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4860"/>
        <w:gridCol w:w="4860"/>
      </w:tblGrid>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Borrower</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{Verified Borrower Name}</w:t>
            </w:r>
          </w:p>
        </w:tc>
      </w:tr>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Loan Account / Ref.</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{Loan Account / Transaction Ref.}</w:t>
            </w:r>
          </w:p>
        </w:tc>
      </w:tr>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Loan Type</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{Regular Cash Loan / 7x7 Cash Loan}</w:t>
            </w:r>
          </w:p>
        </w:tc>
      </w:tr>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Principal / Gross Amount</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PHP {Approved Principal/Gross Loan Amount}</w:t>
            </w:r>
          </w:p>
        </w:tc>
      </w:tr>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Interest / Daily Interest Basis</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{Exact locked basis/method}</w:t>
            </w:r>
          </w:p>
        </w:tc>
      </w:tr>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Contractual Term</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{Exact signed term}</w:t>
            </w:r>
          </w:p>
        </w:tc>
      </w:tr>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Installment Amount / Count</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PHP {Installment Amount} / {Installment Count}</w:t>
            </w:r>
          </w:p>
        </w:tc>
      </w:tr>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First Payment / Maturity</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{First Payment Date} / {Contractual Maturity Date}</w:t>
            </w:r>
          </w:p>
        </w:tc>
      </w:tr>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Total Amount Payable</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PHP {Total Amount Payable under original contractual schedule}</w:t>
            </w:r>
          </w:p>
        </w:tc>
      </w:tr>
    </w:tbl>
    <w:p>
      <w:pPr>
        <w:pStyle w:val="CompactLegal"/>
        <w:keepNext w:val="0"/>
        <w:keepLines/>
        <w:widowControl/>
        <w:spacing w:before="0" w:line="276" w:lineRule="auto" w:after="120"/>
      </w:pPr>
      <w:r>
        <w:rPr>
          <w:rFonts w:ascii="Arial" w:hAnsi="Arial"/>
          <w:b w:val="0"/>
          <w:color w:val="000000"/>
          <w:sz w:val="21"/>
        </w:rPr>
        <w:t>The table below is the first-page summary layout. The complete SPINA-generated Schedule of Payments, including every installment and all continuation pages, forms part of this Annex A and shares the same locked document/packet version. If there are more than seven installments, the remaining rows continue on the following generated pages.</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576"/>
        <w:gridCol w:w="1238"/>
        <w:gridCol w:w="1411"/>
        <w:gridCol w:w="1296"/>
        <w:gridCol w:w="1555"/>
        <w:gridCol w:w="1483"/>
        <w:gridCol w:w="2160"/>
      </w:tblGrid>
      <w:tr>
        <w:trPr>
          <w:cantSplit/>
          <w:trHeight w:hRule="atLeast"/>
          <w:tblHeader/>
        </w:trPr>
        <w:tc>
          <w:tcPr>
            <w:tcW w:type="dxa" w:w="576"/>
            <w:shd w:fill="F2F2F2" w:color="auto"/>
            <w:tcMar>
              <w:top w:w="55" w:type="dxa"/>
              <w:start w:w="75" w:type="dxa"/>
              <w:bottom w:w="55" w:type="dxa"/>
              <w:end w:w="75" w:type="dxa"/>
            </w:tcMar>
          </w:tcPr>
          <w:p>
            <w:pPr>
              <w:widowControl/>
              <w:spacing w:after="20" w:line="264" w:lineRule="auto" w:before="0"/>
              <w:jc w:val="center"/>
            </w:pPr>
            <w:r>
              <w:rPr>
                <w:rFonts w:ascii="Arial" w:hAnsi="Arial"/>
                <w:b/>
                <w:color w:val="000000"/>
                <w:sz w:val="16"/>
              </w:rPr>
              <w:t>No.</w:t>
            </w:r>
          </w:p>
        </w:tc>
        <w:tc>
          <w:tcPr>
            <w:tcW w:type="dxa" w:w="1238"/>
            <w:shd w:fill="F2F2F2" w:color="auto"/>
            <w:tcMar>
              <w:top w:w="55" w:type="dxa"/>
              <w:start w:w="75" w:type="dxa"/>
              <w:bottom w:w="55" w:type="dxa"/>
              <w:end w:w="75" w:type="dxa"/>
            </w:tcMar>
          </w:tcPr>
          <w:p>
            <w:pPr>
              <w:widowControl/>
              <w:spacing w:after="20" w:line="264" w:lineRule="auto" w:before="0"/>
              <w:jc w:val="center"/>
            </w:pPr>
            <w:r>
              <w:rPr>
                <w:rFonts w:ascii="Arial" w:hAnsi="Arial"/>
                <w:b/>
                <w:color w:val="000000"/>
                <w:sz w:val="16"/>
              </w:rPr>
              <w:t>Due Date</w:t>
            </w:r>
          </w:p>
        </w:tc>
        <w:tc>
          <w:tcPr>
            <w:tcW w:type="dxa" w:w="1411"/>
            <w:shd w:fill="F2F2F2" w:color="auto"/>
            <w:tcMar>
              <w:top w:w="55" w:type="dxa"/>
              <w:start w:w="75" w:type="dxa"/>
              <w:bottom w:w="55" w:type="dxa"/>
              <w:end w:w="75" w:type="dxa"/>
            </w:tcMar>
          </w:tcPr>
          <w:p>
            <w:pPr>
              <w:widowControl/>
              <w:spacing w:after="20" w:line="264" w:lineRule="auto" w:before="0"/>
              <w:jc w:val="center"/>
            </w:pPr>
            <w:r>
              <w:rPr>
                <w:rFonts w:ascii="Arial" w:hAnsi="Arial"/>
                <w:b/>
                <w:color w:val="000000"/>
                <w:sz w:val="16"/>
              </w:rPr>
              <w:t>Principal</w:t>
            </w:r>
          </w:p>
        </w:tc>
        <w:tc>
          <w:tcPr>
            <w:tcW w:type="dxa" w:w="1296"/>
            <w:shd w:fill="F2F2F2" w:color="auto"/>
            <w:tcMar>
              <w:top w:w="55" w:type="dxa"/>
              <w:start w:w="75" w:type="dxa"/>
              <w:bottom w:w="55" w:type="dxa"/>
              <w:end w:w="75" w:type="dxa"/>
            </w:tcMar>
          </w:tcPr>
          <w:p>
            <w:pPr>
              <w:widowControl/>
              <w:spacing w:after="20" w:line="264" w:lineRule="auto" w:before="0"/>
              <w:jc w:val="center"/>
            </w:pPr>
            <w:r>
              <w:rPr>
                <w:rFonts w:ascii="Arial" w:hAnsi="Arial"/>
                <w:b/>
                <w:color w:val="000000"/>
                <w:sz w:val="16"/>
              </w:rPr>
              <w:t>Interest</w:t>
            </w:r>
          </w:p>
        </w:tc>
        <w:tc>
          <w:tcPr>
            <w:tcW w:type="dxa" w:w="1555"/>
            <w:shd w:fill="F2F2F2" w:color="auto"/>
            <w:tcMar>
              <w:top w:w="55" w:type="dxa"/>
              <w:start w:w="75" w:type="dxa"/>
              <w:bottom w:w="55" w:type="dxa"/>
              <w:end w:w="75" w:type="dxa"/>
            </w:tcMar>
          </w:tcPr>
          <w:p>
            <w:pPr>
              <w:widowControl/>
              <w:spacing w:after="20" w:line="264" w:lineRule="auto" w:before="0"/>
              <w:jc w:val="center"/>
            </w:pPr>
            <w:r>
              <w:rPr>
                <w:rFonts w:ascii="Arial" w:hAnsi="Arial"/>
                <w:b/>
                <w:color w:val="000000"/>
                <w:sz w:val="16"/>
              </w:rPr>
              <w:t>Other Lawful Charges</w:t>
            </w:r>
          </w:p>
        </w:tc>
        <w:tc>
          <w:tcPr>
            <w:tcW w:type="dxa" w:w="1483"/>
            <w:shd w:fill="F2F2F2" w:color="auto"/>
            <w:tcMar>
              <w:top w:w="55" w:type="dxa"/>
              <w:start w:w="75" w:type="dxa"/>
              <w:bottom w:w="55" w:type="dxa"/>
              <w:end w:w="75" w:type="dxa"/>
            </w:tcMar>
          </w:tcPr>
          <w:p>
            <w:pPr>
              <w:widowControl/>
              <w:spacing w:after="20" w:line="264" w:lineRule="auto" w:before="0"/>
              <w:jc w:val="center"/>
            </w:pPr>
            <w:r>
              <w:rPr>
                <w:rFonts w:ascii="Arial" w:hAnsi="Arial"/>
                <w:b/>
                <w:color w:val="000000"/>
                <w:sz w:val="16"/>
              </w:rPr>
              <w:t>Total Due</w:t>
            </w:r>
          </w:p>
        </w:tc>
        <w:tc>
          <w:tcPr>
            <w:tcW w:type="dxa" w:w="2160"/>
            <w:shd w:fill="F2F2F2" w:color="auto"/>
            <w:tcMar>
              <w:top w:w="55" w:type="dxa"/>
              <w:start w:w="75" w:type="dxa"/>
              <w:bottom w:w="55" w:type="dxa"/>
              <w:end w:w="75" w:type="dxa"/>
            </w:tcMar>
          </w:tcPr>
          <w:p>
            <w:pPr>
              <w:widowControl/>
              <w:spacing w:after="20" w:line="264" w:lineRule="auto" w:before="0"/>
              <w:jc w:val="center"/>
            </w:pPr>
            <w:r>
              <w:rPr>
                <w:rFonts w:ascii="Arial" w:hAnsi="Arial"/>
                <w:b/>
                <w:color w:val="000000"/>
                <w:sz w:val="16"/>
              </w:rPr>
              <w:t>Scheduled Remaining Principal*</w:t>
            </w:r>
          </w:p>
        </w:tc>
      </w:tr>
      <w:tr>
        <w:trPr>
          <w:cantSplit/>
          <w:trHeight w:hRule="atLeast"/>
        </w:trPr>
        <w:tc>
          <w:tcPr>
            <w:tcW w:type="dxa" w:w="576"/>
            <w:tcMar>
              <w:top w:w="55" w:type="dxa"/>
              <w:start w:w="75" w:type="dxa"/>
              <w:bottom w:w="55" w:type="dxa"/>
              <w:end w:w="75" w:type="dxa"/>
            </w:tcMar>
          </w:tcPr>
          <w:p>
            <w:pPr>
              <w:widowControl/>
              <w:spacing w:after="20" w:line="264" w:lineRule="auto" w:before="0"/>
              <w:jc w:val="center"/>
            </w:pPr>
            <w:r>
              <w:rPr>
                <w:rFonts w:ascii="Arial" w:hAnsi="Arial"/>
                <w:color w:val="000000"/>
                <w:sz w:val="16"/>
              </w:rPr>
              <w:t>1</w:t>
            </w:r>
          </w:p>
        </w:tc>
        <w:tc>
          <w:tcPr>
            <w:tcW w:type="dxa" w:w="1238"/>
            <w:tcMar>
              <w:top w:w="55" w:type="dxa"/>
              <w:start w:w="75" w:type="dxa"/>
              <w:bottom w:w="55" w:type="dxa"/>
              <w:end w:w="75" w:type="dxa"/>
            </w:tcMar>
          </w:tcPr>
          <w:p>
            <w:pPr>
              <w:widowControl/>
              <w:spacing w:after="20" w:line="264" w:lineRule="auto" w:before="0"/>
              <w:jc w:val="center"/>
            </w:pPr>
            <w:r>
              <w:rPr>
                <w:rFonts w:ascii="Arial" w:hAnsi="Arial"/>
                <w:color w:val="000000"/>
                <w:sz w:val="16"/>
              </w:rPr>
              <w:t>{Date}</w:t>
            </w:r>
          </w:p>
        </w:tc>
        <w:tc>
          <w:tcPr>
            <w:tcW w:type="dxa" w:w="1411"/>
            <w:tcMar>
              <w:top w:w="55" w:type="dxa"/>
              <w:start w:w="75" w:type="dxa"/>
              <w:bottom w:w="55" w:type="dxa"/>
              <w:end w:w="75" w:type="dxa"/>
            </w:tcMar>
          </w:tcPr>
          <w:p>
            <w:pPr>
              <w:widowControl/>
              <w:spacing w:after="20" w:line="264" w:lineRule="auto" w:before="0"/>
              <w:jc w:val="center"/>
            </w:pPr>
            <w:r>
              <w:rPr>
                <w:rFonts w:ascii="Arial" w:hAnsi="Arial"/>
                <w:color w:val="000000"/>
                <w:sz w:val="16"/>
              </w:rPr>
              <w:t>PHP {Principal}</w:t>
            </w:r>
          </w:p>
        </w:tc>
        <w:tc>
          <w:tcPr>
            <w:tcW w:type="dxa" w:w="1296"/>
            <w:tcMar>
              <w:top w:w="55" w:type="dxa"/>
              <w:start w:w="75" w:type="dxa"/>
              <w:bottom w:w="55" w:type="dxa"/>
              <w:end w:w="75" w:type="dxa"/>
            </w:tcMar>
          </w:tcPr>
          <w:p>
            <w:pPr>
              <w:widowControl/>
              <w:spacing w:after="20" w:line="264" w:lineRule="auto" w:before="0"/>
              <w:jc w:val="center"/>
            </w:pPr>
            <w:r>
              <w:rPr>
                <w:rFonts w:ascii="Arial" w:hAnsi="Arial"/>
                <w:color w:val="000000"/>
                <w:sz w:val="16"/>
              </w:rPr>
              <w:t>PHP {Interest}</w:t>
            </w:r>
          </w:p>
        </w:tc>
        <w:tc>
          <w:tcPr>
            <w:tcW w:type="dxa" w:w="1555"/>
            <w:tcMar>
              <w:top w:w="55" w:type="dxa"/>
              <w:start w:w="75" w:type="dxa"/>
              <w:bottom w:w="55" w:type="dxa"/>
              <w:end w:w="75" w:type="dxa"/>
            </w:tcMar>
          </w:tcPr>
          <w:p>
            <w:pPr>
              <w:widowControl/>
              <w:spacing w:after="20" w:line="264" w:lineRule="auto" w:before="0"/>
              <w:jc w:val="center"/>
            </w:pPr>
            <w:r>
              <w:rPr>
                <w:rFonts w:ascii="Arial" w:hAnsi="Arial"/>
                <w:color w:val="000000"/>
                <w:sz w:val="16"/>
              </w:rPr>
              <w:t>PHP {Charge/0.00}</w:t>
            </w:r>
          </w:p>
        </w:tc>
        <w:tc>
          <w:tcPr>
            <w:tcW w:type="dxa" w:w="1483"/>
            <w:tcMar>
              <w:top w:w="55" w:type="dxa"/>
              <w:start w:w="75" w:type="dxa"/>
              <w:bottom w:w="55" w:type="dxa"/>
              <w:end w:w="75" w:type="dxa"/>
            </w:tcMar>
          </w:tcPr>
          <w:p>
            <w:pPr>
              <w:widowControl/>
              <w:spacing w:after="20" w:line="264" w:lineRule="auto" w:before="0"/>
              <w:jc w:val="center"/>
            </w:pPr>
            <w:r>
              <w:rPr>
                <w:rFonts w:ascii="Arial" w:hAnsi="Arial"/>
                <w:color w:val="000000"/>
                <w:sz w:val="16"/>
              </w:rPr>
              <w:t>PHP {Total}</w:t>
            </w:r>
          </w:p>
        </w:tc>
        <w:tc>
          <w:tcPr>
            <w:tcW w:type="dxa" w:w="2160"/>
            <w:tcMar>
              <w:top w:w="55" w:type="dxa"/>
              <w:start w:w="75" w:type="dxa"/>
              <w:bottom w:w="55" w:type="dxa"/>
              <w:end w:w="75" w:type="dxa"/>
            </w:tcMar>
          </w:tcPr>
          <w:p>
            <w:pPr>
              <w:widowControl/>
              <w:spacing w:after="20" w:line="264" w:lineRule="auto" w:before="0"/>
              <w:jc w:val="center"/>
            </w:pPr>
            <w:r>
              <w:rPr>
                <w:rFonts w:ascii="Arial" w:hAnsi="Arial"/>
                <w:color w:val="000000"/>
                <w:sz w:val="16"/>
              </w:rPr>
              <w:t>PHP {Scheduled Remaining Principal}</w:t>
            </w:r>
          </w:p>
        </w:tc>
      </w:tr>
      <w:tr>
        <w:trPr>
          <w:cantSplit/>
          <w:trHeight w:hRule="atLeast"/>
        </w:trPr>
        <w:tc>
          <w:tcPr>
            <w:tcW w:type="dxa" w:w="576"/>
            <w:tcMar>
              <w:top w:w="55" w:type="dxa"/>
              <w:start w:w="75" w:type="dxa"/>
              <w:bottom w:w="55" w:type="dxa"/>
              <w:end w:w="75" w:type="dxa"/>
            </w:tcMar>
          </w:tcPr>
          <w:p>
            <w:pPr>
              <w:widowControl/>
              <w:spacing w:after="20" w:line="264" w:lineRule="auto" w:before="0"/>
              <w:jc w:val="center"/>
            </w:pPr>
            <w:r>
              <w:rPr>
                <w:rFonts w:ascii="Arial" w:hAnsi="Arial"/>
                <w:color w:val="000000"/>
                <w:sz w:val="16"/>
              </w:rPr>
              <w:t>2</w:t>
            </w:r>
          </w:p>
        </w:tc>
        <w:tc>
          <w:tcPr>
            <w:tcW w:type="dxa" w:w="1238"/>
            <w:tcMar>
              <w:top w:w="55" w:type="dxa"/>
              <w:start w:w="75" w:type="dxa"/>
              <w:bottom w:w="55" w:type="dxa"/>
              <w:end w:w="75" w:type="dxa"/>
            </w:tcMar>
          </w:tcPr>
          <w:p>
            <w:pPr>
              <w:widowControl/>
              <w:spacing w:after="20" w:line="264" w:lineRule="auto" w:before="0"/>
              <w:jc w:val="center"/>
            </w:pPr>
            <w:r>
              <w:rPr>
                <w:rFonts w:ascii="Arial" w:hAnsi="Arial"/>
                <w:color w:val="000000"/>
                <w:sz w:val="16"/>
              </w:rPr>
              <w:t>{Date}</w:t>
            </w:r>
          </w:p>
        </w:tc>
        <w:tc>
          <w:tcPr>
            <w:tcW w:type="dxa" w:w="1411"/>
            <w:tcMar>
              <w:top w:w="55" w:type="dxa"/>
              <w:start w:w="75" w:type="dxa"/>
              <w:bottom w:w="55" w:type="dxa"/>
              <w:end w:w="75" w:type="dxa"/>
            </w:tcMar>
          </w:tcPr>
          <w:p>
            <w:pPr>
              <w:widowControl/>
              <w:spacing w:after="20" w:line="264" w:lineRule="auto" w:before="0"/>
              <w:jc w:val="center"/>
            </w:pPr>
            <w:r>
              <w:rPr>
                <w:rFonts w:ascii="Arial" w:hAnsi="Arial"/>
                <w:color w:val="000000"/>
                <w:sz w:val="16"/>
              </w:rPr>
              <w:t>PHP {Principal}</w:t>
            </w:r>
          </w:p>
        </w:tc>
        <w:tc>
          <w:tcPr>
            <w:tcW w:type="dxa" w:w="1296"/>
            <w:tcMar>
              <w:top w:w="55" w:type="dxa"/>
              <w:start w:w="75" w:type="dxa"/>
              <w:bottom w:w="55" w:type="dxa"/>
              <w:end w:w="75" w:type="dxa"/>
            </w:tcMar>
          </w:tcPr>
          <w:p>
            <w:pPr>
              <w:widowControl/>
              <w:spacing w:after="20" w:line="264" w:lineRule="auto" w:before="0"/>
              <w:jc w:val="center"/>
            </w:pPr>
            <w:r>
              <w:rPr>
                <w:rFonts w:ascii="Arial" w:hAnsi="Arial"/>
                <w:color w:val="000000"/>
                <w:sz w:val="16"/>
              </w:rPr>
              <w:t>PHP {Interest}</w:t>
            </w:r>
          </w:p>
        </w:tc>
        <w:tc>
          <w:tcPr>
            <w:tcW w:type="dxa" w:w="1555"/>
            <w:tcMar>
              <w:top w:w="55" w:type="dxa"/>
              <w:start w:w="75" w:type="dxa"/>
              <w:bottom w:w="55" w:type="dxa"/>
              <w:end w:w="75" w:type="dxa"/>
            </w:tcMar>
          </w:tcPr>
          <w:p>
            <w:pPr>
              <w:widowControl/>
              <w:spacing w:after="20" w:line="264" w:lineRule="auto" w:before="0"/>
              <w:jc w:val="center"/>
            </w:pPr>
            <w:r>
              <w:rPr>
                <w:rFonts w:ascii="Arial" w:hAnsi="Arial"/>
                <w:color w:val="000000"/>
                <w:sz w:val="16"/>
              </w:rPr>
              <w:t>PHP {Charge/0.00}</w:t>
            </w:r>
          </w:p>
        </w:tc>
        <w:tc>
          <w:tcPr>
            <w:tcW w:type="dxa" w:w="1483"/>
            <w:tcMar>
              <w:top w:w="55" w:type="dxa"/>
              <w:start w:w="75" w:type="dxa"/>
              <w:bottom w:w="55" w:type="dxa"/>
              <w:end w:w="75" w:type="dxa"/>
            </w:tcMar>
          </w:tcPr>
          <w:p>
            <w:pPr>
              <w:widowControl/>
              <w:spacing w:after="20" w:line="264" w:lineRule="auto" w:before="0"/>
              <w:jc w:val="center"/>
            </w:pPr>
            <w:r>
              <w:rPr>
                <w:rFonts w:ascii="Arial" w:hAnsi="Arial"/>
                <w:color w:val="000000"/>
                <w:sz w:val="16"/>
              </w:rPr>
              <w:t>PHP {Total}</w:t>
            </w:r>
          </w:p>
        </w:tc>
        <w:tc>
          <w:tcPr>
            <w:tcW w:type="dxa" w:w="2160"/>
            <w:tcMar>
              <w:top w:w="55" w:type="dxa"/>
              <w:start w:w="75" w:type="dxa"/>
              <w:bottom w:w="55" w:type="dxa"/>
              <w:end w:w="75" w:type="dxa"/>
            </w:tcMar>
          </w:tcPr>
          <w:p>
            <w:pPr>
              <w:widowControl/>
              <w:spacing w:after="20" w:line="264" w:lineRule="auto" w:before="0"/>
              <w:jc w:val="center"/>
            </w:pPr>
            <w:r>
              <w:rPr>
                <w:rFonts w:ascii="Arial" w:hAnsi="Arial"/>
                <w:color w:val="000000"/>
                <w:sz w:val="16"/>
              </w:rPr>
              <w:t>PHP {Scheduled Remaining Principal}</w:t>
            </w:r>
          </w:p>
        </w:tc>
      </w:tr>
      <w:tr>
        <w:trPr>
          <w:cantSplit/>
          <w:trHeight w:hRule="atLeast"/>
        </w:trPr>
        <w:tc>
          <w:tcPr>
            <w:tcW w:type="dxa" w:w="576"/>
            <w:tcMar>
              <w:top w:w="55" w:type="dxa"/>
              <w:start w:w="75" w:type="dxa"/>
              <w:bottom w:w="55" w:type="dxa"/>
              <w:end w:w="75" w:type="dxa"/>
            </w:tcMar>
          </w:tcPr>
          <w:p>
            <w:pPr>
              <w:widowControl/>
              <w:spacing w:after="20" w:line="264" w:lineRule="auto" w:before="0"/>
              <w:jc w:val="center"/>
            </w:pPr>
            <w:r>
              <w:rPr>
                <w:rFonts w:ascii="Arial" w:hAnsi="Arial"/>
                <w:color w:val="000000"/>
                <w:sz w:val="16"/>
              </w:rPr>
              <w:t>3</w:t>
            </w:r>
          </w:p>
        </w:tc>
        <w:tc>
          <w:tcPr>
            <w:tcW w:type="dxa" w:w="1238"/>
            <w:tcMar>
              <w:top w:w="55" w:type="dxa"/>
              <w:start w:w="75" w:type="dxa"/>
              <w:bottom w:w="55" w:type="dxa"/>
              <w:end w:w="75" w:type="dxa"/>
            </w:tcMar>
          </w:tcPr>
          <w:p>
            <w:pPr>
              <w:widowControl/>
              <w:spacing w:after="20" w:line="264" w:lineRule="auto" w:before="0"/>
              <w:jc w:val="center"/>
            </w:pPr>
            <w:r>
              <w:rPr>
                <w:rFonts w:ascii="Arial" w:hAnsi="Arial"/>
                <w:color w:val="000000"/>
                <w:sz w:val="16"/>
              </w:rPr>
              <w:t>{Date}</w:t>
            </w:r>
          </w:p>
        </w:tc>
        <w:tc>
          <w:tcPr>
            <w:tcW w:type="dxa" w:w="1411"/>
            <w:tcMar>
              <w:top w:w="55" w:type="dxa"/>
              <w:start w:w="75" w:type="dxa"/>
              <w:bottom w:w="55" w:type="dxa"/>
              <w:end w:w="75" w:type="dxa"/>
            </w:tcMar>
          </w:tcPr>
          <w:p>
            <w:pPr>
              <w:widowControl/>
              <w:spacing w:after="20" w:line="264" w:lineRule="auto" w:before="0"/>
              <w:jc w:val="center"/>
            </w:pPr>
            <w:r>
              <w:rPr>
                <w:rFonts w:ascii="Arial" w:hAnsi="Arial"/>
                <w:color w:val="000000"/>
                <w:sz w:val="16"/>
              </w:rPr>
              <w:t>PHP {Principal}</w:t>
            </w:r>
          </w:p>
        </w:tc>
        <w:tc>
          <w:tcPr>
            <w:tcW w:type="dxa" w:w="1296"/>
            <w:tcMar>
              <w:top w:w="55" w:type="dxa"/>
              <w:start w:w="75" w:type="dxa"/>
              <w:bottom w:w="55" w:type="dxa"/>
              <w:end w:w="75" w:type="dxa"/>
            </w:tcMar>
          </w:tcPr>
          <w:p>
            <w:pPr>
              <w:widowControl/>
              <w:spacing w:after="20" w:line="264" w:lineRule="auto" w:before="0"/>
              <w:jc w:val="center"/>
            </w:pPr>
            <w:r>
              <w:rPr>
                <w:rFonts w:ascii="Arial" w:hAnsi="Arial"/>
                <w:color w:val="000000"/>
                <w:sz w:val="16"/>
              </w:rPr>
              <w:t>PHP {Interest}</w:t>
            </w:r>
          </w:p>
        </w:tc>
        <w:tc>
          <w:tcPr>
            <w:tcW w:type="dxa" w:w="1555"/>
            <w:tcMar>
              <w:top w:w="55" w:type="dxa"/>
              <w:start w:w="75" w:type="dxa"/>
              <w:bottom w:w="55" w:type="dxa"/>
              <w:end w:w="75" w:type="dxa"/>
            </w:tcMar>
          </w:tcPr>
          <w:p>
            <w:pPr>
              <w:widowControl/>
              <w:spacing w:after="20" w:line="264" w:lineRule="auto" w:before="0"/>
              <w:jc w:val="center"/>
            </w:pPr>
            <w:r>
              <w:rPr>
                <w:rFonts w:ascii="Arial" w:hAnsi="Arial"/>
                <w:color w:val="000000"/>
                <w:sz w:val="16"/>
              </w:rPr>
              <w:t>PHP {Charge/0.00}</w:t>
            </w:r>
          </w:p>
        </w:tc>
        <w:tc>
          <w:tcPr>
            <w:tcW w:type="dxa" w:w="1483"/>
            <w:tcMar>
              <w:top w:w="55" w:type="dxa"/>
              <w:start w:w="75" w:type="dxa"/>
              <w:bottom w:w="55" w:type="dxa"/>
              <w:end w:w="75" w:type="dxa"/>
            </w:tcMar>
          </w:tcPr>
          <w:p>
            <w:pPr>
              <w:widowControl/>
              <w:spacing w:after="20" w:line="264" w:lineRule="auto" w:before="0"/>
              <w:jc w:val="center"/>
            </w:pPr>
            <w:r>
              <w:rPr>
                <w:rFonts w:ascii="Arial" w:hAnsi="Arial"/>
                <w:color w:val="000000"/>
                <w:sz w:val="16"/>
              </w:rPr>
              <w:t>PHP {Total}</w:t>
            </w:r>
          </w:p>
        </w:tc>
        <w:tc>
          <w:tcPr>
            <w:tcW w:type="dxa" w:w="2160"/>
            <w:tcMar>
              <w:top w:w="55" w:type="dxa"/>
              <w:start w:w="75" w:type="dxa"/>
              <w:bottom w:w="55" w:type="dxa"/>
              <w:end w:w="75" w:type="dxa"/>
            </w:tcMar>
          </w:tcPr>
          <w:p>
            <w:pPr>
              <w:widowControl/>
              <w:spacing w:after="20" w:line="264" w:lineRule="auto" w:before="0"/>
              <w:jc w:val="center"/>
            </w:pPr>
            <w:r>
              <w:rPr>
                <w:rFonts w:ascii="Arial" w:hAnsi="Arial"/>
                <w:color w:val="000000"/>
                <w:sz w:val="16"/>
              </w:rPr>
              <w:t>PHP {Scheduled Remaining Principal}</w:t>
            </w:r>
          </w:p>
        </w:tc>
      </w:tr>
      <w:tr>
        <w:trPr>
          <w:cantSplit/>
          <w:trHeight w:hRule="atLeast"/>
        </w:trPr>
        <w:tc>
          <w:tcPr>
            <w:tcW w:type="dxa" w:w="576"/>
            <w:tcMar>
              <w:top w:w="55" w:type="dxa"/>
              <w:start w:w="75" w:type="dxa"/>
              <w:bottom w:w="55" w:type="dxa"/>
              <w:end w:w="75" w:type="dxa"/>
            </w:tcMar>
          </w:tcPr>
          <w:p>
            <w:pPr>
              <w:widowControl/>
              <w:spacing w:after="20" w:line="264" w:lineRule="auto" w:before="0"/>
              <w:jc w:val="center"/>
            </w:pPr>
            <w:r>
              <w:rPr>
                <w:rFonts w:ascii="Arial" w:hAnsi="Arial"/>
                <w:color w:val="000000"/>
                <w:sz w:val="16"/>
              </w:rPr>
              <w:t>4</w:t>
            </w:r>
          </w:p>
        </w:tc>
        <w:tc>
          <w:tcPr>
            <w:tcW w:type="dxa" w:w="1238"/>
            <w:tcMar>
              <w:top w:w="55" w:type="dxa"/>
              <w:start w:w="75" w:type="dxa"/>
              <w:bottom w:w="55" w:type="dxa"/>
              <w:end w:w="75" w:type="dxa"/>
            </w:tcMar>
          </w:tcPr>
          <w:p>
            <w:pPr>
              <w:widowControl/>
              <w:spacing w:after="20" w:line="264" w:lineRule="auto" w:before="0"/>
              <w:jc w:val="center"/>
            </w:pPr>
            <w:r>
              <w:rPr>
                <w:rFonts w:ascii="Arial" w:hAnsi="Arial"/>
                <w:color w:val="000000"/>
                <w:sz w:val="16"/>
              </w:rPr>
              <w:t>{Date}</w:t>
            </w:r>
          </w:p>
        </w:tc>
        <w:tc>
          <w:tcPr>
            <w:tcW w:type="dxa" w:w="1411"/>
            <w:tcMar>
              <w:top w:w="55" w:type="dxa"/>
              <w:start w:w="75" w:type="dxa"/>
              <w:bottom w:w="55" w:type="dxa"/>
              <w:end w:w="75" w:type="dxa"/>
            </w:tcMar>
          </w:tcPr>
          <w:p>
            <w:pPr>
              <w:widowControl/>
              <w:spacing w:after="20" w:line="264" w:lineRule="auto" w:before="0"/>
              <w:jc w:val="center"/>
            </w:pPr>
            <w:r>
              <w:rPr>
                <w:rFonts w:ascii="Arial" w:hAnsi="Arial"/>
                <w:color w:val="000000"/>
                <w:sz w:val="16"/>
              </w:rPr>
              <w:t>PHP {Principal}</w:t>
            </w:r>
          </w:p>
        </w:tc>
        <w:tc>
          <w:tcPr>
            <w:tcW w:type="dxa" w:w="1296"/>
            <w:tcMar>
              <w:top w:w="55" w:type="dxa"/>
              <w:start w:w="75" w:type="dxa"/>
              <w:bottom w:w="55" w:type="dxa"/>
              <w:end w:w="75" w:type="dxa"/>
            </w:tcMar>
          </w:tcPr>
          <w:p>
            <w:pPr>
              <w:widowControl/>
              <w:spacing w:after="20" w:line="264" w:lineRule="auto" w:before="0"/>
              <w:jc w:val="center"/>
            </w:pPr>
            <w:r>
              <w:rPr>
                <w:rFonts w:ascii="Arial" w:hAnsi="Arial"/>
                <w:color w:val="000000"/>
                <w:sz w:val="16"/>
              </w:rPr>
              <w:t>PHP {Interest}</w:t>
            </w:r>
          </w:p>
        </w:tc>
        <w:tc>
          <w:tcPr>
            <w:tcW w:type="dxa" w:w="1555"/>
            <w:tcMar>
              <w:top w:w="55" w:type="dxa"/>
              <w:start w:w="75" w:type="dxa"/>
              <w:bottom w:w="55" w:type="dxa"/>
              <w:end w:w="75" w:type="dxa"/>
            </w:tcMar>
          </w:tcPr>
          <w:p>
            <w:pPr>
              <w:widowControl/>
              <w:spacing w:after="20" w:line="264" w:lineRule="auto" w:before="0"/>
              <w:jc w:val="center"/>
            </w:pPr>
            <w:r>
              <w:rPr>
                <w:rFonts w:ascii="Arial" w:hAnsi="Arial"/>
                <w:color w:val="000000"/>
                <w:sz w:val="16"/>
              </w:rPr>
              <w:t>PHP {Charge/0.00}</w:t>
            </w:r>
          </w:p>
        </w:tc>
        <w:tc>
          <w:tcPr>
            <w:tcW w:type="dxa" w:w="1483"/>
            <w:tcMar>
              <w:top w:w="55" w:type="dxa"/>
              <w:start w:w="75" w:type="dxa"/>
              <w:bottom w:w="55" w:type="dxa"/>
              <w:end w:w="75" w:type="dxa"/>
            </w:tcMar>
          </w:tcPr>
          <w:p>
            <w:pPr>
              <w:widowControl/>
              <w:spacing w:after="20" w:line="264" w:lineRule="auto" w:before="0"/>
              <w:jc w:val="center"/>
            </w:pPr>
            <w:r>
              <w:rPr>
                <w:rFonts w:ascii="Arial" w:hAnsi="Arial"/>
                <w:color w:val="000000"/>
                <w:sz w:val="16"/>
              </w:rPr>
              <w:t>PHP {Total}</w:t>
            </w:r>
          </w:p>
        </w:tc>
        <w:tc>
          <w:tcPr>
            <w:tcW w:type="dxa" w:w="2160"/>
            <w:tcMar>
              <w:top w:w="55" w:type="dxa"/>
              <w:start w:w="75" w:type="dxa"/>
              <w:bottom w:w="55" w:type="dxa"/>
              <w:end w:w="75" w:type="dxa"/>
            </w:tcMar>
          </w:tcPr>
          <w:p>
            <w:pPr>
              <w:widowControl/>
              <w:spacing w:after="20" w:line="264" w:lineRule="auto" w:before="0"/>
              <w:jc w:val="center"/>
            </w:pPr>
            <w:r>
              <w:rPr>
                <w:rFonts w:ascii="Arial" w:hAnsi="Arial"/>
                <w:color w:val="000000"/>
                <w:sz w:val="16"/>
              </w:rPr>
              <w:t>PHP {Scheduled Remaining Principal}</w:t>
            </w:r>
          </w:p>
        </w:tc>
      </w:tr>
      <w:tr>
        <w:trPr>
          <w:cantSplit/>
          <w:trHeight w:hRule="atLeast"/>
        </w:trPr>
        <w:tc>
          <w:tcPr>
            <w:tcW w:type="dxa" w:w="576"/>
            <w:tcMar>
              <w:top w:w="55" w:type="dxa"/>
              <w:start w:w="75" w:type="dxa"/>
              <w:bottom w:w="55" w:type="dxa"/>
              <w:end w:w="75" w:type="dxa"/>
            </w:tcMar>
          </w:tcPr>
          <w:p>
            <w:pPr>
              <w:widowControl/>
              <w:spacing w:after="20" w:line="264" w:lineRule="auto" w:before="0"/>
              <w:jc w:val="center"/>
            </w:pPr>
            <w:r>
              <w:rPr>
                <w:rFonts w:ascii="Arial" w:hAnsi="Arial"/>
                <w:color w:val="000000"/>
                <w:sz w:val="16"/>
              </w:rPr>
              <w:t>5</w:t>
            </w:r>
          </w:p>
        </w:tc>
        <w:tc>
          <w:tcPr>
            <w:tcW w:type="dxa" w:w="1238"/>
            <w:tcMar>
              <w:top w:w="55" w:type="dxa"/>
              <w:start w:w="75" w:type="dxa"/>
              <w:bottom w:w="55" w:type="dxa"/>
              <w:end w:w="75" w:type="dxa"/>
            </w:tcMar>
          </w:tcPr>
          <w:p>
            <w:pPr>
              <w:widowControl/>
              <w:spacing w:after="20" w:line="264" w:lineRule="auto" w:before="0"/>
              <w:jc w:val="center"/>
            </w:pPr>
            <w:r>
              <w:rPr>
                <w:rFonts w:ascii="Arial" w:hAnsi="Arial"/>
                <w:color w:val="000000"/>
                <w:sz w:val="16"/>
              </w:rPr>
              <w:t>{Date}</w:t>
            </w:r>
          </w:p>
        </w:tc>
        <w:tc>
          <w:tcPr>
            <w:tcW w:type="dxa" w:w="1411"/>
            <w:tcMar>
              <w:top w:w="55" w:type="dxa"/>
              <w:start w:w="75" w:type="dxa"/>
              <w:bottom w:w="55" w:type="dxa"/>
              <w:end w:w="75" w:type="dxa"/>
            </w:tcMar>
          </w:tcPr>
          <w:p>
            <w:pPr>
              <w:widowControl/>
              <w:spacing w:after="20" w:line="264" w:lineRule="auto" w:before="0"/>
              <w:jc w:val="center"/>
            </w:pPr>
            <w:r>
              <w:rPr>
                <w:rFonts w:ascii="Arial" w:hAnsi="Arial"/>
                <w:color w:val="000000"/>
                <w:sz w:val="16"/>
              </w:rPr>
              <w:t>PHP {Principal}</w:t>
            </w:r>
          </w:p>
        </w:tc>
        <w:tc>
          <w:tcPr>
            <w:tcW w:type="dxa" w:w="1296"/>
            <w:tcMar>
              <w:top w:w="55" w:type="dxa"/>
              <w:start w:w="75" w:type="dxa"/>
              <w:bottom w:w="55" w:type="dxa"/>
              <w:end w:w="75" w:type="dxa"/>
            </w:tcMar>
          </w:tcPr>
          <w:p>
            <w:pPr>
              <w:widowControl/>
              <w:spacing w:after="20" w:line="264" w:lineRule="auto" w:before="0"/>
              <w:jc w:val="center"/>
            </w:pPr>
            <w:r>
              <w:rPr>
                <w:rFonts w:ascii="Arial" w:hAnsi="Arial"/>
                <w:color w:val="000000"/>
                <w:sz w:val="16"/>
              </w:rPr>
              <w:t>PHP {Interest}</w:t>
            </w:r>
          </w:p>
        </w:tc>
        <w:tc>
          <w:tcPr>
            <w:tcW w:type="dxa" w:w="1555"/>
            <w:tcMar>
              <w:top w:w="55" w:type="dxa"/>
              <w:start w:w="75" w:type="dxa"/>
              <w:bottom w:w="55" w:type="dxa"/>
              <w:end w:w="75" w:type="dxa"/>
            </w:tcMar>
          </w:tcPr>
          <w:p>
            <w:pPr>
              <w:widowControl/>
              <w:spacing w:after="20" w:line="264" w:lineRule="auto" w:before="0"/>
              <w:jc w:val="center"/>
            </w:pPr>
            <w:r>
              <w:rPr>
                <w:rFonts w:ascii="Arial" w:hAnsi="Arial"/>
                <w:color w:val="000000"/>
                <w:sz w:val="16"/>
              </w:rPr>
              <w:t>PHP {Charge/0.00}</w:t>
            </w:r>
          </w:p>
        </w:tc>
        <w:tc>
          <w:tcPr>
            <w:tcW w:type="dxa" w:w="1483"/>
            <w:tcMar>
              <w:top w:w="55" w:type="dxa"/>
              <w:start w:w="75" w:type="dxa"/>
              <w:bottom w:w="55" w:type="dxa"/>
              <w:end w:w="75" w:type="dxa"/>
            </w:tcMar>
          </w:tcPr>
          <w:p>
            <w:pPr>
              <w:widowControl/>
              <w:spacing w:after="20" w:line="264" w:lineRule="auto" w:before="0"/>
              <w:jc w:val="center"/>
            </w:pPr>
            <w:r>
              <w:rPr>
                <w:rFonts w:ascii="Arial" w:hAnsi="Arial"/>
                <w:color w:val="000000"/>
                <w:sz w:val="16"/>
              </w:rPr>
              <w:t>PHP {Total}</w:t>
            </w:r>
          </w:p>
        </w:tc>
        <w:tc>
          <w:tcPr>
            <w:tcW w:type="dxa" w:w="2160"/>
            <w:tcMar>
              <w:top w:w="55" w:type="dxa"/>
              <w:start w:w="75" w:type="dxa"/>
              <w:bottom w:w="55" w:type="dxa"/>
              <w:end w:w="75" w:type="dxa"/>
            </w:tcMar>
          </w:tcPr>
          <w:p>
            <w:pPr>
              <w:widowControl/>
              <w:spacing w:after="20" w:line="264" w:lineRule="auto" w:before="0"/>
              <w:jc w:val="center"/>
            </w:pPr>
            <w:r>
              <w:rPr>
                <w:rFonts w:ascii="Arial" w:hAnsi="Arial"/>
                <w:color w:val="000000"/>
                <w:sz w:val="16"/>
              </w:rPr>
              <w:t>PHP {Scheduled Remaining Principal}</w:t>
            </w:r>
          </w:p>
        </w:tc>
      </w:tr>
      <w:tr>
        <w:trPr>
          <w:cantSplit/>
          <w:trHeight w:hRule="atLeast"/>
        </w:trPr>
        <w:tc>
          <w:tcPr>
            <w:tcW w:type="dxa" w:w="576"/>
            <w:tcMar>
              <w:top w:w="55" w:type="dxa"/>
              <w:start w:w="75" w:type="dxa"/>
              <w:bottom w:w="55" w:type="dxa"/>
              <w:end w:w="75" w:type="dxa"/>
            </w:tcMar>
          </w:tcPr>
          <w:p>
            <w:pPr>
              <w:widowControl/>
              <w:spacing w:after="20" w:line="264" w:lineRule="auto" w:before="0"/>
              <w:jc w:val="center"/>
            </w:pPr>
            <w:r>
              <w:rPr>
                <w:rFonts w:ascii="Arial" w:hAnsi="Arial"/>
                <w:color w:val="000000"/>
                <w:sz w:val="16"/>
              </w:rPr>
              <w:t>6</w:t>
            </w:r>
          </w:p>
        </w:tc>
        <w:tc>
          <w:tcPr>
            <w:tcW w:type="dxa" w:w="1238"/>
            <w:tcMar>
              <w:top w:w="55" w:type="dxa"/>
              <w:start w:w="75" w:type="dxa"/>
              <w:bottom w:w="55" w:type="dxa"/>
              <w:end w:w="75" w:type="dxa"/>
            </w:tcMar>
          </w:tcPr>
          <w:p>
            <w:pPr>
              <w:widowControl/>
              <w:spacing w:after="20" w:line="264" w:lineRule="auto" w:before="0"/>
              <w:jc w:val="center"/>
            </w:pPr>
            <w:r>
              <w:rPr>
                <w:rFonts w:ascii="Arial" w:hAnsi="Arial"/>
                <w:color w:val="000000"/>
                <w:sz w:val="16"/>
              </w:rPr>
              <w:t>{Date}</w:t>
            </w:r>
          </w:p>
        </w:tc>
        <w:tc>
          <w:tcPr>
            <w:tcW w:type="dxa" w:w="1411"/>
            <w:tcMar>
              <w:top w:w="55" w:type="dxa"/>
              <w:start w:w="75" w:type="dxa"/>
              <w:bottom w:w="55" w:type="dxa"/>
              <w:end w:w="75" w:type="dxa"/>
            </w:tcMar>
          </w:tcPr>
          <w:p>
            <w:pPr>
              <w:widowControl/>
              <w:spacing w:after="20" w:line="264" w:lineRule="auto" w:before="0"/>
              <w:jc w:val="center"/>
            </w:pPr>
            <w:r>
              <w:rPr>
                <w:rFonts w:ascii="Arial" w:hAnsi="Arial"/>
                <w:color w:val="000000"/>
                <w:sz w:val="16"/>
              </w:rPr>
              <w:t>PHP {Principal}</w:t>
            </w:r>
          </w:p>
        </w:tc>
        <w:tc>
          <w:tcPr>
            <w:tcW w:type="dxa" w:w="1296"/>
            <w:tcMar>
              <w:top w:w="55" w:type="dxa"/>
              <w:start w:w="75" w:type="dxa"/>
              <w:bottom w:w="55" w:type="dxa"/>
              <w:end w:w="75" w:type="dxa"/>
            </w:tcMar>
          </w:tcPr>
          <w:p>
            <w:pPr>
              <w:widowControl/>
              <w:spacing w:after="20" w:line="264" w:lineRule="auto" w:before="0"/>
              <w:jc w:val="center"/>
            </w:pPr>
            <w:r>
              <w:rPr>
                <w:rFonts w:ascii="Arial" w:hAnsi="Arial"/>
                <w:color w:val="000000"/>
                <w:sz w:val="16"/>
              </w:rPr>
              <w:t>PHP {Interest}</w:t>
            </w:r>
          </w:p>
        </w:tc>
        <w:tc>
          <w:tcPr>
            <w:tcW w:type="dxa" w:w="1555"/>
            <w:tcMar>
              <w:top w:w="55" w:type="dxa"/>
              <w:start w:w="75" w:type="dxa"/>
              <w:bottom w:w="55" w:type="dxa"/>
              <w:end w:w="75" w:type="dxa"/>
            </w:tcMar>
          </w:tcPr>
          <w:p>
            <w:pPr>
              <w:widowControl/>
              <w:spacing w:after="20" w:line="264" w:lineRule="auto" w:before="0"/>
              <w:jc w:val="center"/>
            </w:pPr>
            <w:r>
              <w:rPr>
                <w:rFonts w:ascii="Arial" w:hAnsi="Arial"/>
                <w:color w:val="000000"/>
                <w:sz w:val="16"/>
              </w:rPr>
              <w:t>PHP {Charge/0.00}</w:t>
            </w:r>
          </w:p>
        </w:tc>
        <w:tc>
          <w:tcPr>
            <w:tcW w:type="dxa" w:w="1483"/>
            <w:tcMar>
              <w:top w:w="55" w:type="dxa"/>
              <w:start w:w="75" w:type="dxa"/>
              <w:bottom w:w="55" w:type="dxa"/>
              <w:end w:w="75" w:type="dxa"/>
            </w:tcMar>
          </w:tcPr>
          <w:p>
            <w:pPr>
              <w:widowControl/>
              <w:spacing w:after="20" w:line="264" w:lineRule="auto" w:before="0"/>
              <w:jc w:val="center"/>
            </w:pPr>
            <w:r>
              <w:rPr>
                <w:rFonts w:ascii="Arial" w:hAnsi="Arial"/>
                <w:color w:val="000000"/>
                <w:sz w:val="16"/>
              </w:rPr>
              <w:t>PHP {Total}</w:t>
            </w:r>
          </w:p>
        </w:tc>
        <w:tc>
          <w:tcPr>
            <w:tcW w:type="dxa" w:w="2160"/>
            <w:tcMar>
              <w:top w:w="55" w:type="dxa"/>
              <w:start w:w="75" w:type="dxa"/>
              <w:bottom w:w="55" w:type="dxa"/>
              <w:end w:w="75" w:type="dxa"/>
            </w:tcMar>
          </w:tcPr>
          <w:p>
            <w:pPr>
              <w:widowControl/>
              <w:spacing w:after="20" w:line="264" w:lineRule="auto" w:before="0"/>
              <w:jc w:val="center"/>
            </w:pPr>
            <w:r>
              <w:rPr>
                <w:rFonts w:ascii="Arial" w:hAnsi="Arial"/>
                <w:color w:val="000000"/>
                <w:sz w:val="16"/>
              </w:rPr>
              <w:t>PHP {Scheduled Remaining Principal}</w:t>
            </w:r>
          </w:p>
        </w:tc>
      </w:tr>
      <w:tr>
        <w:trPr>
          <w:cantSplit/>
          <w:trHeight w:hRule="atLeast"/>
        </w:trPr>
        <w:tc>
          <w:tcPr>
            <w:tcW w:type="dxa" w:w="576"/>
            <w:tcMar>
              <w:top w:w="55" w:type="dxa"/>
              <w:start w:w="75" w:type="dxa"/>
              <w:bottom w:w="55" w:type="dxa"/>
              <w:end w:w="75" w:type="dxa"/>
            </w:tcMar>
          </w:tcPr>
          <w:p>
            <w:pPr>
              <w:widowControl/>
              <w:spacing w:after="20" w:line="264" w:lineRule="auto" w:before="0"/>
              <w:jc w:val="center"/>
            </w:pPr>
            <w:r>
              <w:rPr>
                <w:rFonts w:ascii="Arial" w:hAnsi="Arial"/>
                <w:color w:val="000000"/>
                <w:sz w:val="16"/>
              </w:rPr>
              <w:t>7</w:t>
            </w:r>
          </w:p>
        </w:tc>
        <w:tc>
          <w:tcPr>
            <w:tcW w:type="dxa" w:w="1238"/>
            <w:tcMar>
              <w:top w:w="55" w:type="dxa"/>
              <w:start w:w="75" w:type="dxa"/>
              <w:bottom w:w="55" w:type="dxa"/>
              <w:end w:w="75" w:type="dxa"/>
            </w:tcMar>
          </w:tcPr>
          <w:p>
            <w:pPr>
              <w:widowControl/>
              <w:spacing w:after="20" w:line="264" w:lineRule="auto" w:before="0"/>
              <w:jc w:val="center"/>
            </w:pPr>
            <w:r>
              <w:rPr>
                <w:rFonts w:ascii="Arial" w:hAnsi="Arial"/>
                <w:color w:val="000000"/>
                <w:sz w:val="16"/>
              </w:rPr>
              <w:t>{Date}</w:t>
            </w:r>
          </w:p>
        </w:tc>
        <w:tc>
          <w:tcPr>
            <w:tcW w:type="dxa" w:w="1411"/>
            <w:tcMar>
              <w:top w:w="55" w:type="dxa"/>
              <w:start w:w="75" w:type="dxa"/>
              <w:bottom w:w="55" w:type="dxa"/>
              <w:end w:w="75" w:type="dxa"/>
            </w:tcMar>
          </w:tcPr>
          <w:p>
            <w:pPr>
              <w:widowControl/>
              <w:spacing w:after="20" w:line="264" w:lineRule="auto" w:before="0"/>
              <w:jc w:val="center"/>
            </w:pPr>
            <w:r>
              <w:rPr>
                <w:rFonts w:ascii="Arial" w:hAnsi="Arial"/>
                <w:color w:val="000000"/>
                <w:sz w:val="16"/>
              </w:rPr>
              <w:t>PHP {Principal}</w:t>
            </w:r>
          </w:p>
        </w:tc>
        <w:tc>
          <w:tcPr>
            <w:tcW w:type="dxa" w:w="1296"/>
            <w:tcMar>
              <w:top w:w="55" w:type="dxa"/>
              <w:start w:w="75" w:type="dxa"/>
              <w:bottom w:w="55" w:type="dxa"/>
              <w:end w:w="75" w:type="dxa"/>
            </w:tcMar>
          </w:tcPr>
          <w:p>
            <w:pPr>
              <w:widowControl/>
              <w:spacing w:after="20" w:line="264" w:lineRule="auto" w:before="0"/>
              <w:jc w:val="center"/>
            </w:pPr>
            <w:r>
              <w:rPr>
                <w:rFonts w:ascii="Arial" w:hAnsi="Arial"/>
                <w:color w:val="000000"/>
                <w:sz w:val="16"/>
              </w:rPr>
              <w:t>PHP {Interest}</w:t>
            </w:r>
          </w:p>
        </w:tc>
        <w:tc>
          <w:tcPr>
            <w:tcW w:type="dxa" w:w="1555"/>
            <w:tcMar>
              <w:top w:w="55" w:type="dxa"/>
              <w:start w:w="75" w:type="dxa"/>
              <w:bottom w:w="55" w:type="dxa"/>
              <w:end w:w="75" w:type="dxa"/>
            </w:tcMar>
          </w:tcPr>
          <w:p>
            <w:pPr>
              <w:widowControl/>
              <w:spacing w:after="20" w:line="264" w:lineRule="auto" w:before="0"/>
              <w:jc w:val="center"/>
            </w:pPr>
            <w:r>
              <w:rPr>
                <w:rFonts w:ascii="Arial" w:hAnsi="Arial"/>
                <w:color w:val="000000"/>
                <w:sz w:val="16"/>
              </w:rPr>
              <w:t>PHP {Charge/0.00}</w:t>
            </w:r>
          </w:p>
        </w:tc>
        <w:tc>
          <w:tcPr>
            <w:tcW w:type="dxa" w:w="1483"/>
            <w:tcMar>
              <w:top w:w="55" w:type="dxa"/>
              <w:start w:w="75" w:type="dxa"/>
              <w:bottom w:w="55" w:type="dxa"/>
              <w:end w:w="75" w:type="dxa"/>
            </w:tcMar>
          </w:tcPr>
          <w:p>
            <w:pPr>
              <w:widowControl/>
              <w:spacing w:after="20" w:line="264" w:lineRule="auto" w:before="0"/>
              <w:jc w:val="center"/>
            </w:pPr>
            <w:r>
              <w:rPr>
                <w:rFonts w:ascii="Arial" w:hAnsi="Arial"/>
                <w:color w:val="000000"/>
                <w:sz w:val="16"/>
              </w:rPr>
              <w:t>PHP {Total}</w:t>
            </w:r>
          </w:p>
        </w:tc>
        <w:tc>
          <w:tcPr>
            <w:tcW w:type="dxa" w:w="2160"/>
            <w:tcMar>
              <w:top w:w="55" w:type="dxa"/>
              <w:start w:w="75" w:type="dxa"/>
              <w:bottom w:w="55" w:type="dxa"/>
              <w:end w:w="75" w:type="dxa"/>
            </w:tcMar>
          </w:tcPr>
          <w:p>
            <w:pPr>
              <w:widowControl/>
              <w:spacing w:after="20" w:line="264" w:lineRule="auto" w:before="0"/>
              <w:jc w:val="center"/>
            </w:pPr>
            <w:r>
              <w:rPr>
                <w:rFonts w:ascii="Arial" w:hAnsi="Arial"/>
                <w:color w:val="000000"/>
                <w:sz w:val="16"/>
              </w:rPr>
              <w:t>PHP {Scheduled Remaining Principal}</w:t>
            </w:r>
          </w:p>
        </w:tc>
      </w:tr>
    </w:tbl>
    <w:p>
      <w:pPr>
        <w:pStyle w:val="RevisionNote"/>
        <w:keepLines/>
        <w:widowControl/>
        <w:spacing w:line="276" w:lineRule="auto" w:after="120" w:before="0"/>
      </w:pPr>
      <w:r>
        <w:rPr>
          <w:rFonts w:ascii="Arial" w:hAnsi="Arial"/>
          <w:color w:val="000000"/>
          <w:sz w:val="18"/>
        </w:rPr>
        <w:t>* Scheduled Remaining Principal: The principal expected to remain after that contractual installment, assuming all scheduled payments are made fully and on time. It excludes interest, fees and penalties and is not the borrower's live account balance or payoff amount.</w:t>
      </w:r>
    </w:p>
    <w:p>
      <w:pPr>
        <w:pStyle w:val="CompactLegal"/>
        <w:keepNext w:val="0"/>
        <w:keepLines/>
        <w:widowControl/>
        <w:spacing w:before="0" w:line="276" w:lineRule="auto" w:after="120"/>
      </w:pPr>
      <w:r>
        <w:rPr>
          <w:rFonts w:ascii="Arial" w:hAnsi="Arial"/>
          <w:b w:val="0"/>
          <w:color w:val="000000"/>
          <w:sz w:val="21"/>
        </w:rPr>
        <w:t>The signed contractual schedule is the original contractual reference. After release, SPINA may display a separate Current Operational Schedule reflecting actual posted transactions. That operational display does not silently rewrite the signed material terms or the historical Annex A.</w:t>
      </w:r>
    </w:p>
    <w:p>
      <w:pPr>
        <w:pStyle w:val="AgreementSection"/>
        <w:keepNext/>
        <w:keepLines/>
        <w:pageBreakBefore/>
        <w:widowControl/>
        <w:spacing w:before="160" w:line="276" w:lineRule="auto" w:after="120"/>
      </w:pPr>
      <w:r>
        <w:rPr>
          <w:rFonts w:ascii="Arial" w:hAnsi="Arial"/>
          <w:b/>
          <w:color w:val="000000"/>
          <w:sz w:val="22"/>
        </w:rPr>
        <w:t>CONDITIONAL NOTARIAL ACKNOWLEDGMENT</w:t>
      </w:r>
    </w:p>
    <w:p>
      <w:pPr>
        <w:pStyle w:val="SmallLegalNote"/>
        <w:keepNext w:val="0"/>
        <w:keepLines/>
        <w:widowControl/>
        <w:spacing w:before="0" w:line="276" w:lineRule="auto" w:after="120"/>
      </w:pPr>
      <w:r>
        <w:rPr>
          <w:rFonts w:ascii="Arial" w:hAnsi="Arial"/>
          <w:b w:val="0"/>
          <w:color w:val="000000"/>
          <w:sz w:val="18"/>
        </w:rPr>
        <w:t>INCLUDE THIS BLOCK ONLY WHEN NOTARIZATION IS REQUIRED under SPINA’s approved internal policy or Management’s documented exceptional-risk decision. The current internal policy normally requires notarization for approved principal of PHP 50,000 or more, subject to counsel review and Management configuration. When included, the final generated page count must be inserted automatically and the notarial particulars are completed by the notary/counsel-controlled execution process.</w:t>
      </w:r>
    </w:p>
    <w:p>
      <w:pPr>
        <w:pStyle w:val="CompactLegal"/>
        <w:keepNext w:val="0"/>
        <w:keepLines/>
        <w:widowControl/>
        <w:spacing w:before="0" w:line="276" w:lineRule="auto" w:after="120"/>
      </w:pPr>
      <w:r>
        <w:rPr>
          <w:rFonts w:ascii="Arial" w:hAnsi="Arial"/>
          <w:b w:val="0"/>
          <w:color w:val="000000"/>
          <w:sz w:val="21"/>
        </w:rPr>
        <w:t>REPUBLIC OF THE PHILIPPINES )</w:t>
      </w:r>
    </w:p>
    <w:p>
      <w:pPr>
        <w:pStyle w:val="CompactLegal"/>
        <w:keepNext w:val="0"/>
        <w:keepLines/>
        <w:widowControl/>
        <w:spacing w:before="0" w:line="276" w:lineRule="auto" w:after="120"/>
      </w:pPr>
      <w:r>
        <w:rPr>
          <w:rFonts w:ascii="Arial" w:hAnsi="Arial"/>
          <w:b w:val="0"/>
          <w:color w:val="000000"/>
          <w:sz w:val="21"/>
        </w:rPr>
        <w:t>{City / Municipality}              ) S.S.</w:t>
      </w:r>
    </w:p>
    <w:p>
      <w:pPr>
        <w:pStyle w:val="CompactLegal"/>
        <w:keepNext w:val="0"/>
        <w:keepLines/>
        <w:widowControl/>
        <w:spacing w:before="0" w:line="276" w:lineRule="auto" w:after="120"/>
      </w:pPr>
      <w:r>
        <w:rPr>
          <w:rFonts w:ascii="Arial" w:hAnsi="Arial"/>
          <w:b w:val="0"/>
          <w:color w:val="000000"/>
          <w:sz w:val="21"/>
        </w:rPr>
        <w:t>BEFORE ME, a Notary Public for and in {Place}, Philippines, on {Notarial Date}, personally appeared the persons identified below, who acknowledged that they executed the foregoing Cash Loan Agreement as their free and voluntary act and deed and, where applicable, that the authorized company representative acted for the LENDER.</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4860"/>
        <w:gridCol w:w="4860"/>
      </w:tblGrid>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Authorized Company Representative</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{System-confirmed authorized representative / ID details as completed for notarization}</w:t>
            </w:r>
          </w:p>
        </w:tc>
      </w:tr>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Borrower</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{Verified Borrower / competent evidence of identity details}</w:t>
            </w:r>
          </w:p>
        </w:tc>
      </w:tr>
      <w:tr>
        <w:trPr>
          <w:cantSplit/>
          <w:trHeight w:hRule="atLeast"/>
        </w:trPr>
        <w:tc>
          <w:tcPr>
            <w:tcW w:type="dxa" w:w="4860"/>
            <w:vAlign w:val="center"/>
            <w:tcMar>
              <w:top w:w="55" w:type="dxa"/>
              <w:start w:w="75" w:type="dxa"/>
              <w:bottom w:w="55" w:type="dxa"/>
              <w:end w:w="75" w:type="dxa"/>
            </w:tcMar>
            <w:shd w:fill="F2F2F2" w:color="auto"/>
          </w:tcPr>
          <w:p>
            <w:pPr>
              <w:widowControl/>
              <w:spacing w:after="20" w:line="264" w:lineRule="auto" w:before="0"/>
            </w:pPr>
            <w:r>
              <w:rPr>
                <w:rFonts w:ascii="Arial" w:hAnsi="Arial"/>
                <w:b/>
                <w:color w:val="000000"/>
                <w:sz w:val="20"/>
              </w:rPr>
              <w:t>Final Document Page Count</w:t>
            </w:r>
          </w:p>
        </w:tc>
        <w:tc>
          <w:tcPr>
            <w:tcW w:type="dxa" w:w="4860"/>
            <w:vAlign w:val="center"/>
            <w:tcMar>
              <w:top w:w="55" w:type="dxa"/>
              <w:start w:w="75" w:type="dxa"/>
              <w:bottom w:w="55" w:type="dxa"/>
              <w:end w:w="75" w:type="dxa"/>
            </w:tcMar>
          </w:tcPr>
          <w:p>
            <w:pPr>
              <w:widowControl/>
              <w:spacing w:after="20" w:line="264" w:lineRule="auto" w:before="0"/>
            </w:pPr>
            <w:r>
              <w:rPr>
                <w:rFonts w:ascii="Arial" w:hAnsi="Arial"/>
                <w:color w:val="000000"/>
                <w:sz w:val="20"/>
              </w:rPr>
              <w:t>{System-generated actual final page count including applicable annexes}</w:t>
            </w:r>
          </w:p>
        </w:tc>
      </w:tr>
    </w:tbl>
    <w:p>
      <w:pPr>
        <w:pStyle w:val="CompactLegal"/>
        <w:keepNext w:val="0"/>
        <w:keepLines/>
        <w:widowControl/>
        <w:spacing w:before="0" w:line="276" w:lineRule="auto" w:after="120"/>
      </w:pPr>
      <w:r>
        <w:rPr>
          <w:rFonts w:ascii="Arial" w:hAnsi="Arial"/>
          <w:b/>
          <w:color w:val="000000"/>
          <w:sz w:val="21"/>
        </w:rPr>
        <w:t>NOTARY PUBLIC</w:t>
      </w:r>
    </w:p>
    <w:p>
      <w:pPr>
        <w:pStyle w:val="CompactLegal"/>
        <w:keepNext w:val="0"/>
        <w:keepLines/>
        <w:widowControl/>
        <w:spacing w:before="0" w:line="276" w:lineRule="auto" w:after="120"/>
      </w:pPr>
      <w:r>
        <w:rPr>
          <w:rFonts w:ascii="Arial" w:hAnsi="Arial"/>
          <w:b w:val="0"/>
          <w:color w:val="000000"/>
          <w:sz w:val="21"/>
        </w:rPr>
        <w:t>Doc. No. _____;   Page No. _____;   Book No. _____;   Series of {Year}.</w:t>
      </w:r>
    </w:p>
    <w:sectPr w:rsidR="00FC693F" w:rsidRPr="0006063C" w:rsidSect="00034616">
      <w:headerReference w:type="default" r:id="rId9"/>
      <w:footerReference w:type="default" r:id="rId10"/>
      <w:pgSz w:w="11520" w:h="18720"/>
      <w:pgMar w:top="1469" w:right="900" w:bottom="1037" w:left="900" w:header="403"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40" w:lineRule="auto"/>
      <w:jc w:val="center"/>
    </w:pPr>
    <w:r>
      <w:rPr>
        <w:rFonts w:ascii="Arial" w:hAnsi="Arial"/>
        <w:color w:val="000000"/>
        <w:sz w:val="15"/>
      </w:rPr>
      <w:t>Doc: {Document ID} | Template: {Template Version} | Packet: {Packet Version}</w:t>
    </w:r>
  </w:p>
  <w:p>
    <w:pPr>
      <w:spacing w:after="0" w:line="240" w:lineRule="auto"/>
      <w:jc w:val="center"/>
    </w:pPr>
    <w:r>
      <w:rPr>
        <w:rFonts w:ascii="Arial" w:hAnsi="Arial"/>
        <w:color w:val="000000"/>
        <w:sz w:val="15"/>
      </w:rPr>
      <w:t xml:space="preserve">Generated: {Server Date/Time and Time Zone} | Working R4 | Page </w:t>
    </w:r>
    <w:r>
      <w:rPr>
        <w:rFonts w:ascii="Arial" w:hAnsi="Arial"/>
        <w:color w:val="000000"/>
        <w:sz w:val="15"/>
      </w:rPr>
      <w:fldChar w:fldCharType="begin"/>
      <w:instrText xml:space="preserve"> PAGE </w:instrText>
      <w:fldChar w:fldCharType="separate"/>
      <w:t>1</w:t>
      <w:fldChar w:fldCharType="end"/>
    </w:r>
    <w:r>
      <w:rPr>
        <w:rFonts w:ascii="Arial" w:hAnsi="Arial"/>
        <w:color w:val="000000"/>
        <w:sz w:val="15"/>
      </w:rPr>
      <w:t xml:space="preserve"> of </w:t>
    </w:r>
    <w:r>
      <w:rPr>
        <w:rFonts w:ascii="Arial" w:hAnsi="Arial"/>
        <w:color w:val="000000"/>
        <w:sz w:val="15"/>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40" w:lineRule="auto"/>
    </w:pPr>
    <w:r>
      <w:drawing>
        <wp:inline xmlns:a="http://schemas.openxmlformats.org/drawingml/2006/main" xmlns:pic="http://schemas.openxmlformats.org/drawingml/2006/picture">
          <wp:extent cx="347472" cy="347472"/>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347472" cy="347472"/>
                  </a:xfrm>
                  <a:prstGeom prst="rect"/>
                </pic:spPr>
              </pic:pic>
            </a:graphicData>
          </a:graphic>
        </wp:inline>
      </w:drawing>
    </w:r>
    <w:r>
      <w:rPr>
        <w:rFonts w:ascii="Arial" w:hAnsi="Arial"/>
        <w:b/>
        <w:color w:val="000000"/>
        <w:sz w:val="22"/>
      </w:rPr>
      <w:t xml:space="preserve">  SPINA LENDING COMPANY</w:t>
    </w:r>
  </w:p>
  <w:p>
    <w:pPr>
      <w:spacing w:after="0" w:line="240" w:lineRule="auto"/>
    </w:pPr>
    <w:r>
      <w:rPr>
        <w:rFonts w:ascii="Arial" w:hAnsi="Arial"/>
        <w:color w:val="000000"/>
        <w:sz w:val="16"/>
      </w:rPr>
      <w:t>{Registered Lender Name} | {Registered Office Address}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40" w:line="240" w:lineRule="auto"/>
      <w:contextualSpacing/>
    </w:pPr>
    <w:rPr>
      <w:rFonts w:asciiTheme="majorHAnsi" w:eastAsiaTheme="majorEastAsia" w:hAnsiTheme="majorHAnsi" w:cstheme="majorBidi" w:ascii="Aptos" w:hAnsi="Aptos"/>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F2F2F2"/>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2F2F2"/>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2F2F2"/>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2F2F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2F2F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F2F2F2"/>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F2F2F2"/>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2F2F2"/>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2F2F2"/>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2F2F2"/>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2F2F2"/>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2F2F2"/>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2F2F2"/>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F2F2F2"/>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2F2F2"/>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F2F2F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F2F2F2"/>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F2F2F2"/>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F2F2F2"/>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2F2F2"/>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F2F2F2"/>
      </w:tcPr>
    </w:tblStylePr>
    <w:tblStylePr w:type="band1Horz">
      <w:tblPr/>
      <w:tcPr>
        <w:shd w:val="clear" w:color="auto" w:fill="F2F2F2"/>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2F2F2"/>
      </w:tcPr>
    </w:tblStylePr>
    <w:tblStylePr w:type="band1Horz">
      <w:tblPr/>
      <w:tcPr>
        <w:shd w:val="clear" w:color="auto" w:fill="F2F2F2"/>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2F2F2"/>
      </w:tcPr>
    </w:tblStylePr>
    <w:tblStylePr w:type="band1Horz">
      <w:tblPr/>
      <w:tcPr>
        <w:shd w:val="clear" w:color="auto" w:fill="F2F2F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F2F2F2"/>
      </w:tcPr>
    </w:tblStylePr>
    <w:tblStylePr w:type="band1Horz">
      <w:tblPr/>
      <w:tcPr>
        <w:shd w:val="clear" w:color="auto" w:fill="F2F2F2"/>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2F2F2"/>
      </w:tcPr>
    </w:tblStylePr>
    <w:tblStylePr w:type="band1Horz">
      <w:tblPr/>
      <w:tcPr>
        <w:shd w:val="clear" w:color="auto" w:fill="F2F2F2"/>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2F2F2"/>
      </w:tcPr>
    </w:tblStylePr>
    <w:tblStylePr w:type="band1Horz">
      <w:tblPr/>
      <w:tcPr>
        <w:shd w:val="clear" w:color="auto" w:fill="F2F2F2"/>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2F2F2"/>
      </w:tcPr>
    </w:tblStylePr>
    <w:tblStylePr w:type="band1Horz">
      <w:tblPr/>
      <w:tcPr>
        <w:shd w:val="clear" w:color="auto" w:fill="F2F2F2"/>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000000" w:themeColor="text1"/>
          <w:insideV w:val="single" w:sz="6" w:space="0" w:color="000000" w:themeColor="text1"/>
        </w:tcBorders>
        <w:shd w:val="clear" w:color="auto" w:fill="F2F2F2"/>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4F81BD" w:themeColor="accent1"/>
          <w:insideV w:val="single" w:sz="6" w:space="0" w:color="4F81BD" w:themeColor="accent1"/>
        </w:tcBorders>
        <w:shd w:val="clear" w:color="auto" w:fill="F2F2F2"/>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C0504D" w:themeColor="accent2"/>
          <w:insideV w:val="single" w:sz="6" w:space="0" w:color="C0504D" w:themeColor="accent2"/>
        </w:tcBorders>
        <w:shd w:val="clear" w:color="auto" w:fill="F2F2F2"/>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9BBB59" w:themeColor="accent3"/>
          <w:insideV w:val="single" w:sz="6" w:space="0" w:color="9BBB59" w:themeColor="accent3"/>
        </w:tcBorders>
        <w:shd w:val="clear" w:color="auto" w:fill="F2F2F2"/>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8064A2" w:themeColor="accent4"/>
          <w:insideV w:val="single" w:sz="6" w:space="0" w:color="8064A2" w:themeColor="accent4"/>
        </w:tcBorders>
        <w:shd w:val="clear" w:color="auto" w:fill="F2F2F2"/>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4BACC6" w:themeColor="accent5"/>
          <w:insideV w:val="single" w:sz="6" w:space="0" w:color="4BACC6" w:themeColor="accent5"/>
        </w:tcBorders>
        <w:shd w:val="clear" w:color="auto" w:fill="F2F2F2"/>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F79646" w:themeColor="accent6"/>
          <w:insideV w:val="single" w:sz="6" w:space="0" w:color="F79646" w:themeColor="accent6"/>
        </w:tcBorders>
        <w:shd w:val="clear" w:color="auto" w:fill="F2F2F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paragraph" w:customStyle="1" w:styleId="AgreementSection">
    <w:name w:val="Agreement Section"/>
    <w:pPr>
      <w:keepNext/>
      <w:spacing w:before="180" w:after="80"/>
    </w:pPr>
    <w:rPr>
      <w:rFonts w:ascii="Aptos" w:hAnsi="Aptos"/>
      <w:b/>
      <w:color w:val="000000"/>
      <w:sz w:val="21"/>
    </w:rPr>
  </w:style>
  <w:style w:type="paragraph" w:customStyle="1" w:styleId="CompactLegal">
    <w:name w:val="Compact Legal"/>
    <w:pPr>
      <w:spacing w:line="254" w:lineRule="auto" w:after="60"/>
    </w:pPr>
    <w:rPr>
      <w:rFonts w:ascii="Aptos" w:hAnsi="Aptos"/>
      <w:color w:val="000000"/>
      <w:sz w:val="18"/>
    </w:rPr>
  </w:style>
  <w:style w:type="paragraph" w:customStyle="1" w:styleId="SmallLegalNote">
    <w:name w:val="Small Legal Note"/>
    <w:pPr>
      <w:spacing w:line="240" w:lineRule="auto" w:after="60"/>
    </w:pPr>
    <w:rPr>
      <w:rFonts w:ascii="Aptos" w:hAnsi="Aptos"/>
      <w:i/>
      <w:color w:val="000000"/>
      <w:sz w:val="16"/>
    </w:rPr>
  </w:style>
  <w:style w:type="paragraph" w:customStyle="1" w:styleId="RevisionNote">
    <w:name w:val="Revision Note"/>
    <w:pPr>
      <w:spacing w:line="276" w:lineRule="auto" w:after="120"/>
    </w:pPr>
    <w:rPr>
      <w:rFonts w:ascii="Arial" w:hAnsi="Arial"/>
      <w:sz w:val="18"/>
    </w:rPr>
  </w:style>
  <w:style w:type="paragraph" w:customStyle="1" w:styleId="RevisionHeading">
    <w:name w:val="Revision Heading"/>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Cash Loan Agreement R4 — DST/GRT itemization working draft</dc:title>
  <dc:subject/>
  <dc:creator>SPINA</dc:creator>
  <cp:keywords/>
  <dc:description>Working template revision: approved Scheduled Remaining Principal label and definition. Not an issued borrower document.</dc:description>
  <cp:lastModifiedBy>SPINA</cp:lastModifiedBy>
  <cp:revision>1</cp:revision>
  <dcterms:created xsi:type="dcterms:W3CDTF">2013-12-23T23:15:00Z</dcterms:created>
  <dcterms:modified xsi:type="dcterms:W3CDTF">2013-12-23T23:15:00Z</dcterms:modified>
  <cp:category/>
</cp:coreProperties>
</file>