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0"/>
        </w:rPr>
        <w:t xml:space="preserve">DecodeBench-ROCm: Characterizing and Optimizing Decode-Phase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0"/>
        </w:rPr>
        <w:t xml:space="preserve">Bottlenecks for Reasoning-Heavy LLM Inference on AMD MI300X GPUs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Govind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Arun, Anna Thomas</w:t>
        <w:br w:type="textWrapping"/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University of Maryland, College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Reasoning-heavy large language model workloads—including long-chain chain-of-thought, long-context multi-hop reasoning, and self-consistency sampling—generate thousands of decode-phase tokens per request, creating unprecedented memory bandwidth and scheduling pressure on GPU accelerators. Despite the AMD MI300X’s industry-leading 192 GB HBM3 capacity and 5.3 TB/s bandwidth, the decode-phase performance characteristics of these workloads remain uncharacterized on the ROCm software stack, leaving critical optimization opportunities unexplored.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Abstract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sdt>
        <w:sdtPr>
          <w:id w:val="6584028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We introduce DecodeBench-ROCm, the first systematic benchmark suite for characterizing decode-phase bottlenecks in reasoning-heavy LLM inference on AMD Instinct MI300X GPUs. Our benchmark evaluates Llama-3.1-8B-Instruct across three reasoning regimes—Long-Chain Chain-of-Thought (LC-CoT), Long-Context Reasoning (LCR), and Self-Consistency (SC) sampling—under a comprehensive six-phase ablation study spanning 40 configurations. Our preliminary results on a 5×MI300X cluster using ROCm 6.3.1, PyTorch 2.7, and vLLM 0.7.4 reveal several critical findings: FP8 KV cache quantization reduces self-consistency decode latency by 62% (37.04↦13.91 ms TPOT) while doubling available KV cache blocks; CUDA graph capture achieves 1.50× speedup over eager execution; multi-step scheduling peaks at 10 steps with +7.6% throughput; and per-token decode latency remains remarkably constant at ~5.24 ms across output lengths from 128 to 4096 tokens, demonstrating that throughput degradation is driven by memory allocation rather than compute saturation. We additionally identify a workload-dependent AITER attention backend regression that degrades LC-CoT throughput by 55% while improving LCR by 7%. These findings motivate an extended allocation to complete speculative decoding evaluation and scale to 70B-parameter models.</w:t>
          </w:r>
        </w:sdtContent>
      </w:sdt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[1][2]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3.1 Hardware and Software Environment</w:t>
      </w:r>
    </w:p>
    <w:p w:rsidR="00000000" w:rsidDel="00000000" w:rsidP="00000000" w:rsidRDefault="00000000" w:rsidRPr="00000000" w14:paraId="000000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All experiments execute on a cluster of 5× AMD Instinct MI300X accelerators, each providing 192 GB HBM3 memory at 5.3 TB/s aggregate bandwidth, interconnected via Infinity Fabric. The software stack comprises ROCm 6.3.1-48 with the HIP runtime, PyTorch 2.7.0a0+git7b44f13 compiled for gfx942, and vLLM 0.7.4.dev388 serving as the inference engine. GPU memory utilization is set to 90%, yielding ~155 GB of KV cache capacity per device after model weight allocation (15.3 GB for Llama-3.1-8B-Instruct in FP16).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3.2 Workload Regimes</w:t>
      </w:r>
    </w:p>
    <w:p w:rsidR="00000000" w:rsidDel="00000000" w:rsidP="00000000" w:rsidRDefault="00000000" w:rsidRPr="00000000" w14:paraId="0000000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We define three reasoning-intensive workload regimes targeting distinct decode-phase stress patterns.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LC-CoT (Long-Chain CoT)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uses 40 hard GSM8K problems with a structured few-shot prompt eliciting 2048–4096 output tokens of step-by-step mathematical reasoning.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LCR (Long-Context Reasoning)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constructs 8K–32K token input contexts from HotpotQA/MuSiQue multi-hop passages, requiring cross-document reasoning over large prefill sequences with 2048-token decode budgets.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 (Self-Consistency)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samples 16 independent reasoning chains per problem at temperature 0.7 across 20 problems, stressing batch scheduling and KV cache concurrency.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3.3 Ablation Phases</w:t>
      </w:r>
    </w:p>
    <w:p w:rsidR="00000000" w:rsidDel="00000000" w:rsidP="00000000" w:rsidRDefault="00000000" w:rsidRPr="00000000" w14:paraId="0000000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The benchmark suite comprises six experimental phases.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P1 (Characterization)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establishes baseline throughput, TPOT, and output length distributions across all three regimes.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P2 (KV Cache)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ablates FP16 vs. FP8 KV cache quantization.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P3 (Attention Backend)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evaluates AMD’s AITER fused attention kernels against legacy implementations.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P4 (Scheduling)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sweeps multi-step scheduler configurations (1–20 steps) and compares CUDA graph capture vs. eager execution.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P5 (Speculative Decoding)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tests draft-model speculation with Llama-3.2-1B at k=3,5,7 tokens.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P6 (Decode Scaling)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measures TPOT stability across output lengths from 128 to 4096 tokens.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Preliminary Results</w:t>
      </w:r>
    </w:p>
    <w:p w:rsidR="00000000" w:rsidDel="00000000" w:rsidP="00000000" w:rsidRDefault="00000000" w:rsidRPr="00000000" w14:paraId="0000001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Table 1 summarizes all 26 successful configurations across both benchmark runs (22 from Phase 1 + 13 from Phase 2, with 5 speculative decoding failures due to vLLM API incompatibility). Key results include: FP8 KV cache yielding a 62% TPOT reduction for SC workloads, CUDA graphs providing 1.50× speedup over eager mode, and per-token latency remaining constant at ~5.24 ms regardless of output sequence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Table 1: DecodeBench-ROCm Combined Results (Llama-3.1-8B-Instruct, 5×MI300X, ROCm 6.3.1)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00"/>
        <w:gridCol w:w="900"/>
        <w:gridCol w:w="1000"/>
        <w:gridCol w:w="900"/>
        <w:gridCol w:w="3560"/>
        <w:tblGridChange w:id="0">
          <w:tblGrid>
            <w:gridCol w:w="900"/>
            <w:gridCol w:w="2100"/>
            <w:gridCol w:w="900"/>
            <w:gridCol w:w="1000"/>
            <w:gridCol w:w="9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Tput(tok/s)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TPOT(ms)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LC-CoT 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decode-heavy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LC-CoT 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Longer chains, lower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LCR 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Prefill-heavy, 367 tok avg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SC n=16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2.7x batch throughput over n=1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SC n=1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Single-sample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KV cache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2,044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+23% throughput with FP8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4,697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memory-constrained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13.91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62% TPOT reduction, 2x KV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long-context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+3% throughput with FP8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OFF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Legacy attention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ON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55% throughput 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OFF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Legacy LCR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ON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+7% throughput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Sched steps=10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Optimal: +7.6%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CUDA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1.50x faster than eager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Eager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 graph capture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Speculative k=3,5,7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vLLM 0.11.2 API incompatible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Peak efficiency, short decode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4,633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Highest throughput 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Near-peak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Throughput inversely proportional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Standard decode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TPOT constant at ~5.24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048000"/>
            <wp:effectExtent b="0" l="0" r="0" t="0"/>
            <wp:docPr descr="Bar chart comparing throughput across all configurations" id="4" name="image2.jpg"/>
            <a:graphic>
              <a:graphicData uri="http://schemas.openxmlformats.org/drawingml/2006/picture">
                <pic:pic>
                  <pic:nvPicPr>
                    <pic:cNvPr descr="Bar chart comparing throughput across all configurations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6"/>
          <w:szCs w:val="16"/>
          <w:rtl w:val="0"/>
        </w:rPr>
        <w:t xml:space="preserve">Figure 1: Aggregate throughput (tok/s) across all benchmark configurations (P3–P6). Decode length scaling (P6) at short output budgets achieves peak throughput of 4,633 tok/s. CUDA graph capture (P4) provides 1.50× improvement over eager execution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714500"/>
            <wp:effectExtent b="0" l="0" r="0" t="0"/>
            <wp:docPr descr="Three-panel plot showing throughput, TPOT, and actual output length vs max_tokens" id="5" name="image1.jpg"/>
            <a:graphic>
              <a:graphicData uri="http://schemas.openxmlformats.org/drawingml/2006/picture">
                <pic:pic>
                  <pic:nvPicPr>
                    <pic:cNvPr descr="Three-panel plot showing throughput, TPOT, and actual output length vs max_tokens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6"/>
          <w:szCs w:val="16"/>
          <w:rtl w:val="0"/>
        </w:rPr>
        <w:t xml:space="preserve">Figure 2: P6 decode length scaling on LC-CoT. Left: throughput peaks at 4,633 tok/s (max_tokens=256) and declines inversely with output length. Center: mean TPOT remains remarkably stable at ~5.24 ms across all decode budgets, demonstrating compute is not the bottleneck. Right: actual output length saturates well below the max_tokens budget, indicating natural reasoning chain 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5. Proposed Extension &amp; Justification</w:t>
      </w:r>
    </w:p>
    <w:p w:rsidR="00000000" w:rsidDel="00000000" w:rsidP="00000000" w:rsidRDefault="00000000" w:rsidRPr="00000000" w14:paraId="000000B5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Our preliminary results demonstrate significant, previously undocumented optimization opportunities specific to AMD MI300X hardware. We request an extended compute allocation to:</w:t>
      </w:r>
    </w:p>
    <w:p w:rsidR="00000000" w:rsidDel="00000000" w:rsidP="00000000" w:rsidRDefault="00000000" w:rsidRPr="00000000" w14:paraId="000000B6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complete speculative decoding evaluation (P5) with corrected vLLM API parameters, which represents the most novel contribution for publication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scale experiments to Llama-3.1-70B using tensor parallelism across all 5 MI300X devices, characterizing decode-phase behavior at production model scales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(3)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perform ROCProfiler kernel-level profiling to attribute the AITER regression to specific HIP kernel dispatches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(4)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validate FP8 KV cache findings on longer-context reasoning tasks (64K+ tokens). These experiments will produce   the first comprehensive decode-phase optimization guide targeting AMD MI300X, directly informing ROCm runtime and vLLM backend development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[1]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Kwon, W., Li, Z., Zhuang, S.,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"Efficient Memory Management for Large Language Model Serving with PagedAttention."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29th ACM Symposium on Operating Systems Principles (SOSP)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https://doi.org/10.1145/3600006.3613165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[2]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Wei, J., Wang, X., Schuurmans, D.,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"Chain-of-Thought Prompting Elicits Reasoning in Large Language Models."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Advances in Neural Information Processing Systems 35 (NeurIPS)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2022.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https://proceedings.neurips.cc/paper_files/paper/2022/hash/9d5609613524ecf4f15af0f7b31abca4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[3]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Dao, T., Fu, D. Y., Ermon, S., Rudra, A., &amp; Ré, C.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"FlashAttention: Fast and Memory-Efficient Exact Attention with IO-Awareness."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Advances in Neural Information Processing Systems 35 (NeurIPS)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2022. 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https://proceedings.neurips.cc/paper_files/paper/2022/hash/67d57c32e20fd0a7a302cb81d36e40d5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[4]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Wang, X., Wei, J., Schuurmans, D.,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"Self-Consistency Improves Chain of Thought Reasoning in Language Models."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11th International Conference on Learning Representations (ICLR)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12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https://openreview.net/forum?id=1PL1NIMMrw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[5]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Leviathan, Y., Kalman, M., &amp; Matias, Y.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"Fast Inference from Transformers via Speculative Decoding."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40th International Conference on Machine Learning (ICML)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https://proceedings.mlr.press/v202/leviathan23a.html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DecodeBench-ROCm — AMD MI300X Runtime Extension Request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5a8c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ceedings.neurips.cc/paper_files/paper/2022/hash/67d57c32e20fd0a7a302cb81d36e40d5-Abstract-Conference.html" TargetMode="External"/><Relationship Id="rId10" Type="http://schemas.openxmlformats.org/officeDocument/2006/relationships/hyperlink" Target="https://proceedings.neurips.cc/paper_files/paper/2022/hash/9d5609613524ecf4f15af0f7b31abca4-Abstract-Conference.html" TargetMode="External"/><Relationship Id="rId13" Type="http://schemas.openxmlformats.org/officeDocument/2006/relationships/hyperlink" Target="https://proceedings.mlr.press/v202/leviathan23a.html" TargetMode="External"/><Relationship Id="rId12" Type="http://schemas.openxmlformats.org/officeDocument/2006/relationships/hyperlink" Target="https://openreview.net/forum?id=1PL1NIMMr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45/3600006.3613165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hEGLtq+4aJhNJwGYGT85/b2jQ==">CgMxLjAaJAoBMBIfCh0IB0IZCgVBcmlhbBIQQXJpYWwgVW5pY29kZSBNUzgAciExOFNLeUwwWGFiWkFwTGRpRFl4aW9PWFRoVzdmMS1RWEE=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2026-03-03T07:59:26.728Z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