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Architectural Justification: Digital Gift Card &amp; Loyalty Point Exchange System</w:t>
      </w:r>
    </w:p>
    <w:p>
      <w:pPr>
        <w:spacing w:after="150"/>
      </w:pPr>
      <w:r>
        <w:t xml:space="preserve">Problem Statement #34 — Girish G N, PES1UG24CS571</w:t>
      </w:r>
    </w:p>
    <w:p>
      <w:pPr>
        <w:spacing w:after="200"/>
      </w:pPr>
      <w:r>
        <w:rPr>
          <w:b/>
          <w:bCs/>
        </w:rPr>
        <w:t xml:space="preserve">We chose Microservices Architecture for the Digital Gift Card &amp; Loyalty Point Exchange System.</w:t>
      </w:r>
    </w:p>
    <w:p>
      <w:pPr>
        <w:spacing w:after="80" w:before="100"/>
      </w:pPr>
      <w:r>
        <w:rPr>
          <w:b/>
          <w:bCs/>
        </w:rPr>
        <w:t xml:space="preserve">Architectural Choice</w:t>
      </w:r>
    </w:p>
    <w:p>
      <w:pPr>
        <w:spacing w:after="200"/>
      </w:pPr>
      <w:r>
        <w:t xml:space="preserve">The system is decomposed into independently deployable services: a Wallet UI / API Gateway, a Loyalty &amp; Conversion Service, a Gift Card Voucher Service, a Fraud Detection Service, and a Ledger &amp; Transaction Service, plus an external Merchant Partner system. These map directly onto the use cases identified in Lab 1 (Convert Loyalty Points to Gift Card, Redeem Gift Card at Merchant, Verify &amp; Lock Voucher, Update Ledger &amp; Points Balance, Flag Suspicious Redemption).</w:t>
      </w:r>
    </w:p>
    <w:p>
      <w:pPr>
        <w:spacing w:after="80" w:before="100"/>
      </w:pPr>
      <w:r>
        <w:rPr>
          <w:b/>
          <w:bCs/>
        </w:rPr>
        <w:t xml:space="preserve">Reason 1: Fraud detection has different scaling and reliability needs than the core flow</w:t>
      </w:r>
    </w:p>
    <w:p>
      <w:pPr>
        <w:spacing w:after="200"/>
      </w:pPr>
      <w:r>
        <w:t xml:space="preserve">The Fraud Detection Service (Verify &amp; Lock Voucher, Flag Suspicious Redemption) must run computationally heavier anti-fraud checks and may need to scale independently during high-redemption periods without being coupled to the release cycle or load profile of the simpler Loyalty &amp; Conversion Service. Microservices lets this component scale and deploy on its own.</w:t>
      </w:r>
    </w:p>
    <w:p>
      <w:pPr>
        <w:spacing w:after="80" w:before="100"/>
      </w:pPr>
      <w:r>
        <w:rPr>
          <w:b/>
          <w:bCs/>
        </w:rPr>
        <w:t xml:space="preserve">Reason 2: Fault isolation protects the ledger from cascading failures</w:t>
      </w:r>
    </w:p>
    <w:p>
      <w:pPr>
        <w:spacing w:after="200"/>
      </w:pPr>
      <w:r>
        <w:t xml:space="preserve">FR-005 and NFR-002 require that vouchers can never be redeemed twice, and NFR-001 requires zero ledger balance drift. Isolating the Ledger &amp; Transaction Service as its own microservice means a failure or slowdown in the Merchant Partner integration or the UI does not risk corrupting the ledger; the ledger's own transactional boundary stays intact even if upstream services degrade.</w:t>
      </w:r>
    </w:p>
    <w:p>
      <w:pPr>
        <w:spacing w:after="80" w:before="100"/>
      </w:pPr>
      <w:r>
        <w:rPr>
          <w:b/>
          <w:bCs/>
        </w:rPr>
        <w:t xml:space="preserve">Security Advantage</w:t>
      </w:r>
    </w:p>
    <w:p>
      <w:pPr>
        <w:spacing w:after="200"/>
      </w:pPr>
      <w:r>
        <w:t xml:space="preserve">The Gift Card Voucher Service never talks to the Ledger directly on the happy path — every redemption must first pass through the Fraud Detection Service's Verify Interface (an «include» relationship, matching the Lab 1 use-case diagram). This enforces that no exchange credits are deducted and no voucher is issued (per the Insufficient Exchange Credits and Invalid/Redeemed Voucher alternate flows) until fraud checks pass, reducing the risk of a compromised or buggy client bypassing anti-fraud validation.</w:t>
      </w:r>
    </w:p>
    <w:p>
      <w:pPr>
        <w:spacing w:after="80" w:before="100"/>
      </w:pPr>
      <w:r>
        <w:rPr>
          <w:b/>
          <w:bCs/>
        </w:rPr>
        <w:t xml:space="preserve">Performance Benefit</w:t>
      </w:r>
    </w:p>
    <w:p>
      <w:pPr>
        <w:spacing w:after="200"/>
      </w:pPr>
      <w:r>
        <w:t xml:space="preserve">NFR-001 requires point conversion and redemption to complete within 250 ms with zero ledger drift under peak load. Because each service can be scaled horizontally on its own, the Ledger &amp; Transaction Service (the highest-contention component, since every redemption writes to it) can be scaled independently of the Wallet UI or Merchant Partner integration, keeping write latency low during traffic spikes without over-provisioning the entire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2026-09-16T05:36:18.600Z</dcterms:created>
  <dcterms:modified xsi:type="dcterms:W3CDTF">2026-09-16T05:36:18.625Z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