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 5 — STATIC CODE ANALYSIS</w:t>
      </w:r>
    </w:p>
    <w:p>
      <w:pPr>
        <w:jc w:val="center"/>
      </w:pPr>
      <w:r>
        <w:rPr>
          <w:b/>
          <w:sz w:val="26"/>
        </w:rPr>
        <w:t>Radio Station Programme Schedule</w:t>
      </w:r>
    </w:p>
    <w:p>
      <w:r>
        <w:t>Student: Girish G N</w:t>
      </w:r>
    </w:p>
    <w:p>
      <w:r>
        <w:t>Repository: https://github.com/GIRISH-G-N/L5_22_radio_schedule</w:t>
      </w:r>
    </w:p>
    <w:p>
      <w:r>
        <w:t>Project file: radio_schedule.py | Tools: Pylint, Bandit and Flake8</w:t>
      </w:r>
    </w:p>
    <w:p>
      <w:pPr>
        <w:pStyle w:val="Heading1"/>
      </w:pPr>
      <w:r>
        <w:t>1. Objective</w:t>
      </w:r>
    </w:p>
    <w:p>
      <w:r>
        <w:t>The objective of this lab is to use static-analysis tools to identify code-quality, security and formatting problems in a small radio scheduling program, correct the problems, and compare the results before and after the corrections.</w:t>
      </w:r>
    </w:p>
    <w:p>
      <w:pPr>
        <w:pStyle w:val="Heading1"/>
      </w:pPr>
      <w:r>
        <w:t>2. Issue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rFonts w:ascii="Arial" w:hAnsi="Arial"/>
                <w:sz w:val="16"/>
              </w:rPr>
              <w:t>#</w:t>
            </w:r>
          </w:p>
        </w:tc>
        <w:tc>
          <w:tcPr>
            <w:tcW w:type="dxa" w:w="2556"/>
            <w:vAlign w:val="center"/>
          </w:tcPr>
          <w:p>
            <w:r>
              <w:rPr>
                <w:rFonts w:ascii="Arial" w:hAnsi="Arial"/>
                <w:sz w:val="16"/>
              </w:rPr>
              <w:t>Issue identified</w:t>
            </w:r>
          </w:p>
        </w:tc>
        <w:tc>
          <w:tcPr>
            <w:tcW w:type="dxa" w:w="2556"/>
            <w:vAlign w:val="center"/>
          </w:tcPr>
          <w:p>
            <w:r>
              <w:rPr>
                <w:rFonts w:ascii="Arial" w:hAnsi="Arial"/>
                <w:sz w:val="16"/>
              </w:rPr>
              <w:t>Tool / category</w:t>
            </w:r>
          </w:p>
        </w:tc>
        <w:tc>
          <w:tcPr>
            <w:tcW w:type="dxa" w:w="2556"/>
            <w:vAlign w:val="center"/>
          </w:tcPr>
          <w:p>
            <w:r>
              <w:rPr>
                <w:rFonts w:ascii="Arial" w:hAnsi="Arial"/>
                <w:sz w:val="16"/>
              </w:rPr>
              <w:t>Correction made</w:t>
            </w:r>
          </w:p>
        </w:tc>
      </w:tr>
      <w:tr>
        <w:tc>
          <w:tcPr>
            <w:tcW w:type="dxa" w:w="2556"/>
            <w:vAlign w:val="center"/>
          </w:tcPr>
          <w:p>
            <w:r>
              <w:rPr>
                <w:rFonts w:ascii="Arial" w:hAnsi="Arial"/>
                <w:sz w:val="16"/>
              </w:rPr>
              <w:t>1</w:t>
            </w:r>
          </w:p>
        </w:tc>
        <w:tc>
          <w:tcPr>
            <w:tcW w:type="dxa" w:w="2556"/>
            <w:vAlign w:val="center"/>
          </w:tcPr>
          <w:p>
            <w:r>
              <w:rPr>
                <w:rFonts w:ascii="Arial" w:hAnsi="Arial"/>
                <w:sz w:val="16"/>
              </w:rPr>
              <w:t>SQL query assembled with string formatting, creating SQL-injection risk.</w:t>
            </w:r>
          </w:p>
        </w:tc>
        <w:tc>
          <w:tcPr>
            <w:tcW w:type="dxa" w:w="2556"/>
            <w:vAlign w:val="center"/>
          </w:tcPr>
          <w:p>
            <w:r>
              <w:rPr>
                <w:rFonts w:ascii="Arial" w:hAnsi="Arial"/>
                <w:sz w:val="16"/>
              </w:rPr>
              <w:t>Bandit B608 / security</w:t>
            </w:r>
          </w:p>
        </w:tc>
        <w:tc>
          <w:tcPr>
            <w:tcW w:type="dxa" w:w="2556"/>
            <w:vAlign w:val="center"/>
          </w:tcPr>
          <w:p>
            <w:r>
              <w:rPr>
                <w:rFonts w:ascii="Arial" w:hAnsi="Arial"/>
                <w:sz w:val="16"/>
              </w:rPr>
              <w:t>Used parameterized SQL statements with ? placeholders.</w:t>
            </w:r>
          </w:p>
        </w:tc>
      </w:tr>
      <w:tr>
        <w:tc>
          <w:tcPr>
            <w:tcW w:type="dxa" w:w="2556"/>
            <w:vAlign w:val="center"/>
          </w:tcPr>
          <w:p>
            <w:r>
              <w:rPr>
                <w:rFonts w:ascii="Arial" w:hAnsi="Arial"/>
                <w:sz w:val="16"/>
              </w:rPr>
              <w:t>2</w:t>
            </w:r>
          </w:p>
        </w:tc>
        <w:tc>
          <w:tcPr>
            <w:tcW w:type="dxa" w:w="2556"/>
            <w:vAlign w:val="center"/>
          </w:tcPr>
          <w:p>
            <w:r>
              <w:rPr>
                <w:rFonts w:ascii="Arial" w:hAnsi="Arial"/>
                <w:sz w:val="16"/>
              </w:rPr>
              <w:t>eval() evaluated a supplied expression and could execute unsafe code.</w:t>
            </w:r>
          </w:p>
        </w:tc>
        <w:tc>
          <w:tcPr>
            <w:tcW w:type="dxa" w:w="2556"/>
            <w:vAlign w:val="center"/>
          </w:tcPr>
          <w:p>
            <w:r>
              <w:rPr>
                <w:rFonts w:ascii="Arial" w:hAnsi="Arial"/>
                <w:sz w:val="16"/>
              </w:rPr>
              <w:t>Bandit B307 / security</w:t>
            </w:r>
          </w:p>
        </w:tc>
        <w:tc>
          <w:tcPr>
            <w:tcW w:type="dxa" w:w="2556"/>
            <w:vAlign w:val="center"/>
          </w:tcPr>
          <w:p>
            <w:r>
              <w:rPr>
                <w:rFonts w:ascii="Arial" w:hAnsi="Arial"/>
                <w:sz w:val="16"/>
              </w:rPr>
              <w:t>Replaced eval() with a restricted AST evaluator that accepts only selected numeric, arithmetic and comparison operations.</w:t>
            </w:r>
          </w:p>
        </w:tc>
      </w:tr>
      <w:tr>
        <w:tc>
          <w:tcPr>
            <w:tcW w:type="dxa" w:w="2556"/>
            <w:vAlign w:val="center"/>
          </w:tcPr>
          <w:p>
            <w:r>
              <w:rPr>
                <w:rFonts w:ascii="Arial" w:hAnsi="Arial"/>
                <w:sz w:val="16"/>
              </w:rPr>
              <w:t>3</w:t>
            </w:r>
          </w:p>
        </w:tc>
        <w:tc>
          <w:tcPr>
            <w:tcW w:type="dxa" w:w="2556"/>
            <w:vAlign w:val="center"/>
          </w:tcPr>
          <w:p>
            <w:r>
              <w:rPr>
                <w:rFonts w:ascii="Arial" w:hAnsi="Arial"/>
                <w:sz w:val="16"/>
              </w:rPr>
              <w:t>A password was hardcoded in the source.</w:t>
            </w:r>
          </w:p>
        </w:tc>
        <w:tc>
          <w:tcPr>
            <w:tcW w:type="dxa" w:w="2556"/>
            <w:vAlign w:val="center"/>
          </w:tcPr>
          <w:p>
            <w:r>
              <w:rPr>
                <w:rFonts w:ascii="Arial" w:hAnsi="Arial"/>
                <w:sz w:val="16"/>
              </w:rPr>
              <w:t>Bandit B105 / security</w:t>
            </w:r>
          </w:p>
        </w:tc>
        <w:tc>
          <w:tcPr>
            <w:tcW w:type="dxa" w:w="2556"/>
            <w:vAlign w:val="center"/>
          </w:tcPr>
          <w:p>
            <w:r>
              <w:rPr>
                <w:rFonts w:ascii="Arial" w:hAnsi="Arial"/>
                <w:sz w:val="16"/>
              </w:rPr>
              <w:t>Removed the unused hardcoded password.</w:t>
            </w:r>
          </w:p>
        </w:tc>
      </w:tr>
      <w:tr>
        <w:tc>
          <w:tcPr>
            <w:tcW w:type="dxa" w:w="2556"/>
            <w:vAlign w:val="center"/>
          </w:tcPr>
          <w:p>
            <w:r>
              <w:rPr>
                <w:rFonts w:ascii="Arial" w:hAnsi="Arial"/>
                <w:sz w:val="16"/>
              </w:rPr>
              <w:t>4</w:t>
            </w:r>
          </w:p>
        </w:tc>
        <w:tc>
          <w:tcPr>
            <w:tcW w:type="dxa" w:w="2556"/>
            <w:vAlign w:val="center"/>
          </w:tcPr>
          <w:p>
            <w:r>
              <w:rPr>
                <w:rFonts w:ascii="Arial" w:hAnsi="Arial"/>
                <w:sz w:val="16"/>
              </w:rPr>
              <w:t>Function names used camelCase rather than snake_case.</w:t>
            </w:r>
          </w:p>
        </w:tc>
        <w:tc>
          <w:tcPr>
            <w:tcW w:type="dxa" w:w="2556"/>
            <w:vAlign w:val="center"/>
          </w:tcPr>
          <w:p>
            <w:r>
              <w:rPr>
                <w:rFonts w:ascii="Arial" w:hAnsi="Arial"/>
                <w:sz w:val="16"/>
              </w:rPr>
              <w:t>Pylint / naming</w:t>
            </w:r>
          </w:p>
        </w:tc>
        <w:tc>
          <w:tcPr>
            <w:tcW w:type="dxa" w:w="2556"/>
            <w:vAlign w:val="center"/>
          </w:tcPr>
          <w:p>
            <w:r>
              <w:rPr>
                <w:rFonts w:ascii="Arial" w:hAnsi="Arial"/>
                <w:sz w:val="16"/>
              </w:rPr>
              <w:t>Renamed functions to add_slot, slot_label, overlap_free, morning_shows and remove_slot.</w:t>
            </w:r>
          </w:p>
        </w:tc>
      </w:tr>
      <w:tr>
        <w:tc>
          <w:tcPr>
            <w:tcW w:type="dxa" w:w="2556"/>
            <w:vAlign w:val="center"/>
          </w:tcPr>
          <w:p>
            <w:r>
              <w:rPr>
                <w:rFonts w:ascii="Arial" w:hAnsi="Arial"/>
                <w:sz w:val="16"/>
              </w:rPr>
              <w:t>5</w:t>
            </w:r>
          </w:p>
        </w:tc>
        <w:tc>
          <w:tcPr>
            <w:tcW w:type="dxa" w:w="2556"/>
            <w:vAlign w:val="center"/>
          </w:tcPr>
          <w:p>
            <w:r>
              <w:rPr>
                <w:rFonts w:ascii="Arial" w:hAnsi="Arial"/>
                <w:sz w:val="16"/>
              </w:rPr>
              <w:t>Long lines and multiple statements on one line violated formatting rules.</w:t>
            </w:r>
          </w:p>
        </w:tc>
        <w:tc>
          <w:tcPr>
            <w:tcW w:type="dxa" w:w="2556"/>
            <w:vAlign w:val="center"/>
          </w:tcPr>
          <w:p>
            <w:r>
              <w:rPr>
                <w:rFonts w:ascii="Arial" w:hAnsi="Arial"/>
                <w:sz w:val="16"/>
              </w:rPr>
              <w:t>Flake8 / style</w:t>
            </w:r>
          </w:p>
        </w:tc>
        <w:tc>
          <w:tcPr>
            <w:tcW w:type="dxa" w:w="2556"/>
            <w:vAlign w:val="center"/>
          </w:tcPr>
          <w:p>
            <w:r>
              <w:rPr>
                <w:rFonts w:ascii="Arial" w:hAnsi="Arial"/>
                <w:sz w:val="16"/>
              </w:rPr>
              <w:t>Reformatted SQL statements and split statements across lines.</w:t>
            </w:r>
          </w:p>
        </w:tc>
      </w:tr>
      <w:tr>
        <w:tc>
          <w:tcPr>
            <w:tcW w:type="dxa" w:w="2556"/>
            <w:vAlign w:val="center"/>
          </w:tcPr>
          <w:p>
            <w:r>
              <w:rPr>
                <w:rFonts w:ascii="Arial" w:hAnsi="Arial"/>
                <w:sz w:val="16"/>
              </w:rPr>
              <w:t>6</w:t>
            </w:r>
          </w:p>
        </w:tc>
        <w:tc>
          <w:tcPr>
            <w:tcW w:type="dxa" w:w="2556"/>
            <w:vAlign w:val="center"/>
          </w:tcPr>
          <w:p>
            <w:r>
              <w:rPr>
                <w:rFonts w:ascii="Arial" w:hAnsi="Arial"/>
                <w:sz w:val="16"/>
              </w:rPr>
              <w:t>The booked_minutes global counter duplicated information already stored in SQLite.</w:t>
            </w:r>
          </w:p>
        </w:tc>
        <w:tc>
          <w:tcPr>
            <w:tcW w:type="dxa" w:w="2556"/>
            <w:vAlign w:val="center"/>
          </w:tcPr>
          <w:p>
            <w:r>
              <w:rPr>
                <w:rFonts w:ascii="Arial" w:hAnsi="Arial"/>
                <w:sz w:val="16"/>
              </w:rPr>
              <w:t>Code quality</w:t>
            </w:r>
          </w:p>
        </w:tc>
        <w:tc>
          <w:tcPr>
            <w:tcW w:type="dxa" w:w="2556"/>
            <w:vAlign w:val="center"/>
          </w:tcPr>
          <w:p>
            <w:r>
              <w:rPr>
                <w:rFonts w:ascii="Arial" w:hAnsi="Arial"/>
                <w:sz w:val="16"/>
              </w:rPr>
              <w:t>Removed the unnecessary global counter and queried the schedule directly.</w:t>
            </w:r>
          </w:p>
        </w:tc>
      </w:tr>
      <w:tr>
        <w:tc>
          <w:tcPr>
            <w:tcW w:type="dxa" w:w="2556"/>
            <w:vAlign w:val="center"/>
          </w:tcPr>
          <w:p>
            <w:r>
              <w:rPr>
                <w:rFonts w:ascii="Arial" w:hAnsi="Arial"/>
                <w:sz w:val="16"/>
              </w:rPr>
              <w:t>7</w:t>
            </w:r>
          </w:p>
        </w:tc>
        <w:tc>
          <w:tcPr>
            <w:tcW w:type="dxa" w:w="2556"/>
            <w:vAlign w:val="center"/>
          </w:tcPr>
          <w:p>
            <w:r>
              <w:rPr>
                <w:rFonts w:ascii="Arial" w:hAnsi="Arial"/>
                <w:sz w:val="16"/>
              </w:rPr>
              <w:t>Broad exception handling could hide unrelated failures.</w:t>
            </w:r>
          </w:p>
        </w:tc>
        <w:tc>
          <w:tcPr>
            <w:tcW w:type="dxa" w:w="2556"/>
            <w:vAlign w:val="center"/>
          </w:tcPr>
          <w:p>
            <w:r>
              <w:rPr>
                <w:rFonts w:ascii="Arial" w:hAnsi="Arial"/>
                <w:sz w:val="16"/>
              </w:rPr>
              <w:t>Code quality / security</w:t>
            </w:r>
          </w:p>
        </w:tc>
        <w:tc>
          <w:tcPr>
            <w:tcW w:type="dxa" w:w="2556"/>
            <w:vAlign w:val="center"/>
          </w:tcPr>
          <w:p>
            <w:r>
              <w:rPr>
                <w:rFonts w:ascii="Arial" w:hAnsi="Arial"/>
                <w:sz w:val="16"/>
              </w:rPr>
              <w:t>Caught specific expected parsing and evaluation exceptions.</w:t>
            </w:r>
          </w:p>
        </w:tc>
      </w:tr>
      <w:tr>
        <w:tc>
          <w:tcPr>
            <w:tcW w:type="dxa" w:w="2556"/>
            <w:vAlign w:val="center"/>
          </w:tcPr>
          <w:p>
            <w:r>
              <w:rPr>
                <w:rFonts w:ascii="Arial" w:hAnsi="Arial"/>
                <w:sz w:val="16"/>
              </w:rPr>
              <w:t>8</w:t>
            </w:r>
          </w:p>
        </w:tc>
        <w:tc>
          <w:tcPr>
            <w:tcW w:type="dxa" w:w="2556"/>
            <w:vAlign w:val="center"/>
          </w:tcPr>
          <w:p>
            <w:r>
              <w:rPr>
                <w:rFonts w:ascii="Arial" w:hAnsi="Arial"/>
                <w:sz w:val="16"/>
              </w:rPr>
              <w:t>The script ran its demonstration immediately when imported.</w:t>
            </w:r>
          </w:p>
        </w:tc>
        <w:tc>
          <w:tcPr>
            <w:tcW w:type="dxa" w:w="2556"/>
            <w:vAlign w:val="center"/>
          </w:tcPr>
          <w:p>
            <w:r>
              <w:rPr>
                <w:rFonts w:ascii="Arial" w:hAnsi="Arial"/>
                <w:sz w:val="16"/>
              </w:rPr>
              <w:t>Code structure</w:t>
            </w:r>
          </w:p>
        </w:tc>
        <w:tc>
          <w:tcPr>
            <w:tcW w:type="dxa" w:w="2556"/>
            <w:vAlign w:val="center"/>
          </w:tcPr>
          <w:p>
            <w:r>
              <w:rPr>
                <w:rFonts w:ascii="Arial" w:hAnsi="Arial"/>
                <w:sz w:val="16"/>
              </w:rPr>
              <w:t>Added an if __name__ == '__main__' guard.</w:t>
            </w:r>
          </w:p>
        </w:tc>
      </w:tr>
      <w:tr>
        <w:tc>
          <w:tcPr>
            <w:tcW w:type="dxa" w:w="2556"/>
            <w:vAlign w:val="center"/>
          </w:tcPr>
          <w:p>
            <w:r>
              <w:rPr>
                <w:rFonts w:ascii="Arial" w:hAnsi="Arial"/>
                <w:sz w:val="16"/>
              </w:rPr>
              <w:t>9</w:t>
            </w:r>
          </w:p>
        </w:tc>
        <w:tc>
          <w:tcPr>
            <w:tcW w:type="dxa" w:w="2556"/>
            <w:vAlign w:val="center"/>
          </w:tcPr>
          <w:p>
            <w:r>
              <w:rPr>
                <w:rFonts w:ascii="Arial" w:hAnsi="Arial"/>
                <w:sz w:val="16"/>
              </w:rPr>
              <w:t>Some functions and the module lacked documentation.</w:t>
            </w:r>
          </w:p>
        </w:tc>
        <w:tc>
          <w:tcPr>
            <w:tcW w:type="dxa" w:w="2556"/>
            <w:vAlign w:val="center"/>
          </w:tcPr>
          <w:p>
            <w:r>
              <w:rPr>
                <w:rFonts w:ascii="Arial" w:hAnsi="Arial"/>
                <w:sz w:val="16"/>
              </w:rPr>
              <w:t>Pylint / documentation</w:t>
            </w:r>
          </w:p>
        </w:tc>
        <w:tc>
          <w:tcPr>
            <w:tcW w:type="dxa" w:w="2556"/>
            <w:vAlign w:val="center"/>
          </w:tcPr>
          <w:p>
            <w:r>
              <w:rPr>
                <w:rFonts w:ascii="Arial" w:hAnsi="Arial"/>
                <w:sz w:val="16"/>
              </w:rPr>
              <w:t>Added module and function docstrings.</w:t>
            </w:r>
          </w:p>
        </w:tc>
      </w:tr>
      <w:tr>
        <w:tc>
          <w:tcPr>
            <w:tcW w:type="dxa" w:w="2556"/>
            <w:vAlign w:val="center"/>
          </w:tcPr>
          <w:p>
            <w:r>
              <w:rPr>
                <w:rFonts w:ascii="Arial" w:hAnsi="Arial"/>
                <w:sz w:val="16"/>
              </w:rPr>
              <w:t>10</w:t>
            </w:r>
          </w:p>
        </w:tc>
        <w:tc>
          <w:tcPr>
            <w:tcW w:type="dxa" w:w="2556"/>
            <w:vAlign w:val="center"/>
          </w:tcPr>
          <w:p>
            <w:r>
              <w:rPr>
                <w:rFonts w:ascii="Arial" w:hAnsi="Arial"/>
                <w:sz w:val="16"/>
              </w:rPr>
              <w:t>String formatting used .format() for a simple label.</w:t>
            </w:r>
          </w:p>
        </w:tc>
        <w:tc>
          <w:tcPr>
            <w:tcW w:type="dxa" w:w="2556"/>
            <w:vAlign w:val="center"/>
          </w:tcPr>
          <w:p>
            <w:r>
              <w:rPr>
                <w:rFonts w:ascii="Arial" w:hAnsi="Arial"/>
                <w:sz w:val="16"/>
              </w:rPr>
              <w:t>Code style</w:t>
            </w:r>
          </w:p>
        </w:tc>
        <w:tc>
          <w:tcPr>
            <w:tcW w:type="dxa" w:w="2556"/>
            <w:vAlign w:val="center"/>
          </w:tcPr>
          <w:p>
            <w:r>
              <w:rPr>
                <w:rFonts w:ascii="Arial" w:hAnsi="Arial"/>
                <w:sz w:val="16"/>
              </w:rPr>
              <w:t>Changed the label to an f-string.</w:t>
            </w:r>
          </w:p>
        </w:tc>
      </w:tr>
    </w:tbl>
    <w:p>
      <w:pPr>
        <w:pStyle w:val="Heading1"/>
      </w:pPr>
      <w:r>
        <w:t>3. Before-and-after analysis results</w:t>
      </w:r>
    </w:p>
    <w:p>
      <w:r>
        <w:t>The figures below reflect the results reported during the lab session. The original six raw output files (pylint_before.txt, pylint_after.txt, bandit_before.txt, bandit_after.txt, flake8_before.txt and flake8_after.txt) remain separate files in the project repository. Their complete console output was not available in this document-generation session, so the following sections summarize the reported results rather than reproduce unverified raw output.</w:t>
      </w:r>
    </w:p>
    <w:p>
      <w:pPr>
        <w:pStyle w:val="Heading2"/>
      </w:pPr>
      <w:r>
        <w:t>3.1 Pylint</w:t>
      </w:r>
    </w:p>
    <w:p>
      <w:r>
        <w:t>Before: score 2.41/10.</w:t>
      </w:r>
    </w:p>
    <w:p>
      <w:r>
        <w:t>After: score 10.00/10.</w:t>
      </w:r>
    </w:p>
    <w:p>
      <w:r>
        <w:t>Result: naming, documentation, structure and related code-quality issues were addressed. The final Pylint score exceeded the lab target of 9.5/10.</w:t>
      </w:r>
    </w:p>
    <w:p>
      <w:pPr>
        <w:pStyle w:val="Heading2"/>
      </w:pPr>
      <w:r>
        <w:t>3.2 Bandit</w:t>
      </w:r>
    </w:p>
    <w:p>
      <w:r>
        <w:t>Before: three reported security findings:</w:t>
      </w:r>
    </w:p>
    <w:p>
      <w:pPr>
        <w:pStyle w:val="ListBullet"/>
      </w:pPr>
      <w:r>
        <w:t>B105 — hardcoded password (Low severity).</w:t>
      </w:r>
    </w:p>
    <w:p>
      <w:pPr>
        <w:pStyle w:val="ListBullet"/>
      </w:pPr>
      <w:r>
        <w:t>B608 — possible SQL injection from string-built SQL (Medium severity).</w:t>
      </w:r>
    </w:p>
    <w:p>
      <w:pPr>
        <w:pStyle w:val="ListBullet"/>
      </w:pPr>
      <w:r>
        <w:t>B307 — use of eval() (Medium severity).</w:t>
      </w:r>
    </w:p>
    <w:p>
      <w:r>
        <w:t>After: no Bandit issues were reported in the saved after-report.</w:t>
      </w:r>
    </w:p>
    <w:p>
      <w:r>
        <w:t>Result: the hardcoded password was removed, SQL statements were parameterized, and eval() was replaced by a restricted expression evaluator.</w:t>
      </w:r>
    </w:p>
    <w:p>
      <w:pPr>
        <w:pStyle w:val="Heading2"/>
      </w:pPr>
      <w:r>
        <w:t>3.3 Flake8</w:t>
      </w:r>
    </w:p>
    <w:p>
      <w:r>
        <w:t>Before: formatting findings included E501 long lines and E701 multiple statements on one line.</w:t>
      </w:r>
    </w:p>
    <w:p>
      <w:r>
        <w:t>After: the final `flake8 radio_schedule.py` command produced no output, indicating no Flake8 violations were reported.</w:t>
      </w:r>
    </w:p>
    <w:p>
      <w:pPr>
        <w:pStyle w:val="Heading1"/>
      </w:pPr>
      <w:r>
        <w:t>4. Reflection answers</w:t>
      </w:r>
    </w:p>
    <w:p>
      <w:pPr>
        <w:pStyle w:val="Heading2"/>
      </w:pPr>
      <w:r>
        <w:t>1. What is the purpose of static code analysis?</w:t>
      </w:r>
    </w:p>
    <w:p>
      <w:r>
        <w:t>Static code analysis checks source code without executing the program. It can identify potential security weaknesses, style violations, and maintainability problems early.</w:t>
      </w:r>
    </w:p>
    <w:p>
      <w:pPr>
        <w:pStyle w:val="Heading2"/>
      </w:pPr>
      <w:r>
        <w:t>2. What issues did you identify and fix?</w:t>
      </w:r>
    </w:p>
    <w:p>
      <w:r>
        <w:t>The main issues included SQL built through string formatting, use of eval(), a hardcoded password, inconsistent function naming, missing documentation, long lines, multiple statements on one line, broad exception handling, an unnecessary global counter, and execution on import. The code was changed to use parameterized SQL, a restricted AST evaluator, clearer naming and documentation, cleaner formatting, narrower exception handling, and a main guard.</w:t>
      </w:r>
    </w:p>
    <w:p>
      <w:pPr>
        <w:pStyle w:val="Heading2"/>
      </w:pPr>
      <w:r>
        <w:t>3. How did Pylint, Bandit and Flake8 help?</w:t>
      </w:r>
    </w:p>
    <w:p>
      <w:r>
        <w:t>Pylint highlighted code-quality and naming/documentation issues, Bandit identified security risks, and Flake8 detected formatting violations. Running the tools before and after the changes provided a way to verify improvements.</w:t>
      </w:r>
    </w:p>
    <w:p>
      <w:pPr>
        <w:pStyle w:val="Heading2"/>
      </w:pPr>
      <w:r>
        <w:t>4. What did you learn?</w:t>
      </w:r>
    </w:p>
    <w:p>
      <w:r>
        <w:t>I learned that code can run and still contain security and maintainability problems. Parameterized SQL is safer than building SQL strings, eval() should not be used on untrusted expressions, and automated analysis tools can support a repeatable review process. I also learned to rerun the tools after making corrections.</w:t>
      </w:r>
    </w:p>
    <w:p>
      <w:pPr>
        <w:pStyle w:val="Heading1"/>
      </w:pPr>
      <w:r>
        <w:t>5. Final verification checklist</w:t>
      </w:r>
    </w:p>
    <w:p>
      <w:pPr>
        <w:pStyle w:val="ListBullet"/>
      </w:pPr>
      <w:r>
        <w:t>Pylint after-score reported as 10.00/10 (target: greater than 9.5).</w:t>
      </w:r>
    </w:p>
    <w:p>
      <w:pPr>
        <w:pStyle w:val="ListBullet"/>
      </w:pPr>
      <w:r>
        <w:t>Bandit after-report reported no findings.</w:t>
      </w:r>
    </w:p>
    <w:p>
      <w:pPr>
        <w:pStyle w:val="ListBullet"/>
      </w:pPr>
      <w:r>
        <w:t>Flake8 after-run produced no output.</w:t>
      </w:r>
    </w:p>
    <w:p>
      <w:pPr>
        <w:pStyle w:val="ListBullet"/>
      </w:pPr>
      <w:r>
        <w:t>Issue table and reflection answers are included in this document.</w:t>
      </w:r>
    </w:p>
    <w:p>
      <w:pPr>
        <w:pStyle w:val="ListBullet"/>
      </w:pPr>
      <w:r>
        <w:t>Keep the six raw before/after report files alongside this DOCX in the submission folder.</w:t>
      </w:r>
    </w:p>
    <w:p/>
    <w:p>
      <w:r>
        <w:rPr>
          <w:b/>
        </w:rPr>
        <w:t xml:space="preserve">Important submission note: </w:t>
      </w:r>
      <w:r>
        <w:t>This DOCX contains the issue table and summarized before/after results based on the results reported in the conversation. To satisfy a requirement for the full verbatim tool reports embedded in the same DOCX, the six .txt report files must be imported into this document from the project folder.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