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528"/>
      </w:tblGrid>
      <w:tr w:rsidR="004C0E16" w:rsidTr="004C0E16">
        <w:tc>
          <w:tcPr>
            <w:tcW w:w="1647" w:type="dxa"/>
          </w:tcPr>
          <w:p w:rsidR="004C0E16" w:rsidRDefault="004C0E16">
            <w:r>
              <w:t>Variable Name</w:t>
            </w:r>
          </w:p>
        </w:tc>
        <w:tc>
          <w:tcPr>
            <w:tcW w:w="7528" w:type="dxa"/>
          </w:tcPr>
          <w:p w:rsidR="004C0E16" w:rsidRDefault="004C0E16">
            <w:r>
              <w:t>Description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FID</w:t>
            </w:r>
          </w:p>
        </w:tc>
        <w:tc>
          <w:tcPr>
            <w:tcW w:w="7528" w:type="dxa"/>
          </w:tcPr>
          <w:p w:rsidR="004C0E16" w:rsidRDefault="004C0E16">
            <w:r>
              <w:t>Unique Feature Identifier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Shape *</w:t>
            </w:r>
          </w:p>
        </w:tc>
        <w:tc>
          <w:tcPr>
            <w:tcW w:w="7528" w:type="dxa"/>
          </w:tcPr>
          <w:p w:rsidR="004C0E16" w:rsidRDefault="004C0E16">
            <w:proofErr w:type="spellStart"/>
            <w:r>
              <w:t>Esri</w:t>
            </w:r>
            <w:proofErr w:type="spellEnd"/>
            <w:r>
              <w:t xml:space="preserve"> Vector Type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VisitID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>Unique Visit Record Identifier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Stream_x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>Designated Stream Name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Year</w:t>
            </w:r>
          </w:p>
        </w:tc>
        <w:tc>
          <w:tcPr>
            <w:tcW w:w="7528" w:type="dxa"/>
          </w:tcPr>
          <w:p w:rsidR="004C0E16" w:rsidRDefault="004C0E16">
            <w:r>
              <w:t>Year Data Was Recorded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Area_Bf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Area of the stream at the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  <w:r w:rsidR="003572AE">
              <w:t xml:space="preserve"> (square meters)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BfVol</w:t>
            </w:r>
            <w:proofErr w:type="spellEnd"/>
          </w:p>
        </w:tc>
        <w:tc>
          <w:tcPr>
            <w:tcW w:w="7528" w:type="dxa"/>
          </w:tcPr>
          <w:p w:rsidR="004C0E16" w:rsidRDefault="004C0E16" w:rsidP="003572AE">
            <w:r>
              <w:t xml:space="preserve">Volume of the stream at the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  <w:r w:rsidR="003572AE">
              <w:t xml:space="preserve"> (cubic meter)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BfWDRat_Av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Average </w:t>
            </w:r>
            <w:proofErr w:type="spellStart"/>
            <w:r>
              <w:t>width:depth</w:t>
            </w:r>
            <w:proofErr w:type="spellEnd"/>
            <w:r>
              <w:t xml:space="preserve"> ratio at </w:t>
            </w:r>
            <w:proofErr w:type="spellStart"/>
            <w:r>
              <w:t>bankfull</w:t>
            </w:r>
            <w:proofErr w:type="spellEnd"/>
            <w:r w:rsidR="003572AE">
              <w:t xml:space="preserve"> (</w:t>
            </w:r>
            <w:proofErr w:type="spellStart"/>
            <w:r w:rsidR="003572AE">
              <w:t>unitless</w:t>
            </w:r>
            <w:proofErr w:type="spellEnd"/>
            <w:r w:rsidR="003572AE">
              <w:t>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BfWDRat_CV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Coefficient of variation of the </w:t>
            </w:r>
            <w:proofErr w:type="spellStart"/>
            <w:r>
              <w:t>width:depth</w:t>
            </w:r>
            <w:proofErr w:type="spellEnd"/>
            <w:r>
              <w:t xml:space="preserve"> ratio at </w:t>
            </w:r>
            <w:proofErr w:type="spellStart"/>
            <w:r>
              <w:t>bankfull</w:t>
            </w:r>
            <w:proofErr w:type="spellEnd"/>
            <w:r w:rsidR="003572AE">
              <w:t xml:space="preserve"> (</w:t>
            </w:r>
            <w:proofErr w:type="spellStart"/>
            <w:r w:rsidR="003572AE">
              <w:t>unitless</w:t>
            </w:r>
            <w:proofErr w:type="spellEnd"/>
            <w:r w:rsidR="003572AE">
              <w:t>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BfWdth_Avg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Average width at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  <w:r w:rsidR="003572AE">
              <w:t xml:space="preserve"> (meters)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BfWdth_CV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Coefficient of variation of the width at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  <w:r w:rsidR="003572AE">
              <w:t xml:space="preserve"> (meters)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DpthBf_Avg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Average depth at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  <w:r w:rsidR="003572AE">
              <w:t xml:space="preserve"> (meters)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proofErr w:type="spellStart"/>
            <w:r>
              <w:t>DpthBf_Max</w:t>
            </w:r>
            <w:proofErr w:type="spellEnd"/>
          </w:p>
        </w:tc>
        <w:tc>
          <w:tcPr>
            <w:tcW w:w="7528" w:type="dxa"/>
          </w:tcPr>
          <w:p w:rsidR="004C0E16" w:rsidRDefault="004C0E16">
            <w:r>
              <w:t xml:space="preserve">Maximum depth at </w:t>
            </w:r>
            <w:proofErr w:type="spellStart"/>
            <w:r>
              <w:t>bankfull</w:t>
            </w:r>
            <w:proofErr w:type="spellEnd"/>
            <w:r>
              <w:t xml:space="preserve"> stage</w:t>
            </w:r>
            <w:r w:rsidR="003572AE">
              <w:t xml:space="preserve"> (meters)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Grad</w:t>
            </w:r>
          </w:p>
        </w:tc>
        <w:tc>
          <w:tcPr>
            <w:tcW w:w="7528" w:type="dxa"/>
          </w:tcPr>
          <w:p w:rsidR="004C0E16" w:rsidRDefault="004C0E16">
            <w:r>
              <w:t>Gradient (slope) of the stream (%)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Q</w:t>
            </w:r>
          </w:p>
        </w:tc>
        <w:tc>
          <w:tcPr>
            <w:tcW w:w="7528" w:type="dxa"/>
          </w:tcPr>
          <w:p w:rsidR="004C0E16" w:rsidRDefault="004C0E16">
            <w:r>
              <w:t>Discharge of the stream at the time of the visit</w:t>
            </w:r>
            <w:r w:rsidR="003572AE">
              <w:t xml:space="preserve"> (cubic meters per second)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Sin</w:t>
            </w:r>
          </w:p>
        </w:tc>
        <w:tc>
          <w:tcPr>
            <w:tcW w:w="7528" w:type="dxa"/>
          </w:tcPr>
          <w:p w:rsidR="004C0E16" w:rsidRDefault="004C0E16">
            <w:r>
              <w:t>Sinuosity</w:t>
            </w:r>
            <w:r w:rsidR="003572AE">
              <w:t xml:space="preserve"> (</w:t>
            </w:r>
            <w:proofErr w:type="spellStart"/>
            <w:r w:rsidR="003572AE">
              <w:t>unitless</w:t>
            </w:r>
            <w:proofErr w:type="spellEnd"/>
            <w:r w:rsidR="003572AE">
              <w:t>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SubD16</w:t>
            </w:r>
          </w:p>
        </w:tc>
        <w:tc>
          <w:tcPr>
            <w:tcW w:w="7528" w:type="dxa"/>
          </w:tcPr>
          <w:p w:rsidR="004C0E16" w:rsidRDefault="002A7ED5">
            <w:r>
              <w:t>Grain size in which 16% of the grains (in volume) are finer</w:t>
            </w:r>
            <w:r w:rsidR="00EA48D1">
              <w:t xml:space="preserve"> (millimeters)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SubD50</w:t>
            </w:r>
          </w:p>
        </w:tc>
        <w:tc>
          <w:tcPr>
            <w:tcW w:w="7528" w:type="dxa"/>
          </w:tcPr>
          <w:p w:rsidR="004C0E16" w:rsidRDefault="002A7ED5">
            <w:r>
              <w:t>Grain size in which 50% of the grains (in volume) are finer</w:t>
            </w:r>
            <w:r w:rsidR="00EA48D1">
              <w:t xml:space="preserve"> (millimeters)</w:t>
            </w:r>
          </w:p>
        </w:tc>
      </w:tr>
      <w:tr w:rsidR="004C0E16" w:rsidTr="004C0E16">
        <w:tc>
          <w:tcPr>
            <w:tcW w:w="1647" w:type="dxa"/>
          </w:tcPr>
          <w:p w:rsidR="004C0E16" w:rsidRDefault="004C0E16">
            <w:r>
              <w:t>SubD84</w:t>
            </w:r>
          </w:p>
        </w:tc>
        <w:tc>
          <w:tcPr>
            <w:tcW w:w="7528" w:type="dxa"/>
          </w:tcPr>
          <w:p w:rsidR="004C0E16" w:rsidRDefault="002A7ED5">
            <w:r>
              <w:t>Grain size in which 84% of the grains (in volume) are finer</w:t>
            </w:r>
            <w:r w:rsidR="00EA48D1">
              <w:t xml:space="preserve"> (millimeters)</w:t>
            </w:r>
            <w:bookmarkStart w:id="0" w:name="_GoBack"/>
            <w:bookmarkEnd w:id="0"/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UTMZone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Universal Transverse Mercator zone designation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r>
              <w:t>Latitude</w:t>
            </w:r>
          </w:p>
        </w:tc>
        <w:tc>
          <w:tcPr>
            <w:tcW w:w="7528" w:type="dxa"/>
          </w:tcPr>
          <w:p w:rsidR="004C0E16" w:rsidRDefault="002A7ED5">
            <w:r>
              <w:t>Latitude of the station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r>
              <w:t>Longitude</w:t>
            </w:r>
          </w:p>
        </w:tc>
        <w:tc>
          <w:tcPr>
            <w:tcW w:w="7528" w:type="dxa"/>
          </w:tcPr>
          <w:p w:rsidR="004C0E16" w:rsidRDefault="002A7ED5">
            <w:r>
              <w:t>Longitude of the station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r>
              <w:t>Elevation</w:t>
            </w:r>
          </w:p>
        </w:tc>
        <w:tc>
          <w:tcPr>
            <w:tcW w:w="7528" w:type="dxa"/>
          </w:tcPr>
          <w:p w:rsidR="004C0E16" w:rsidRDefault="002A7ED5">
            <w:r>
              <w:t>Elevation of the station</w:t>
            </w:r>
            <w:r w:rsidR="005B482F">
              <w:t xml:space="preserve"> (meters above mean sea level)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OwnerType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Public or private land designation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 w:rsidP="002A7ED5">
            <w:proofErr w:type="spellStart"/>
            <w:r>
              <w:t>Strah</w:t>
            </w:r>
            <w:proofErr w:type="spellEnd"/>
          </w:p>
        </w:tc>
        <w:tc>
          <w:tcPr>
            <w:tcW w:w="7528" w:type="dxa"/>
          </w:tcPr>
          <w:p w:rsidR="004C0E16" w:rsidRDefault="002A7ED5">
            <w:proofErr w:type="spellStart"/>
            <w:r>
              <w:t>Strahler</w:t>
            </w:r>
            <w:proofErr w:type="spellEnd"/>
            <w:r>
              <w:t xml:space="preserve"> stream order designation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ValleyClss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Valley type classification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ChannelTyp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Type of channel form classification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DistClass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Disturbance type classification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NatClass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Natural (climatic, landscape) description and classification</w:t>
            </w:r>
          </w:p>
        </w:tc>
      </w:tr>
      <w:tr w:rsidR="004C0E16" w:rsidTr="004C0E16">
        <w:tc>
          <w:tcPr>
            <w:tcW w:w="1647" w:type="dxa"/>
          </w:tcPr>
          <w:p w:rsidR="004C0E16" w:rsidRDefault="002A7ED5">
            <w:proofErr w:type="spellStart"/>
            <w:r>
              <w:t>PriBedClss</w:t>
            </w:r>
            <w:proofErr w:type="spellEnd"/>
          </w:p>
        </w:tc>
        <w:tc>
          <w:tcPr>
            <w:tcW w:w="7528" w:type="dxa"/>
          </w:tcPr>
          <w:p w:rsidR="004C0E16" w:rsidRDefault="002A7ED5">
            <w:r>
              <w:t>Primary bed type classification</w:t>
            </w:r>
          </w:p>
        </w:tc>
      </w:tr>
      <w:tr w:rsidR="005B482F" w:rsidTr="004C0E16">
        <w:tc>
          <w:tcPr>
            <w:tcW w:w="1647" w:type="dxa"/>
          </w:tcPr>
          <w:p w:rsidR="005B482F" w:rsidRDefault="005B482F">
            <w:r>
              <w:t>CUMDRAINAG</w:t>
            </w:r>
          </w:p>
        </w:tc>
        <w:tc>
          <w:tcPr>
            <w:tcW w:w="7528" w:type="dxa"/>
          </w:tcPr>
          <w:p w:rsidR="005B482F" w:rsidRDefault="005B482F">
            <w:r>
              <w:t>Cumulative drainage area above the station (square meters)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UTM_Eastin</w:t>
            </w:r>
            <w:proofErr w:type="spellEnd"/>
          </w:p>
        </w:tc>
        <w:tc>
          <w:tcPr>
            <w:tcW w:w="7528" w:type="dxa"/>
          </w:tcPr>
          <w:p w:rsidR="002A7ED5" w:rsidRDefault="002A7ED5">
            <w:r>
              <w:t>Universal Transverse Mercator easting value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UTM_Northi</w:t>
            </w:r>
            <w:proofErr w:type="spellEnd"/>
          </w:p>
        </w:tc>
        <w:tc>
          <w:tcPr>
            <w:tcW w:w="7528" w:type="dxa"/>
          </w:tcPr>
          <w:p w:rsidR="002A7ED5" w:rsidRDefault="002A7ED5">
            <w:r>
              <w:t>Universal Transverse Mercator northing value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FinalRosge</w:t>
            </w:r>
            <w:proofErr w:type="spellEnd"/>
          </w:p>
        </w:tc>
        <w:tc>
          <w:tcPr>
            <w:tcW w:w="7528" w:type="dxa"/>
          </w:tcPr>
          <w:p w:rsidR="002A7ED5" w:rsidRDefault="002A7ED5">
            <w:r>
              <w:t xml:space="preserve">Final </w:t>
            </w:r>
            <w:proofErr w:type="spellStart"/>
            <w:r>
              <w:t>Rosgen</w:t>
            </w:r>
            <w:proofErr w:type="spellEnd"/>
            <w:r>
              <w:t xml:space="preserve"> Stream Classification based on </w:t>
            </w:r>
            <w:proofErr w:type="spellStart"/>
            <w:r>
              <w:t>Kasprak</w:t>
            </w:r>
            <w:proofErr w:type="spellEnd"/>
            <w:r>
              <w:t xml:space="preserve"> et al. (2016)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River_Styl</w:t>
            </w:r>
            <w:proofErr w:type="spellEnd"/>
          </w:p>
        </w:tc>
        <w:tc>
          <w:tcPr>
            <w:tcW w:w="7528" w:type="dxa"/>
          </w:tcPr>
          <w:p w:rsidR="002A7ED5" w:rsidRDefault="00A14E71">
            <w:r>
              <w:t xml:space="preserve">Final River Styles Framework Classification based on </w:t>
            </w:r>
            <w:proofErr w:type="spellStart"/>
            <w:r>
              <w:t>Kasprak</w:t>
            </w:r>
            <w:proofErr w:type="spellEnd"/>
            <w:r>
              <w:t xml:space="preserve"> et al. (2016)</w:t>
            </w:r>
          </w:p>
        </w:tc>
      </w:tr>
      <w:tr w:rsidR="002A7ED5" w:rsidTr="004C0E16">
        <w:tc>
          <w:tcPr>
            <w:tcW w:w="1647" w:type="dxa"/>
          </w:tcPr>
          <w:p w:rsidR="002A7ED5" w:rsidRDefault="002A7ED5">
            <w:proofErr w:type="spellStart"/>
            <w:r>
              <w:t>Beechie</w:t>
            </w:r>
            <w:proofErr w:type="spellEnd"/>
          </w:p>
        </w:tc>
        <w:tc>
          <w:tcPr>
            <w:tcW w:w="7528" w:type="dxa"/>
          </w:tcPr>
          <w:p w:rsidR="002A7ED5" w:rsidRDefault="00A14E71">
            <w:r>
              <w:t xml:space="preserve">Final Natural Channel Classification based on </w:t>
            </w:r>
            <w:proofErr w:type="spellStart"/>
            <w:r>
              <w:t>Kasprak</w:t>
            </w:r>
            <w:proofErr w:type="spellEnd"/>
            <w:r>
              <w:t xml:space="preserve"> et al. (2016)</w:t>
            </w:r>
          </w:p>
        </w:tc>
      </w:tr>
    </w:tbl>
    <w:p w:rsidR="00AD3F62" w:rsidRDefault="00EA48D1"/>
    <w:sectPr w:rsidR="00A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6"/>
    <w:rsid w:val="002A7ED5"/>
    <w:rsid w:val="00313E41"/>
    <w:rsid w:val="003572AE"/>
    <w:rsid w:val="004C0E16"/>
    <w:rsid w:val="005B482F"/>
    <w:rsid w:val="00807D90"/>
    <w:rsid w:val="00A14E71"/>
    <w:rsid w:val="00E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3525"/>
  <w15:chartTrackingRefBased/>
  <w15:docId w15:val="{854264F6-A3E8-4C25-A58E-0D672D83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Hilgendorf</dc:creator>
  <cp:keywords/>
  <dc:description/>
  <cp:lastModifiedBy>Zach Hilgendorf</cp:lastModifiedBy>
  <cp:revision>3</cp:revision>
  <dcterms:created xsi:type="dcterms:W3CDTF">2021-03-08T19:22:00Z</dcterms:created>
  <dcterms:modified xsi:type="dcterms:W3CDTF">2021-03-08T23:35:00Z</dcterms:modified>
</cp:coreProperties>
</file>