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1F04" w14:textId="4BAE1400" w:rsidR="00502FAB" w:rsidRPr="00502FAB" w:rsidRDefault="00502FAB" w:rsidP="00502FAB">
      <w:pPr>
        <w:rPr>
          <w:b/>
          <w:bCs/>
        </w:rPr>
      </w:pPr>
      <w:r w:rsidRPr="00502FAB">
        <w:rPr>
          <w:b/>
          <w:bCs/>
        </w:rPr>
        <w:t>CHAPTER 7:</w:t>
      </w:r>
      <w:r w:rsidR="00060138" w:rsidRPr="00060138">
        <w:t xml:space="preserve"> </w:t>
      </w:r>
      <w:r w:rsidR="00060138" w:rsidRPr="00060138">
        <w:rPr>
          <w:b/>
          <w:bCs/>
        </w:rPr>
        <w:t xml:space="preserve">ONLINE GIS APPLICATIONS </w:t>
      </w:r>
    </w:p>
    <w:p w14:paraId="482CB5E1" w14:textId="77777777" w:rsidR="00502FAB" w:rsidRPr="00502FAB" w:rsidRDefault="00502FAB" w:rsidP="00502FAB">
      <w:r w:rsidRPr="00502FAB">
        <w:t>Geographic Information Systems (GIS) have undergone a remarkable transformation over the past two decades, evolving from specialized tools used primarily by experts into accessible platforms that empower a broad range of users. The internet has played a crucial role in this shift, making GIS-based dashboards and mapping portals widely available to both health professionals and the general public. This transition has been especially impactful in the context of public health, where the need for real-time, data-driven decision-making is more critical than ever.</w:t>
      </w:r>
    </w:p>
    <w:p w14:paraId="764A5845" w14:textId="77777777" w:rsidR="00502FAB" w:rsidRPr="00502FAB" w:rsidRDefault="00502FAB" w:rsidP="00502FAB">
      <w:r w:rsidRPr="00502FAB">
        <w:t>Previously, GIS was largely confined to desktops and complex software that required specialized knowledge to operate. Today, with the rise of cloud computing, improved broadband infrastructure, and mobile technology, GIS has become a widely accessible tool. Web-based GIS platforms have transformed how users interact with geographic data, allowing them to easily access, analyze, and share maps and visualizations without the need for advanced training. These platforms often feature user-friendly interfaces with simple dashboards that present complex data in a way that is easy to understand, enabling people with little to no GIS experience to make informed decisions.</w:t>
      </w:r>
    </w:p>
    <w:p w14:paraId="1D293F9C" w14:textId="77777777" w:rsidR="00502FAB" w:rsidRPr="00502FAB" w:rsidRDefault="00502FAB" w:rsidP="00502FAB">
      <w:r w:rsidRPr="00502FAB">
        <w:t>In the realm of public health, these GIS tools have proven invaluable in responding to health crises. The COVID-19 pandemic is a prime example of how internet-based GIS applications can provide the public with the real-time data they need to understand the progression of a health threat. From the earliest days of the pandemic, people around the world turned to maps and dashboards powered by GIS to track the virus's spread, its impact on different regions, and the availability of healthcare resources. The ability to visualize geographic data helped to contextualize raw case numbers, showing not only how the virus spread geographically but also offering insights into how local factors, such as population density and healthcare access, influenced the severity of outbreaks.</w:t>
      </w:r>
    </w:p>
    <w:p w14:paraId="527A16EB" w14:textId="77777777" w:rsidR="00502FAB" w:rsidRPr="00502FAB" w:rsidRDefault="00502FAB" w:rsidP="00502FAB">
      <w:r w:rsidRPr="00502FAB">
        <w:t>One of the most widely recognized GIS tools during the pandemic was the interactive dashboard developed by Johns Hopkins University’s Center for Systems Science and Engineering (CSSE). Launched in January 2020, the CSSE dashboard became a go-to resource for millions of people around the world. It displayed live updates on confirmed cases, deaths, and recoveries, while interactive maps showed the geographical distribution of the virus. The dashboard’s success was due, in part, to its integration with multiple authoritative data sources, including the World Health Organization (WHO) and the U.S. Centers for Disease Control and Prevention (CDC), which ensured the information was up-to-date and accurate. This seamless integration of data allowed users to track the pandemic’s progression in real time, giving policymakers and health officials the tools they needed to respond quickly and effectively.</w:t>
      </w:r>
    </w:p>
    <w:p w14:paraId="30CE07A5" w14:textId="77777777" w:rsidR="00502FAB" w:rsidRPr="00502FAB" w:rsidRDefault="00502FAB" w:rsidP="00502FAB">
      <w:r w:rsidRPr="00502FAB">
        <w:lastRenderedPageBreak/>
        <w:t>Esri’s ArcGIS Living Atlas, which supported the CSSE dashboard, played a critical role in disseminating data during the pandemic. ArcGIS made it possible for organizations around the world to easily share and access up-to-date information. This global data-sharing network helped health professionals and researchers create their own dashboards and apps, allowing them to tailor their analysis to specific regions and populations. As a result, GIS-based platforms became integral to managing the global health crisis, providing valuable insights into trends, demographics, and healthcare system performance.</w:t>
      </w:r>
    </w:p>
    <w:p w14:paraId="6B080959" w14:textId="77777777" w:rsidR="00502FAB" w:rsidRPr="00502FAB" w:rsidRDefault="00502FAB" w:rsidP="00502FAB">
      <w:r w:rsidRPr="00502FAB">
        <w:t>The success of GIS in public health during the pandemic has paved the way for new applications in digital health. As technology continues to evolve, mobile health applications (mHealth apps) have emerged as powerful tools for managing individual and public health. These apps, many of which incorporate GIS features, allow users to track their health, monitor outbreaks, and access real-time data about health risks in their area. GIS technology provides the geographic context needed to interpret health data, showing users where healthcare resources are available, mapping pollution levels that affect respiratory conditions, or identifying areas with high rates of chronic illness.</w:t>
      </w:r>
    </w:p>
    <w:p w14:paraId="2E5B9551" w14:textId="77777777" w:rsidR="00502FAB" w:rsidRPr="00502FAB" w:rsidRDefault="00502FAB" w:rsidP="00502FAB">
      <w:r w:rsidRPr="00502FAB">
        <w:t>In addition to tracking infectious diseases, mHealth apps now allow users to monitor a range of health conditions, from chronic illnesses like diabetes and asthma to mental health concerns. By incorporating geographic data, these apps help individuals understand how their environment impacts their health. For example, they can show users where they might be at higher risk due to environmental factors or help them find healthcare providers in their area. As more people rely on these apps, GIS is becoming an essential part of managing personal health and wellness.</w:t>
      </w:r>
    </w:p>
    <w:p w14:paraId="0A7C132E" w14:textId="77777777" w:rsidR="00502FAB" w:rsidRDefault="00502FAB" w:rsidP="00502FAB">
      <w:r w:rsidRPr="00502FAB">
        <w:t>Moreover, the growing use of GIS in public health extends beyond personal health management to address broader social determinants of health. By integrating environmental data—such as air quality, water contamination, and access to healthy food—GIS can identify at-risk populations and inform targeted interventions to reduce health disparities. This geographic approach helps public health agencies better understand how different factors contribute to health outcomes and design programs that address these challenges.</w:t>
      </w:r>
    </w:p>
    <w:p w14:paraId="0E6C229D" w14:textId="77777777" w:rsidR="00836F08" w:rsidRPr="00836F08" w:rsidRDefault="00836F08" w:rsidP="00836F08">
      <w:r w:rsidRPr="00836F08">
        <w:t xml:space="preserve">Online GIS-based mapping portals are revolutionizing the way health organizations and systems approach data visualization and decision-making. These platforms integrate diverse datasets, allowing users to analyze complex health information in an intuitive and accessible format. By combining layers of health outcomes, social determinants of health (SDOH), and community resources, these portals empower stakeholders to identify disparities, allocate resources effectively, and develop data-driven strategies to improve public health outcomes. The ability to visualize geographic trends in health data fosters </w:t>
      </w:r>
      <w:r w:rsidRPr="00836F08">
        <w:lastRenderedPageBreak/>
        <w:t>greater collaboration among health professionals, policymakers, and communities, driving more equitable and impactful interventions.</w:t>
      </w:r>
    </w:p>
    <w:p w14:paraId="768F6C74" w14:textId="6966195D" w:rsidR="00836F08" w:rsidRPr="00502FAB" w:rsidRDefault="00836F08" w:rsidP="00502FAB">
      <w:r w:rsidRPr="00836F08">
        <w:t>The Tennessee Heart Health Network Mapping Portal exemplifies this innovation by providing an interactive platform that integrates cardiovascular health outcomes, such as hypertension and high cholesterol, with community resources like health clinics and SDOH layers. This comprehensive tool offers invaluable insights into the interplay between health, environment, and accessibility, supporting targeted interventions to reduce disparities and improve heart health equity across the state.</w:t>
      </w:r>
    </w:p>
    <w:p w14:paraId="54F87B84" w14:textId="77777777" w:rsidR="00502FAB" w:rsidRPr="00502FAB" w:rsidRDefault="00502FAB" w:rsidP="00502FAB">
      <w:r w:rsidRPr="00502FAB">
        <w:t>The future of GIS in public health looks even more promising with the rise of crowdsourced health data. Some mobile apps allow users to contribute their own health information, such as symptoms, vaccination status, or even observations of local outbreaks. By collecting data from a wide range of individuals, these platforms can provide real-time insights into disease trends and public health risks. This crowdsourced data, when combined with traditional health surveillance systems, offers a more granular understanding of health dynamics and can help public health authorities respond more quickly and efficiently.</w:t>
      </w:r>
    </w:p>
    <w:p w14:paraId="5BA74C72" w14:textId="77777777" w:rsidR="00502FAB" w:rsidRPr="00502FAB" w:rsidRDefault="00502FAB" w:rsidP="00502FAB">
      <w:r w:rsidRPr="00502FAB">
        <w:t>The digital transformation of public health through GIS is just beginning, and its potential is vast. As more health data becomes accessible and mobile apps continue to evolve, GIS will play a central role in how we understand and respond to health threats. By providing real-time insights, supporting decision-making, and empowering individuals to manage their health, GIS is reshaping the future of public health. Whether through web portals, mobile apps, or crowdsourced data, GIS is making it possible for more people to engage with health information and contribute to solving global health challenges. As these tools continue to evolve, they will undoubtedly play an even greater role in improving health outcomes worldwide.</w:t>
      </w:r>
    </w:p>
    <w:p w14:paraId="7AAD51D1" w14:textId="634E8DC6" w:rsidR="00D041F7" w:rsidRDefault="00D041F7" w:rsidP="00502FAB"/>
    <w:sectPr w:rsidR="00D04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AB"/>
    <w:rsid w:val="00060138"/>
    <w:rsid w:val="001A5270"/>
    <w:rsid w:val="004E41A5"/>
    <w:rsid w:val="00502FAB"/>
    <w:rsid w:val="007A60D5"/>
    <w:rsid w:val="00820FFD"/>
    <w:rsid w:val="00836F08"/>
    <w:rsid w:val="00842548"/>
    <w:rsid w:val="00AD1857"/>
    <w:rsid w:val="00CD7E8F"/>
    <w:rsid w:val="00D041F7"/>
    <w:rsid w:val="00F5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5F6A6"/>
  <w15:chartTrackingRefBased/>
  <w15:docId w15:val="{4A5CA1F0-1DE3-4B05-9180-7172FEC21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AB"/>
    <w:rPr>
      <w:rFonts w:eastAsiaTheme="majorEastAsia" w:cstheme="majorBidi"/>
      <w:color w:val="272727" w:themeColor="text1" w:themeTint="D8"/>
    </w:rPr>
  </w:style>
  <w:style w:type="paragraph" w:styleId="Title">
    <w:name w:val="Title"/>
    <w:basedOn w:val="Normal"/>
    <w:next w:val="Normal"/>
    <w:link w:val="TitleChar"/>
    <w:uiPriority w:val="10"/>
    <w:qFormat/>
    <w:rsid w:val="0050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A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AB"/>
    <w:rPr>
      <w:i/>
      <w:iCs/>
      <w:color w:val="404040" w:themeColor="text1" w:themeTint="BF"/>
    </w:rPr>
  </w:style>
  <w:style w:type="paragraph" w:styleId="ListParagraph">
    <w:name w:val="List Paragraph"/>
    <w:basedOn w:val="Normal"/>
    <w:uiPriority w:val="34"/>
    <w:qFormat/>
    <w:rsid w:val="00502FAB"/>
    <w:pPr>
      <w:ind w:left="720"/>
      <w:contextualSpacing/>
    </w:pPr>
  </w:style>
  <w:style w:type="character" w:styleId="IntenseEmphasis">
    <w:name w:val="Intense Emphasis"/>
    <w:basedOn w:val="DefaultParagraphFont"/>
    <w:uiPriority w:val="21"/>
    <w:qFormat/>
    <w:rsid w:val="00502FAB"/>
    <w:rPr>
      <w:i/>
      <w:iCs/>
      <w:color w:val="0F4761" w:themeColor="accent1" w:themeShade="BF"/>
    </w:rPr>
  </w:style>
  <w:style w:type="paragraph" w:styleId="IntenseQuote">
    <w:name w:val="Intense Quote"/>
    <w:basedOn w:val="Normal"/>
    <w:next w:val="Normal"/>
    <w:link w:val="IntenseQuoteChar"/>
    <w:uiPriority w:val="30"/>
    <w:qFormat/>
    <w:rsid w:val="0050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AB"/>
    <w:rPr>
      <w:i/>
      <w:iCs/>
      <w:color w:val="0F4761" w:themeColor="accent1" w:themeShade="BF"/>
    </w:rPr>
  </w:style>
  <w:style w:type="character" w:styleId="IntenseReference">
    <w:name w:val="Intense Reference"/>
    <w:basedOn w:val="DefaultParagraphFont"/>
    <w:uiPriority w:val="32"/>
    <w:qFormat/>
    <w:rsid w:val="00502FAB"/>
    <w:rPr>
      <w:b/>
      <w:bCs/>
      <w:smallCaps/>
      <w:color w:val="0F4761" w:themeColor="accent1" w:themeShade="BF"/>
      <w:spacing w:val="5"/>
    </w:rPr>
  </w:style>
  <w:style w:type="paragraph" w:styleId="NormalWeb">
    <w:name w:val="Normal (Web)"/>
    <w:basedOn w:val="Normal"/>
    <w:uiPriority w:val="99"/>
    <w:semiHidden/>
    <w:unhideWhenUsed/>
    <w:rsid w:val="00502F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440739">
      <w:bodyDiv w:val="1"/>
      <w:marLeft w:val="0"/>
      <w:marRight w:val="0"/>
      <w:marTop w:val="0"/>
      <w:marBottom w:val="0"/>
      <w:divBdr>
        <w:top w:val="none" w:sz="0" w:space="0" w:color="auto"/>
        <w:left w:val="none" w:sz="0" w:space="0" w:color="auto"/>
        <w:bottom w:val="none" w:sz="0" w:space="0" w:color="auto"/>
        <w:right w:val="none" w:sz="0" w:space="0" w:color="auto"/>
      </w:divBdr>
      <w:divsChild>
        <w:div w:id="1456098737">
          <w:marLeft w:val="0"/>
          <w:marRight w:val="0"/>
          <w:marTop w:val="0"/>
          <w:marBottom w:val="0"/>
          <w:divBdr>
            <w:top w:val="none" w:sz="0" w:space="0" w:color="auto"/>
            <w:left w:val="none" w:sz="0" w:space="0" w:color="auto"/>
            <w:bottom w:val="none" w:sz="0" w:space="0" w:color="auto"/>
            <w:right w:val="none" w:sz="0" w:space="0" w:color="auto"/>
          </w:divBdr>
          <w:divsChild>
            <w:div w:id="2130661931">
              <w:marLeft w:val="0"/>
              <w:marRight w:val="0"/>
              <w:marTop w:val="0"/>
              <w:marBottom w:val="0"/>
              <w:divBdr>
                <w:top w:val="none" w:sz="0" w:space="0" w:color="auto"/>
                <w:left w:val="none" w:sz="0" w:space="0" w:color="auto"/>
                <w:bottom w:val="none" w:sz="0" w:space="0" w:color="auto"/>
                <w:right w:val="none" w:sz="0" w:space="0" w:color="auto"/>
              </w:divBdr>
              <w:divsChild>
                <w:div w:id="573861589">
                  <w:marLeft w:val="0"/>
                  <w:marRight w:val="0"/>
                  <w:marTop w:val="0"/>
                  <w:marBottom w:val="0"/>
                  <w:divBdr>
                    <w:top w:val="none" w:sz="0" w:space="0" w:color="auto"/>
                    <w:left w:val="none" w:sz="0" w:space="0" w:color="auto"/>
                    <w:bottom w:val="none" w:sz="0" w:space="0" w:color="auto"/>
                    <w:right w:val="none" w:sz="0" w:space="0" w:color="auto"/>
                  </w:divBdr>
                  <w:divsChild>
                    <w:div w:id="1855411110">
                      <w:marLeft w:val="0"/>
                      <w:marRight w:val="0"/>
                      <w:marTop w:val="0"/>
                      <w:marBottom w:val="0"/>
                      <w:divBdr>
                        <w:top w:val="none" w:sz="0" w:space="0" w:color="auto"/>
                        <w:left w:val="none" w:sz="0" w:space="0" w:color="auto"/>
                        <w:bottom w:val="none" w:sz="0" w:space="0" w:color="auto"/>
                        <w:right w:val="none" w:sz="0" w:space="0" w:color="auto"/>
                      </w:divBdr>
                      <w:divsChild>
                        <w:div w:id="1709985900">
                          <w:marLeft w:val="0"/>
                          <w:marRight w:val="0"/>
                          <w:marTop w:val="0"/>
                          <w:marBottom w:val="0"/>
                          <w:divBdr>
                            <w:top w:val="none" w:sz="0" w:space="0" w:color="auto"/>
                            <w:left w:val="none" w:sz="0" w:space="0" w:color="auto"/>
                            <w:bottom w:val="none" w:sz="0" w:space="0" w:color="auto"/>
                            <w:right w:val="none" w:sz="0" w:space="0" w:color="auto"/>
                          </w:divBdr>
                          <w:divsChild>
                            <w:div w:id="2231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093709">
      <w:bodyDiv w:val="1"/>
      <w:marLeft w:val="0"/>
      <w:marRight w:val="0"/>
      <w:marTop w:val="0"/>
      <w:marBottom w:val="0"/>
      <w:divBdr>
        <w:top w:val="none" w:sz="0" w:space="0" w:color="auto"/>
        <w:left w:val="none" w:sz="0" w:space="0" w:color="auto"/>
        <w:bottom w:val="none" w:sz="0" w:space="0" w:color="auto"/>
        <w:right w:val="none" w:sz="0" w:space="0" w:color="auto"/>
      </w:divBdr>
    </w:div>
    <w:div w:id="593635641">
      <w:bodyDiv w:val="1"/>
      <w:marLeft w:val="0"/>
      <w:marRight w:val="0"/>
      <w:marTop w:val="0"/>
      <w:marBottom w:val="0"/>
      <w:divBdr>
        <w:top w:val="none" w:sz="0" w:space="0" w:color="auto"/>
        <w:left w:val="none" w:sz="0" w:space="0" w:color="auto"/>
        <w:bottom w:val="none" w:sz="0" w:space="0" w:color="auto"/>
        <w:right w:val="none" w:sz="0" w:space="0" w:color="auto"/>
      </w:divBdr>
      <w:divsChild>
        <w:div w:id="601227565">
          <w:marLeft w:val="0"/>
          <w:marRight w:val="0"/>
          <w:marTop w:val="0"/>
          <w:marBottom w:val="0"/>
          <w:divBdr>
            <w:top w:val="none" w:sz="0" w:space="0" w:color="auto"/>
            <w:left w:val="none" w:sz="0" w:space="0" w:color="auto"/>
            <w:bottom w:val="none" w:sz="0" w:space="0" w:color="auto"/>
            <w:right w:val="none" w:sz="0" w:space="0" w:color="auto"/>
          </w:divBdr>
          <w:divsChild>
            <w:div w:id="1058095586">
              <w:marLeft w:val="0"/>
              <w:marRight w:val="0"/>
              <w:marTop w:val="0"/>
              <w:marBottom w:val="0"/>
              <w:divBdr>
                <w:top w:val="none" w:sz="0" w:space="0" w:color="auto"/>
                <w:left w:val="none" w:sz="0" w:space="0" w:color="auto"/>
                <w:bottom w:val="none" w:sz="0" w:space="0" w:color="auto"/>
                <w:right w:val="none" w:sz="0" w:space="0" w:color="auto"/>
              </w:divBdr>
              <w:divsChild>
                <w:div w:id="1258712664">
                  <w:marLeft w:val="0"/>
                  <w:marRight w:val="0"/>
                  <w:marTop w:val="0"/>
                  <w:marBottom w:val="0"/>
                  <w:divBdr>
                    <w:top w:val="none" w:sz="0" w:space="0" w:color="auto"/>
                    <w:left w:val="none" w:sz="0" w:space="0" w:color="auto"/>
                    <w:bottom w:val="none" w:sz="0" w:space="0" w:color="auto"/>
                    <w:right w:val="none" w:sz="0" w:space="0" w:color="auto"/>
                  </w:divBdr>
                  <w:divsChild>
                    <w:div w:id="1500854354">
                      <w:marLeft w:val="0"/>
                      <w:marRight w:val="0"/>
                      <w:marTop w:val="0"/>
                      <w:marBottom w:val="0"/>
                      <w:divBdr>
                        <w:top w:val="none" w:sz="0" w:space="0" w:color="auto"/>
                        <w:left w:val="none" w:sz="0" w:space="0" w:color="auto"/>
                        <w:bottom w:val="none" w:sz="0" w:space="0" w:color="auto"/>
                        <w:right w:val="none" w:sz="0" w:space="0" w:color="auto"/>
                      </w:divBdr>
                      <w:divsChild>
                        <w:div w:id="320620962">
                          <w:marLeft w:val="0"/>
                          <w:marRight w:val="0"/>
                          <w:marTop w:val="0"/>
                          <w:marBottom w:val="0"/>
                          <w:divBdr>
                            <w:top w:val="none" w:sz="0" w:space="0" w:color="auto"/>
                            <w:left w:val="none" w:sz="0" w:space="0" w:color="auto"/>
                            <w:bottom w:val="none" w:sz="0" w:space="0" w:color="auto"/>
                            <w:right w:val="none" w:sz="0" w:space="0" w:color="auto"/>
                          </w:divBdr>
                          <w:divsChild>
                            <w:div w:id="345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188284">
      <w:bodyDiv w:val="1"/>
      <w:marLeft w:val="0"/>
      <w:marRight w:val="0"/>
      <w:marTop w:val="0"/>
      <w:marBottom w:val="0"/>
      <w:divBdr>
        <w:top w:val="none" w:sz="0" w:space="0" w:color="auto"/>
        <w:left w:val="none" w:sz="0" w:space="0" w:color="auto"/>
        <w:bottom w:val="none" w:sz="0" w:space="0" w:color="auto"/>
        <w:right w:val="none" w:sz="0" w:space="0" w:color="auto"/>
      </w:divBdr>
    </w:div>
    <w:div w:id="2052998184">
      <w:bodyDiv w:val="1"/>
      <w:marLeft w:val="0"/>
      <w:marRight w:val="0"/>
      <w:marTop w:val="0"/>
      <w:marBottom w:val="0"/>
      <w:divBdr>
        <w:top w:val="none" w:sz="0" w:space="0" w:color="auto"/>
        <w:left w:val="none" w:sz="0" w:space="0" w:color="auto"/>
        <w:bottom w:val="none" w:sz="0" w:space="0" w:color="auto"/>
        <w:right w:val="none" w:sz="0" w:space="0" w:color="auto"/>
      </w:divBdr>
      <w:divsChild>
        <w:div w:id="464353518">
          <w:marLeft w:val="0"/>
          <w:marRight w:val="0"/>
          <w:marTop w:val="0"/>
          <w:marBottom w:val="0"/>
          <w:divBdr>
            <w:top w:val="none" w:sz="0" w:space="0" w:color="auto"/>
            <w:left w:val="none" w:sz="0" w:space="0" w:color="auto"/>
            <w:bottom w:val="none" w:sz="0" w:space="0" w:color="auto"/>
            <w:right w:val="none" w:sz="0" w:space="0" w:color="auto"/>
          </w:divBdr>
          <w:divsChild>
            <w:div w:id="1497302347">
              <w:marLeft w:val="0"/>
              <w:marRight w:val="0"/>
              <w:marTop w:val="0"/>
              <w:marBottom w:val="0"/>
              <w:divBdr>
                <w:top w:val="none" w:sz="0" w:space="0" w:color="auto"/>
                <w:left w:val="none" w:sz="0" w:space="0" w:color="auto"/>
                <w:bottom w:val="none" w:sz="0" w:space="0" w:color="auto"/>
                <w:right w:val="none" w:sz="0" w:space="0" w:color="auto"/>
              </w:divBdr>
              <w:divsChild>
                <w:div w:id="923563889">
                  <w:marLeft w:val="0"/>
                  <w:marRight w:val="0"/>
                  <w:marTop w:val="0"/>
                  <w:marBottom w:val="0"/>
                  <w:divBdr>
                    <w:top w:val="none" w:sz="0" w:space="0" w:color="auto"/>
                    <w:left w:val="none" w:sz="0" w:space="0" w:color="auto"/>
                    <w:bottom w:val="none" w:sz="0" w:space="0" w:color="auto"/>
                    <w:right w:val="none" w:sz="0" w:space="0" w:color="auto"/>
                  </w:divBdr>
                  <w:divsChild>
                    <w:div w:id="577401081">
                      <w:marLeft w:val="0"/>
                      <w:marRight w:val="0"/>
                      <w:marTop w:val="0"/>
                      <w:marBottom w:val="0"/>
                      <w:divBdr>
                        <w:top w:val="none" w:sz="0" w:space="0" w:color="auto"/>
                        <w:left w:val="none" w:sz="0" w:space="0" w:color="auto"/>
                        <w:bottom w:val="none" w:sz="0" w:space="0" w:color="auto"/>
                        <w:right w:val="none" w:sz="0" w:space="0" w:color="auto"/>
                      </w:divBdr>
                      <w:divsChild>
                        <w:div w:id="1187937850">
                          <w:marLeft w:val="0"/>
                          <w:marRight w:val="0"/>
                          <w:marTop w:val="0"/>
                          <w:marBottom w:val="0"/>
                          <w:divBdr>
                            <w:top w:val="none" w:sz="0" w:space="0" w:color="auto"/>
                            <w:left w:val="none" w:sz="0" w:space="0" w:color="auto"/>
                            <w:bottom w:val="none" w:sz="0" w:space="0" w:color="auto"/>
                            <w:right w:val="none" w:sz="0" w:space="0" w:color="auto"/>
                          </w:divBdr>
                          <w:divsChild>
                            <w:div w:id="19247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232089">
      <w:bodyDiv w:val="1"/>
      <w:marLeft w:val="0"/>
      <w:marRight w:val="0"/>
      <w:marTop w:val="0"/>
      <w:marBottom w:val="0"/>
      <w:divBdr>
        <w:top w:val="none" w:sz="0" w:space="0" w:color="auto"/>
        <w:left w:val="none" w:sz="0" w:space="0" w:color="auto"/>
        <w:bottom w:val="none" w:sz="0" w:space="0" w:color="auto"/>
        <w:right w:val="none" w:sz="0" w:space="0" w:color="auto"/>
      </w:divBdr>
      <w:divsChild>
        <w:div w:id="2036148590">
          <w:marLeft w:val="0"/>
          <w:marRight w:val="0"/>
          <w:marTop w:val="0"/>
          <w:marBottom w:val="0"/>
          <w:divBdr>
            <w:top w:val="none" w:sz="0" w:space="0" w:color="auto"/>
            <w:left w:val="none" w:sz="0" w:space="0" w:color="auto"/>
            <w:bottom w:val="none" w:sz="0" w:space="0" w:color="auto"/>
            <w:right w:val="none" w:sz="0" w:space="0" w:color="auto"/>
          </w:divBdr>
          <w:divsChild>
            <w:div w:id="122042025">
              <w:marLeft w:val="0"/>
              <w:marRight w:val="0"/>
              <w:marTop w:val="0"/>
              <w:marBottom w:val="0"/>
              <w:divBdr>
                <w:top w:val="none" w:sz="0" w:space="0" w:color="auto"/>
                <w:left w:val="none" w:sz="0" w:space="0" w:color="auto"/>
                <w:bottom w:val="none" w:sz="0" w:space="0" w:color="auto"/>
                <w:right w:val="none" w:sz="0" w:space="0" w:color="auto"/>
              </w:divBdr>
              <w:divsChild>
                <w:div w:id="697046201">
                  <w:marLeft w:val="0"/>
                  <w:marRight w:val="0"/>
                  <w:marTop w:val="0"/>
                  <w:marBottom w:val="0"/>
                  <w:divBdr>
                    <w:top w:val="none" w:sz="0" w:space="0" w:color="auto"/>
                    <w:left w:val="none" w:sz="0" w:space="0" w:color="auto"/>
                    <w:bottom w:val="none" w:sz="0" w:space="0" w:color="auto"/>
                    <w:right w:val="none" w:sz="0" w:space="0" w:color="auto"/>
                  </w:divBdr>
                  <w:divsChild>
                    <w:div w:id="2051372421">
                      <w:marLeft w:val="0"/>
                      <w:marRight w:val="0"/>
                      <w:marTop w:val="0"/>
                      <w:marBottom w:val="0"/>
                      <w:divBdr>
                        <w:top w:val="none" w:sz="0" w:space="0" w:color="auto"/>
                        <w:left w:val="none" w:sz="0" w:space="0" w:color="auto"/>
                        <w:bottom w:val="none" w:sz="0" w:space="0" w:color="auto"/>
                        <w:right w:val="none" w:sz="0" w:space="0" w:color="auto"/>
                      </w:divBdr>
                      <w:divsChild>
                        <w:div w:id="923538420">
                          <w:marLeft w:val="0"/>
                          <w:marRight w:val="0"/>
                          <w:marTop w:val="0"/>
                          <w:marBottom w:val="0"/>
                          <w:divBdr>
                            <w:top w:val="none" w:sz="0" w:space="0" w:color="auto"/>
                            <w:left w:val="none" w:sz="0" w:space="0" w:color="auto"/>
                            <w:bottom w:val="none" w:sz="0" w:space="0" w:color="auto"/>
                            <w:right w:val="none" w:sz="0" w:space="0" w:color="auto"/>
                          </w:divBdr>
                          <w:divsChild>
                            <w:div w:id="1093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1101</Words>
  <Characters>6829</Characters>
  <Application>Microsoft Office Word</Application>
  <DocSecurity>0</DocSecurity>
  <Lines>175</Lines>
  <Paragraphs>72</Paragraphs>
  <ScaleCrop>false</ScaleCrop>
  <Company>The University of Memphis</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Ozdenerol (eozdenrl)</dc:creator>
  <cp:keywords/>
  <dc:description/>
  <cp:lastModifiedBy>Esra Ozdenerol (eozdenrl)</cp:lastModifiedBy>
  <cp:revision>2</cp:revision>
  <dcterms:created xsi:type="dcterms:W3CDTF">2024-11-22T19:21:00Z</dcterms:created>
  <dcterms:modified xsi:type="dcterms:W3CDTF">2024-11-22T19:21:00Z</dcterms:modified>
</cp:coreProperties>
</file>